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920" w:right="2100" w:hanging="3899"/>
        <w:spacing w:after="0" w:line="310" w:lineRule="auto"/>
        <w:tabs>
          <w:tab w:leader="none" w:pos="35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8"/>
          <w:szCs w:val="18"/>
          <w:color w:val="auto"/>
          <w:highlight w:val="black"/>
        </w:rPr>
      </w:pPr>
    </w:p>
    <w:p>
      <w:pPr>
        <w:ind w:left="5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80" w:hanging="359"/>
        <w:spacing w:after="0"/>
        <w:tabs>
          <w:tab w:leader="none" w:pos="3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380"/>
        <w:spacing w:after="0"/>
        <w:tabs>
          <w:tab w:leader="none" w:pos="374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ectPr>
          <w:pgSz w:w="11900" w:h="16838" w:orient="portrait"/>
          <w:cols w:equalWidth="0" w:num="1">
            <w:col w:w="11240"/>
          </w:cols>
          <w:pgMar w:left="320" w:top="1073"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8" w:lineRule="exact"/>
        <w:rPr>
          <w:sz w:val="24"/>
          <w:szCs w:val="24"/>
          <w:color w:val="auto"/>
        </w:rPr>
      </w:pPr>
    </w:p>
    <w:p>
      <w:pPr>
        <w:sectPr>
          <w:pgSz w:w="11900" w:h="16838" w:orient="portrait"/>
          <w:cols w:equalWidth="0" w:num="2">
            <w:col w:w="7640" w:space="220"/>
            <w:col w:w="3380"/>
          </w:cols>
          <w:pgMar w:left="320" w:top="1073" w:right="339" w:bottom="1440" w:gutter="0" w:footer="0" w:header="0"/>
          <w:type w:val="continuous"/>
        </w:sectPr>
      </w:pPr>
    </w:p>
    <w:tbl>
      <w:tblPr>
        <w:tblLayout w:type="fixed"/>
        <w:tblInd w:w="1480" w:type="dxa"/>
        <w:tblCellMar>
          <w:top w:w="0" w:type="dxa"/>
          <w:left w:w="0" w:type="dxa"/>
          <w:bottom w:w="0" w:type="dxa"/>
          <w:right w:w="0" w:type="dxa"/>
        </w:tblCellMar>
      </w:tblPr>
      <w:tr>
        <w:trPr>
          <w:trHeight w:val="207"/>
        </w:trPr>
        <w:tc>
          <w:tcPr>
            <w:tcW w:w="46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9"/>
              </w:rPr>
              <w:t>200 Arsenal Yards Blvd., Suite 230</w:t>
            </w:r>
          </w:p>
        </w:tc>
        <w:tc>
          <w:tcPr>
            <w:tcW w:w="2580" w:type="dxa"/>
            <w:vAlign w:val="bottom"/>
          </w:tcPr>
          <w:p>
            <w:pPr>
              <w:spacing w:after="0"/>
              <w:rPr>
                <w:sz w:val="17"/>
                <w:szCs w:val="17"/>
                <w:color w:val="auto"/>
              </w:rPr>
            </w:pPr>
          </w:p>
        </w:tc>
      </w:tr>
      <w:tr>
        <w:trPr>
          <w:trHeight w:val="252"/>
        </w:trPr>
        <w:tc>
          <w:tcPr>
            <w:tcW w:w="466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3"/>
        </w:trPr>
        <w:tc>
          <w:tcPr>
            <w:tcW w:w="4660" w:type="dxa"/>
            <w:vAlign w:val="bottom"/>
          </w:tcPr>
          <w:p>
            <w:pPr>
              <w:jc w:val="center"/>
              <w:ind w:right="189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580" w:type="dxa"/>
            <w:vAlign w:val="bottom"/>
          </w:tcPr>
          <w:p>
            <w:pPr>
              <w:jc w:val="center"/>
              <w:ind w:left="192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r>
      <w:tr>
        <w:trPr>
          <w:trHeight w:val="230"/>
        </w:trPr>
        <w:tc>
          <w:tcPr>
            <w:tcW w:w="4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KYMR</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402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jc w:val="both"/>
        <w:ind w:right="80"/>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5"/>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8"/>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39"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jc w:val="both"/>
        <w:ind w:right="80"/>
        <w:spacing w:after="0" w:line="258"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$0.0001 par value per share, held by non-affiliates of the registrant, based on the last sale price of the Common Stock at the close of business on June 30, 2023, was $1,012.8 million.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February 16, 2024 was 61,111,678.</w:t>
      </w:r>
    </w:p>
    <w:p>
      <w:pPr>
        <w:spacing w:after="0" w:line="4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 w:lineRule="exact"/>
        <w:rPr>
          <w:sz w:val="24"/>
          <w:szCs w:val="24"/>
          <w:color w:val="auto"/>
        </w:rPr>
      </w:pPr>
    </w:p>
    <w:p>
      <w:pPr>
        <w:ind w:right="200"/>
        <w:spacing w:after="0" w:line="255" w:lineRule="auto"/>
        <w:rPr>
          <w:sz w:val="20"/>
          <w:szCs w:val="20"/>
          <w:color w:val="auto"/>
        </w:rPr>
      </w:pPr>
      <w:r>
        <w:rPr>
          <w:rFonts w:ascii="Times New Roman" w:cs="Times New Roman" w:eastAsia="Times New Roman" w:hAnsi="Times New Roman"/>
          <w:sz w:val="13"/>
          <w:szCs w:val="13"/>
          <w:color w:val="auto"/>
        </w:rPr>
        <w:t>Portions of the registrant’s Proxy Statement for its 2024 Annual Meeting of Stockholders, which the registrant intends to file with the Securities and Exchange Commission not later than 120 days after the registrant’s fiscal year ended December 31,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8"/>
                <w:szCs w:val="18"/>
                <w:color w:val="auto"/>
              </w:rPr>
            </w:pPr>
          </w:p>
        </w:tc>
        <w:tc>
          <w:tcPr>
            <w:tcW w:w="8540" w:type="dxa"/>
            <w:vAlign w:val="bottom"/>
            <w:gridSpan w:val="2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8"/>
                <w:szCs w:val="18"/>
                <w:color w:val="auto"/>
              </w:rPr>
            </w:pPr>
          </w:p>
        </w:tc>
        <w:tc>
          <w:tcPr>
            <w:tcW w:w="7380" w:type="dxa"/>
            <w:vAlign w:val="bottom"/>
            <w:tcBorders>
              <w:top w:val="single" w:sz="8" w:color="0000FF"/>
            </w:tcBorders>
            <w:gridSpan w:val="24"/>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 that Prevents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8"/>
                <w:szCs w:val="18"/>
                <w:color w:val="auto"/>
              </w:rPr>
            </w:pPr>
          </w:p>
        </w:tc>
        <w:tc>
          <w:tcPr>
            <w:tcW w:w="2260" w:type="dxa"/>
            <w:vAlign w:val="bottom"/>
            <w:tcBorders>
              <w:top w:val="single" w:sz="8" w:color="0000FF"/>
            </w:tcBorders>
            <w:gridSpan w:val="6"/>
          </w:tcPr>
          <w:p>
            <w:pPr>
              <w:spacing w:after="0"/>
              <w:rPr>
                <w:sz w:val="18"/>
                <w:szCs w:val="18"/>
                <w:color w:val="auto"/>
              </w:rPr>
            </w:pPr>
          </w:p>
        </w:tc>
        <w:tc>
          <w:tcPr>
            <w:tcW w:w="52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20" w:type="dxa"/>
            <w:vAlign w:val="bottom"/>
            <w:tcBorders>
              <w:top w:val="single" w:sz="8" w:color="0000FF"/>
              <w:bottom w:val="single" w:sz="8" w:color="0000EE"/>
            </w:tcBorders>
          </w:tcPr>
          <w:p>
            <w:pPr>
              <w:spacing w:after="0"/>
              <w:rPr>
                <w:sz w:val="18"/>
                <w:szCs w:val="18"/>
                <w:color w:val="auto"/>
              </w:rPr>
            </w:pPr>
          </w:p>
        </w:tc>
        <w:tc>
          <w:tcPr>
            <w:tcW w:w="1320" w:type="dxa"/>
            <w:vAlign w:val="bottom"/>
            <w:tcBorders>
              <w:top w:val="single" w:sz="8" w:color="0000FF"/>
            </w:tcBorders>
            <w:gridSpan w:val="6"/>
          </w:tcPr>
          <w:p>
            <w:pPr>
              <w:spacing w:after="0"/>
              <w:rPr>
                <w:sz w:val="18"/>
                <w:szCs w:val="18"/>
                <w:color w:val="auto"/>
              </w:rPr>
            </w:pPr>
          </w:p>
        </w:tc>
        <w:tc>
          <w:tcPr>
            <w:tcW w:w="640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2" w:name="page3"/>
    <w:bookmarkEnd w:id="2"/>
    <w:p>
      <w:pPr>
        <w:ind w:left="1343"/>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337" w:lineRule="exact"/>
        <w:rPr>
          <w:sz w:val="20"/>
          <w:szCs w:val="20"/>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biopharmaceutical company with a limited operating history and have not generated any revenue to date from drug sales, and may never become profitable.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IRAK4, STAT3 and MDM2 programs are still in early clinical development. If we are unable to advance them through the clinic for safety or efficacy reasons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timely completion or outcome of our preclinical testing, including our STAT6 and TYK2 programs. In addition, the results of preclinical studies may not be predictive of the results of clinical trials and the results of any early-stage clinical trials we commence may not be predictive of the results of later-stage clinical trials.</w:t>
      </w:r>
    </w:p>
    <w:p>
      <w:pPr>
        <w:spacing w:after="0" w:line="74" w:lineRule="exact"/>
        <w:rPr>
          <w:rFonts w:ascii="Times New Roman" w:cs="Times New Roman" w:eastAsia="Times New Roman" w:hAnsi="Times New Roman"/>
          <w:sz w:val="18"/>
          <w:szCs w:val="18"/>
          <w:color w:val="auto"/>
        </w:rPr>
      </w:pPr>
    </w:p>
    <w:p>
      <w:pPr>
        <w:ind w:left="503" w:hanging="503"/>
        <w:spacing w:after="0" w:line="233"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based on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is novel and unproven, which makes it difficult to predict the time, cost of development, and likelihood of successfully developing any products.</w:t>
      </w:r>
    </w:p>
    <w:p>
      <w:pPr>
        <w:spacing w:after="0" w:line="9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any pandemic or geopolitical conflict could cause a disruption to our supply chain or the development of our product candidates and adversely impact our business.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obligations and continued regulatory review, which may result in significant additional expense.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ongoing and planned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284"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Annual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Annual Report include, but are not limited to, express or implied statements about:</w:t>
      </w:r>
    </w:p>
    <w:p>
      <w:pPr>
        <w:spacing w:after="0" w:line="79"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future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74"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construct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our drug discovery platform, and to enable a rational and effective drug discovery and development engine;</w:t>
      </w:r>
    </w:p>
    <w:p>
      <w:pPr>
        <w:spacing w:after="0" w:line="9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success of preclinical development efforts for STAT6 and TYK2 and clinical studies under our IRAK4, STAT3 and MDM2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investigational new drug applications to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initiation of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manufacture our drug substances, delivery vehicles,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pandemics or geopolitical conflicts, including mitigation efforts and economic effects, on any of the foregoing or other aspects of our business operations, including but not limited to our preclinical studies and future clinical trials;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forward-looking statements in this Annual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Annual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even if such results, changes or circumstances make it clear that any forward-looking information will not be realized. Any public statements or disclosures by us following this Annual Report that modify or impact any of the forward-looking statements contained in this Annual Report will be deemed to modify or supersede such statements in this Annual Report.</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Annual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focused on discovering and developing novel small molecule therapeutics that selectively degrade disease-causing proteins by harnessing the body’s own natural protein degradation system. Our proprietary targeted protein degradation, or TPD, platform, which we refer to as Pegasus™, allows us to discover highly selective small molecule protein degraders with activity against disease-causing proteins throughout the body. We believe that our small molecule protein degraders have unique advantages over existing therapies and allow us to address a large portion of the human genome that was previously intractable with traditional modalities. We focus on biological pathways that have been clinically validated but where key biological nodes/proteins have not been drugged or are inadequately drugged. To date, we have utilized our Pegasus™ platform to design novel protein degraders focused in the areas of immunology-inflammation and oncology, and we continue to apply our platform’s capabilities to additional therapeutic areas. We have a mission to drug all target classes in human cells using TPD.</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current clinical stage programs are IRAK4, STAT3, and MDM2, which each address high impact targets within biologically-proven pathways, providing the opportunity to treat a broad range of immuno-inflammatory diseases, hematologic malignancies, and/or solid tumors. Our programs exemplify our focus on addressing high impact targets that have been elusive to conventional modalities and that drive the pathogenesis of multiple serious diseases with significant unmet medical needs. Our disclosed preclinical programs target STAT6 and TYK2, two proteins in well-validated pathways where we believe our degrader technology has the potential to offer unique advantages as compared to competing therapies. Both programs are currently in IND-enabling studies.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With respect to our IRAK4 program, we are collaborating with Sanofi S.A, or Sanofi, on the development of drug candidates targeting IRAK4 outside the oncology and immuno-oncology fields. We are developing KT-474, a highly active and selective, orally bioavailable IRAK4 degrader, for the treatment of interleukin-1 receptor/toll-like receptor or IL-1R/TLR-driven immunology-inflammation conditions and diseases with high unmet medical need, including hidradenitis suppurativa, or HS, an inflammatory skin disease, as well as atopic dermatitis, or AD, and potentially other indications. We have completed our Phase 1 trial of KT-474, which included cohorts of healthy volunteers, as well as patients with HS and AD. Phase 2 clinical trials of KT-474, conducted by Sanofi, are initially investigating its potential in HS and AD. The clinical trials for both indications have been initiated, and patient dosing is ongoing.</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With respect to our clinical oncology programs, we are evaluating KT-333, a STAT3 degrader, in a Phase 1 clinical trial in patients with relapsed/refractory liquid and solid tumors, including aggressive lymphomas. Patient enrollment and dosing are ongoing in the Phase 1a portion of the trial, and we expect to present additional clinical data in 2024. In September 2023, we announced that the FDA, granted KT-333 Fast Track Designation for the treatment of relapsed/refractory peripheral T cell lymphoma, an indication for which we have previously received Orphan Drug Designation. Our Phase 1 clinical trial of KT-253, our MDM2 degrader, was initiated in March 2023. The study is evaluating the safety, tolerability, pharmacokinetics/pharmacodynamics, and clinical activity of ascending doses of KT-253 in adult patients with relapsed or refractory high grade myeloid malignancies, acute lymphocytic leukemia, or ALL, lymphomas, and solid tumors. Patient enrollment and dosing are ongoing in the Phase 1a portion of the trial, and we provided initial safety, proof-of-mechanism and proof-of-concept data in November of 2023. We expect to present additional clinical data in 2024. In June 2023, KT-253 was granted orphan drug designation by the FDA for the treatment of acute myeloid leukemia. In November 2023, we announced the decision to discontinue the development of our KT-413 (IRAKIMiD) program, despite reaching expected degradation levels and a lack of dose-limiting toxicities, in order to focus resources to support our growing immunology pipeline.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mission is to discover, develop and commercialize novel and transformative therapies that improve the lives of patients with serious diseases. We have a unique target selection strategy that is focused on undrugged/inadequately drugged targets where targeted protein degradation (TPD) is the only or best unlocking drug modality. Our first in class programs target proteins that have strong genetics and clinical pathway validation and serve areas with large clinical and commercial opportunities. TPD is a disease-agnostic technology, and we are currently advancing this modality across several disease areas, with a primary focus in immunology as well as selected key therapeutic targets in oncology. Our goal is to leverage our leading capabilities in TPD and to become a fully integrated biopharmaceutical company with a pipeline of novel degrader medicines.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520"/>
        <w:spacing w:after="0"/>
        <w:rPr>
          <w:sz w:val="20"/>
          <w:szCs w:val="20"/>
          <w:color w:val="auto"/>
        </w:rPr>
      </w:pPr>
      <w:r>
        <w:rPr>
          <w:rFonts w:ascii="Times New Roman" w:cs="Times New Roman" w:eastAsia="Times New Roman" w:hAnsi="Times New Roman"/>
          <w:sz w:val="18"/>
          <w:szCs w:val="18"/>
          <w:color w:val="auto"/>
        </w:rPr>
        <w:t>We intend to achieve this goal by pursuing the following strategic objectives:</w:t>
      </w:r>
    </w:p>
    <w:p>
      <w:pPr>
        <w:spacing w:after="0" w:line="113" w:lineRule="exact"/>
        <w:rPr>
          <w:sz w:val="20"/>
          <w:szCs w:val="20"/>
          <w:color w:val="auto"/>
        </w:rPr>
      </w:pPr>
    </w:p>
    <w:p>
      <w:pPr>
        <w:jc w:val="both"/>
        <w:ind w:left="102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our existing clinical pipeline</w:t>
      </w:r>
      <w:r>
        <w:rPr>
          <w:rFonts w:ascii="Times New Roman" w:cs="Times New Roman" w:eastAsia="Times New Roman" w:hAnsi="Times New Roman"/>
          <w:sz w:val="18"/>
          <w:szCs w:val="18"/>
          <w:color w:val="auto"/>
        </w:rPr>
        <w:t>. We have advanced four programs into human clinic testing, including our current ongoing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stage programs which target IRAK4, STAT3 and MDM2. We believe these programs have the potential to treat multiple immuno-inflammatory and/or oncology indications. Our clinical pipeline is consistent with our target selection strategy that focuses on undrugged or inadequately drugged targets in validated pathways.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 a broad and diverse pipeline of novel protein degraders</w:t>
      </w:r>
      <w:r>
        <w:rPr>
          <w:rFonts w:ascii="Times New Roman" w:cs="Times New Roman" w:eastAsia="Times New Roman" w:hAnsi="Times New Roman"/>
          <w:sz w:val="18"/>
          <w:szCs w:val="18"/>
          <w:color w:val="auto"/>
        </w:rPr>
        <w:t>. Guided by our drug development principles, innovative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and the learnings from our clinical-stage programs, we continue to identify therapeutic targets that have disruptive therapeutic potential and are well-suited for a TPD approach. Our two most advanced pre-clinical programs, STAT6 and TYK2, reflect our increased pipeline focus on immunology. These programs target significant and well-validated opportunities in which we believe our technology has the potential to deliver biologic-like activity with the convenience of an oral pill.</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and protect our proprietary know-how and intellectual property</w:t>
      </w:r>
      <w:r>
        <w:rPr>
          <w:rFonts w:ascii="Times New Roman" w:cs="Times New Roman" w:eastAsia="Times New Roman" w:hAnsi="Times New Roman"/>
          <w:sz w:val="18"/>
          <w:szCs w:val="18"/>
          <w:color w:val="auto"/>
        </w:rPr>
        <w:t>. We have developed a broad patent estate protecting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which we intend to expand to further protect the drug candidates we develop and our platform. Our intellectual property includes proprietary know-how as well as a broad series of patents.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Pursue synergistic collaboration opportunities</w:t>
      </w:r>
      <w:r>
        <w:rPr>
          <w:rFonts w:ascii="Times New Roman" w:cs="Times New Roman" w:eastAsia="Times New Roman" w:hAnsi="Times New Roman"/>
          <w:sz w:val="18"/>
          <w:szCs w:val="18"/>
          <w:color w:val="auto"/>
        </w:rPr>
        <w:t>. To further our goal of delivering transformative therapies to the broadest patient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populations, we intend to become a fully integrated biopharmaceutical company. In addition to our ongoing collaboration with Sanofi, we expect to leverage additional strategic partnerships that can contribute complementary capabilities in discovery, development and commercialization in disease areas both within and outside of our core areas of therapeutic focus.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our organizational capabilities </w:t>
      </w:r>
      <w:r>
        <w:rPr>
          <w:rFonts w:ascii="Times New Roman" w:cs="Times New Roman" w:eastAsia="Times New Roman" w:hAnsi="Times New Roman"/>
          <w:sz w:val="18"/>
          <w:szCs w:val="18"/>
          <w:color w:val="auto"/>
        </w:rPr>
        <w:t>. We continue to build capabilities across our organization, including expertise in key therapeutic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areas and functions. We view these capabilities as a strategic advantage, and as critical to our objective to become a fully-integrated biotechnology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Targeted Protein Degradation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Proteins are responsible for the structure, function and regulation of tissues and organs. Cells in the body continuously synthesize and degrade proteins, maintaining an equilibrium called protein homeostasis. Most diseases are the result of aberrant protein behavior driven by activation, mutation, or downregulation of the protein itself, or by the gene responsible for the transcription and translation of that particular protein. With a deepened molecular understanding of various diseases and the characterization of the full human genome, research efforts have increasingly focused on the development of medicines to address malfunctioning proteins responsible for oncologic, auto-immune, cardio-metabolic, neurodegenerative, and rare genetic diseases.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‘druggable’ genome challenge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Several therapeutic modalities have been developed over the years to address aberrant protein activity. These have included small molecule inhibitors of protein function, therapeutic antibodies, oligo-based therapeutics such as RNA interference therapeutics, antisense oligonucleotides, or ASO, and other genetic therapies.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Some of these modalities have had a tremendous impact on the treatment of diseases and quality of life of patients, and several others, while earlier stage, offer potential. However, these traditional modalities face specific challenges that limit their therapeutic impact and reach. Some of the limitations of existing modalities include the following:</w:t>
      </w:r>
    </w:p>
    <w:p>
      <w:pPr>
        <w:spacing w:after="0" w:line="64" w:lineRule="exact"/>
        <w:rPr>
          <w:sz w:val="20"/>
          <w:szCs w:val="20"/>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Traditional small molecule therapeutics </w:t>
      </w:r>
      <w:r>
        <w:rPr>
          <w:rFonts w:ascii="Times New Roman" w:cs="Times New Roman" w:eastAsia="Times New Roman" w:hAnsi="Times New Roman"/>
          <w:sz w:val="18"/>
          <w:szCs w:val="18"/>
          <w:color w:val="auto"/>
        </w:rPr>
        <w:t>are unable to block the function of proteins without a catalytic or substrate binding site and cannot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block proteins with dual function, as such are not effective against transcription factors, scaffolding and adaptor proteins, many of which play a key role in certain diseases.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Therapeutic antibodies </w:t>
      </w:r>
      <w:r>
        <w:rPr>
          <w:rFonts w:ascii="Times New Roman" w:cs="Times New Roman" w:eastAsia="Times New Roman" w:hAnsi="Times New Roman"/>
          <w:sz w:val="18"/>
          <w:szCs w:val="18"/>
          <w:color w:val="auto"/>
        </w:rPr>
        <w:t>are generally too large to penetrate cells and are therefore typically limited to protein targets that are extracellular,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outside of the cell, whereas most proteins are inside the cell. They also have to be dosed parenterally and can be costly and complex to develop and manufacture.</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Oligo-based therapeutics </w:t>
      </w:r>
      <w:r>
        <w:rPr>
          <w:rFonts w:ascii="Times New Roman" w:cs="Times New Roman" w:eastAsia="Times New Roman" w:hAnsi="Times New Roman"/>
          <w:sz w:val="18"/>
          <w:szCs w:val="18"/>
          <w:color w:val="auto"/>
        </w:rPr>
        <w:t>are capable of drugging proteins elusive to small molecules in some cases but have significant drug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challenges with dosing and in achieving systemic distribution, greatly limiting the breadth of diseases they are able to address effectively. These therapeutics can also be costly and complex to develop and manufacture.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 w:name="page8"/>
    <w:bookmarkEnd w:id="7"/>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these limitations, we believe that only 20% of the full human genome has been effectively drugged to date. New therapeutic modalities which can overcome some of these challenges are necessary to expand the drugged proteome/genome and provide new efficacious medicines to patients in need. We believe that TPD is such a modality.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Targeted Protein Degradation</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One of the methods that cells use to control the balance between the synthesis of new proteins and the degradation and disposal of damaged and/or misfolded proteins, is ubiquitin-proteasome system, or UPS. The discovery of ubiquitin-mediated protein degradation provided important insights into specific processes like cellular division and DNA repair and led to the discovery of UPS’ critical roles in various cellular pathways, including the cell cycle, signaling pathways, the regulation of gene expression, and responses to oxidative stress. The discovery of the UPS also revealed a new modality to harness this cellular process for the treatment of diseases.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shown below in figure 1, the UPS comprises a series of finely orchestrated enzymatic sequences that ultimately lead to protein polyubiquitination and degradation by the proteasome in cells. Protein ubiquitination is a cellular process involving an enzymatic cascade consisting of ubiquitin-activating enzymes (E1), ubiquitin-conjugating enzymes (E2), and ubiquitin-protein ligases (E3). In humans, there are two classes of ubiquitin activating E1 enzymes, more than 30 E2 enzymes, and approximately 600 E3 ligases.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E3/E2/ubiquitin ligase complex (shown in blue) binds to a substrate protein (shown in orange) to mediate the transfer of ubiquitin, which leads to degradation of the target protein through the proteasome.</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Targeted protein degradation is a new modality that co-opts this innate cellular process. The core of the TPD modality consists of a small molecule that we refer to as a heterobifunctional degrader. The role of this heterobifunctional degrader molecule is to mediate a “new” interaction through the formation of a ternary complex between a disease-causing protein and an E3 ligase. The E3 liaise tags the protein target for degradation by attaching a series of ubiquitin, and the proteasome recognizes the tagged protein and degrades it into small peptides</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Forming an efficient ternary complex, as shown in step 2 in the figure below, is a critical step in TPD, and its formation, function, and effect on cellular and in vivo systems is vital to the success of the degradation and its impact on disease. In addition, the degrader molecule needs to be able to effect degradation in a variety of different cell types and contexts and have the right pharmaceutical properties to be therapeutically dosed to patients.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shown in step 3 and step 4 in the figure below, after the degrader facilitates the ubiquitination of the target protein, and as the protein is degraded by the proteasome, the molecule separates from the protein, and is able to form another ternary complex to conduct the degradation process again. This iterative mechanism is catalytic, which results in increased potency even at lower concentrations, another key differentiator from other modalities such as small molecule inhibitors and therapeutic antibodies.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706120</wp:posOffset>
            </wp:positionV>
            <wp:extent cx="5349240" cy="3437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1</w:t>
      </w:r>
    </w:p>
    <w:p>
      <w:pPr>
        <w:spacing w:after="0" w:line="23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Due to the unique advantages of TPD, this transformative modality is capable of targeting proteins traditionally undrugged by small molecules. Specifically, TPD can target proteins without a catalytic function such as scaffolding proteins and transcription factors, with small molecule-like drug properties that can potentially be dosed orally and distributed systemically unlike oligo-based therapeutics such as RNAi’s. TPD molecules also are amenable to existing small molecule manufacturing principles which are less costly than other therapeutic modalities. Because of the catalytic nature of the degradation process, we believe the modality has the potential to be therapeutically effective with smaller amounts of drug substance and less frequent dosing than traditional therapeutics.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use of small molecules to affect protein homeostasis has been clinically and commercially validated by multiple drugs over the past two decades. Drugs such as bortezomib and fulvestrant have been understood to inhibit the proteasome and target the estrogen receptor for proteasome-dependent degradation, respectively. More recently, immunomodulatory imide drugs such as lenalidomide and pomalidomide have been understood on a post-hoc basis to direct the degradation of a series of transcription factors via the UPS.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immunomodulatory drugs have validated the concept of using the UPS to degrade proteins and elicit a pharmacological and therapeutic effect in disease settings. However, unlike earlier approaches in this field, TPD takes this proven concept further to prospectively target the degradation of a wider range of proteins through the rational design of heterobifunctional degraders which coordinate the discreet binding of target proteins and E3 ligases to drive the desired protein degradation.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 important factor for the efficiency of a degrader is the specificity and affinity to the targeted E3 ligase. The various E3 ligases have different distribution and cellular localization profiles that are important factors when considering which E3 ligase to use for a particular disease protein target. There are approximately 600 E3 ligases that occur in nature, but to date only a handful of these E3 ligases have been evaluated for therapeutic purposes, leaving a substantial portion of the genome available for targeting.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Pegasus</w:t>
      </w:r>
      <w:r>
        <w:rPr>
          <w:rFonts w:ascii="Times New Roman" w:cs="Times New Roman" w:eastAsia="Times New Roman" w:hAnsi="Times New Roman"/>
          <w:sz w:val="24"/>
          <w:szCs w:val="24"/>
          <w:b w:val="1"/>
          <w:bCs w:val="1"/>
          <w:color w:val="auto"/>
          <w:vertAlign w:val="superscript"/>
        </w:rPr>
        <w:t>TM</w:t>
      </w:r>
      <w:r>
        <w:rPr>
          <w:rFonts w:ascii="Times New Roman" w:cs="Times New Roman" w:eastAsia="Times New Roman" w:hAnsi="Times New Roman"/>
          <w:sz w:val="18"/>
          <w:szCs w:val="18"/>
          <w:b w:val="1"/>
          <w:bCs w:val="1"/>
          <w:color w:val="auto"/>
        </w:rPr>
        <w:t xml:space="preserve"> Platform</w:t>
      </w:r>
    </w:p>
    <w:p>
      <w:pPr>
        <w:spacing w:after="0" w:line="1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proprietary drug discovery platform, called Pegasus, enables us to rationally design targeted protein degraders that have the potential to drug all target classes in the cell. Our approach is rooted in an understanding of the relationship between E3 ubiquitin ligases and target proteins, which allows us to identify the properties that make a target both ligandable and degradable, and determine how multiple factors impact potency, selectivity, pharmacokinetics (PK) and pharmacodynamics (PD). We have built extensive capabilities and knowledge that contributes to the development of our preclinical and clinical pipeline.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proprietary chemistry expertise enables the design and optimization of both E3 ligase and target protein binders, with artificial intelligence (AI) enabled insights, allowing for the opportunity to design of targeted protein degraders with optimal pharmaceutical properties. Additionally, we utilize our E3 ligase Whole-Body Atlas includes the expression profiles of approximately 600 unique E3 ligases. Using this Atlas, we are able to match target proteins with appropriate E3 ubiquitin ligases based on expression, distribution, intracellular localization and biology, a process that is enabled with our machine learning-based algorithms. We continue to utilize our Quantitative System Pharmacology Model, which measures and predicts a diverse set of parameters that impact target protein levels, based on an understanding of PK/PD, both in vitro and in vivo, and across healthy and diseased tissues and cell types. We have also focused on identifying novel tissue restricted or selective E3 ligases, beyond traditional cereblon/IMiD interactions, that enable the design of molecules that target both undrugged and un-ligandable proteins through small molecule interactions.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Therapeutic Pipeline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pipeline includes immunology and oncology programs in various stages of clinical and preclinical development. Our immunology programs include IRAK4, STAT6 and TYK2. Our oncology pipeline includes STAT3 and MDM2. We also have multiple programs in earlier stages of development, not depicted here, and are exploring targets in therapeutic areas outside of oncology and immunology.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publicly-disclosed clinical and near-term clinical stage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360045</wp:posOffset>
            </wp:positionV>
            <wp:extent cx="5760720" cy="2434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w:t>
      </w:r>
    </w:p>
    <w:p>
      <w:pPr>
        <w:spacing w:after="0" w:line="255" w:lineRule="exact"/>
        <w:rPr>
          <w:sz w:val="20"/>
          <w:szCs w:val="20"/>
          <w:color w:val="auto"/>
        </w:rPr>
      </w:pPr>
    </w:p>
    <w:p>
      <w:pPr>
        <w:ind w:right="440" w:firstLine="8"/>
        <w:spacing w:after="0" w:line="212" w:lineRule="auto"/>
        <w:tabs>
          <w:tab w:leader="none" w:pos="72"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KT-474 (SAR444656) partnered with Sanofi, with Kymera option to participate in the development and commercialization, and 50/50 profit split, in the United States. Double digit tiered royalties in ROW;</w:t>
      </w:r>
    </w:p>
    <w:p>
      <w:pPr>
        <w:spacing w:after="0" w:line="1" w:lineRule="exact"/>
        <w:rPr>
          <w:rFonts w:ascii="Times New Roman" w:cs="Times New Roman" w:eastAsia="Times New Roman" w:hAnsi="Times New Roman"/>
          <w:sz w:val="19"/>
          <w:szCs w:val="19"/>
          <w:color w:val="auto"/>
          <w:vertAlign w:val="superscript"/>
        </w:rPr>
      </w:pPr>
    </w:p>
    <w:p>
      <w:pPr>
        <w:ind w:right="2000"/>
        <w:spacing w:after="0" w:line="265"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 xml:space="preserve"> Current indications: HS and AD. Other diseases shown, where IL-1R/TLR pathway has been implicated in pathogenesis, are additional potential opportunities; </w:t>
      </w: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4"/>
          <w:szCs w:val="14"/>
          <w:color w:val="auto"/>
        </w:rPr>
        <w:t xml:space="preserve"> Assessment of STAT3 I/I opportunity is ongoing.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Immunology programs: IRAK4, STAT6 and TYK2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IRAK4</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developing KT-474, a highly active and selective, orally bioavailable IRAK4 degrader, for the treatment of IL-1R/TLR-driven immunology-inflammation conditions and diseases with high unmet medical need. The initial indications being pursued include HS and AD. We have chosen to pursue IRAK4 degradation due to the well-validated role of the IL-1R/TLR pathway in immunology and inflammation and the potential advantage that drugging a single node of multiple different mediators of inflammation has over other approaches focused on targeting one of many cytokines that stimulate the IRAK4 node. IRAK4 is a critical node in the IL-1R/TLR signaling pathway, which is dependent on both IRAK4’s kinase activity and scaffolding function. We have observed through our in vitro and in vivo studies that KT-474 induces IRAK4 degradation, impacting both the kinase and the scaffolding functions, and therefore can efficiently and selectively block IL-1R/TLR-mediated inflammation in a way we believe to be superior to IRAK4 kinase inhibitors. We therefore believe KT-474 has the potential to improve outcomes over current treatment options as well as other drugs currently in development. We are collaborating with Sanofi on the development of drug candidates targeting IRAK4 outside of oncology and immuno-oncology fields. Sanofi recently advanced KT-474 into two Phase 2 clinical trials in patients with HS and AD, and the first patients were dosed in each trial in the fourth quarter of 2023. See the section entitled “Business— Collaborations—Collaboration Agreement with Sanofi" appearing elsewhere in this Annual Report for more information.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STAT6</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developing degraders that target STAT6, an essential transcription factor specific to the IL-4/IL-13 signaling pathway and the central driver of Type 2 inflammation in allergic diseases. STAT6 is a genetically validated target and we believe the pathway has been clinically validated by approved IL-4/IL-13-targeting biologics, such as dupilumab. In preclinical studies, KT-621, our first-in-class oral STAT6 degrader, demonstrated full inhibition of the IL-4/IL-13 pathway in all relevant human cell contexts evaluated with strong picomolar potency similar or superior to pathway biologics such as dupilumab. KT-621 also demonstrated strong activity in multiple preclinical efficacy studies. In addition, at low oral doses, KT-621 demonstrated nearly full in vivo STAT6 degradation and was well-tolerated in multiple preclinical toxicity studies. KT-621 has been developed as a once daily oral small molecule degrader which we believe has the potential to have broad activity across multiple diseases, which may include atopic dermatitis, asthma, chronic obstructive pulmonary disorder, eosinophilic esophagitis and chronic rhinosinusitis with nasal polyps, among others. We expect to initiate a Phase 1 clinical trial in the second half of 2024.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TYK2</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developing degraders that target TYK2, a member of the Janus Kinase or JAK family required for Type I interferon or IFN, interleulin-12, or IL-12 and interleulin-23, or IL-23 signaling. TYK2 is a genetically- and clinically-validated target in autoimmune and inflammatory diseases. TYK2 has a well-established scaffolding function that plays a key role in cytokine receptor surface expression and activation. In preclinical studies, KT-294, our first-in-class oral TYK2 degrader, demonstrated picomolar to nanomolar potencies across all relevant human cell contexts evaluated, representing what we believe is the only approach to TYK2 targeting that has the potential to recapitulate the human loss-of-function biology of nearly full pathway inhibition of Type I IFN, IL-12 and IL-23, while also sparing interleukin-10, or IL-10. Degradation of TYK2 has the potential to overcome the challenges of small molecule inhibitors, which have limitations due to lack of selectivity, limited target engagement, and/or lack of potent activity against Type I IFN. KT-294 has been developed as a once daily oral small molecule degrader with a potential biologics-like activity profile, which we believe has the potential to address conditions such as inflammatory bowel disease, psoriasis, psoriatic arthritis and lupus, among others. We expect to initiate a Phase 1 clinical trial in the first half of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Oncology programs: STAT3 and MDM2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STAT3</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developing our selective STAT3 degraders for the treatment of hematological malignancies and solid tumors. We are also exploring the potential for STAT3 degradation in autoimmune diseases. STAT3 is a transcription factor activated through a variety of different cytokine and growth factor receptors via JAKs as well as through oncogenic fusion proteins and mutations in STAT3 itself. We believe the diverse functions of STAT3 in tumor biology, evasion of immune surveillance by tumor cells, and inflammation and fibrosis provide opportunities to address a wide variety of high unmet need disease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indications through the targeting of a single genetically and clinically validated pathway. While the JAK-STAT pathway has been partially addressed with several clinically successful JAK-targeting agents, we believe there are currently no drugs that specifically affect STAT3 broadly across all the relevant cell types. Small molecule STAT3 dimerization inhibitors targeting the SH2 domain have been in development, but significant challenges remain: first, homology of SH2 domains among all STAT family members impacts the ability to achieve specificity for STAT3, and second, inability to block dimerization independent transcriptional activities of STAT3. For these reasons, we believe that STAT3 degraders may provide a transformative solution to the development of targeted and selective drugs to address multiple STAT3 dependent pathologies. We are currently evaluating our STAT3 degrader, KT-333, in a Phase 1 clinical trial in patients with relapsed/refractory liquid and solid tumors, including aggressive lymphomas. Patient enrollment and dosing are ongoing in the Phase 1a dose escalation portion of the trial, and we expect to provide additional clinical data in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MDM2</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developing degraders that target MDM2 for the treatment of solid tumors and hematological malignancies. MDM2 is the crucial regulator of the most common tumor suppressor, p53, which remains intact (or wild type) in close to 50% of cancers. Unlike small molecule inhibitors, our MDM2 degrader, KT-253, has been shown preclinically to have the ability to overcome the MDM2 feedback loop and rapidly induce apoptosis, even with brief exposures. We initiated a Phase 1 clinical trial of KT-253 in May 2023, which is designed to evaluate the safety, tolerability, PK/PD and clinical activity in adult patients with liquid and solid tumors. Patient enrollment and dosing are ongoing in the Phase 1a dose escalation portion of the trial, and we expect to provide additional clinical data in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Target Selection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realize on the promise of TPD, we have taken a unique and differentiated approach to target selection, which has several key tenets that guide our research and development efforts, as seen in Figure 3. We focus on undrugged or inadequately drugged targets, such as transcription factors and scaffolding proteins, within pathways with clear clinical validation and validation through human genetics/causal biology. We identify targets where TPD is the best or the only solution, with a strong degrader rationale and line of sight to demonstrating superiority of our modality over existing drugs within these pathways. Additionally, we focus on areas of significant patient need and large commercial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128270</wp:posOffset>
            </wp:positionV>
            <wp:extent cx="5349240" cy="2494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Clinical Immunology: IRAK4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developing KT-474, a highly active and selective, orally bioavailable IRAK4 degrader, for the treatment of IL-1R/TLR-driven immuno-inflammatory conditions and diseases with high unmet medical need, including HS, AD and others. We have chosen to pursue IRAK4 degradation due to the well-validated role of the IL-1R/TLR pathway in immunology and inflammation and the potential advantage that drugging a single node of multiple different mediators of inflammation has over other approaches focused on targeting one of many cytokines that stimulate the IRAK4 node. IRAK4 is a critical node in the IL-1R/TLR signaling pathway, which is dependent on both IRAK4’s kinase activity and scaffolding function. We have observed through our in vitro and in vivo studies that KT-474 induces IRAK4 degradation, impacting both the kinase and the scaffolding functions, and therefore can selectively block IL-1R/TLR-mediated inflammation in a way we believe to be superior to IRAK4 kinase inhibitors. We therefore believe KT-474 has the potential to improve outcomes over current treatment options as well as other drugs currently in development. The KT-474 Phase 1 trial, which included healthy volunteers and HS and AD patients, was completed in October 2022. We are collaborating with Sanofi on the development of drug candidates targeting IRAK4 outside of oncology and immuno-oncology fields. Sanofi has advanced KT-474 into Phase 2 clinical trials in patients with HS and AD, both which were initiated in the fourth quarter of 2023. See the section entitled “Business—Collaborations—Collaboration Agreement with Sanofi” appearing elsewhere in this Annual Report for more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Biology and Mechanism of Action</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IRAK4 is a key component of the myddosome, a multiprotein complex involved in innate immunity that mediates signaling through TLRs and IL-1Rs. The IRAK4 protein is ubiquitously expressed across multiple different tissue types, including skin, lymphoid tissue, bone marrow, gastrointestinal tract, and lung.</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function of IRAK4 is dependent both on its kinase activity and on its scaffolding function, which are required for the assembly of the myddosome complex following TLR or IL-1R engagement and MYD88 activation. While the kinase function is primarily responsible for the phosphorylation events in the IRAK4-JNK axis, the scaffolding function is primarily responsible for the NF-KB activation and downstream gene traction of several key pro-inflammatory cytokines and chemokines.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IRAK4 degradation is superior to IRAK4 kinase inhibition as our preclinical data suggests that it is critical to block both the kinase activity and scaffolding functions of the IRAK4 protein, which requires removal, as opposed to just inhibition, of the protein. IL-1 family cytokines, including IL-1a, IL-1ß, IL-18, IL-36, and IL-33, have been implicated in a variety of different immunology-inflammation conditions and diseases. As both TLRs and IL-1Rs are involved in the production and response to all of these IL-1 family cytokines, IRAK4 targeting with a single small molecule degrader could impact multiple different cytokines and chemokines and thereby provide a transformative approach to the treatment of IL-1R/TLR-driven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59690</wp:posOffset>
            </wp:positionV>
            <wp:extent cx="2580005" cy="2400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8000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4</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Development Opportunities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estimate that more than 150 million people in the US, Europe and Japan suffer from TH1-driven diseases. There are numerous cutaneous, rheumatic and gastrointestinal immunology-inflammation disease indications for which pathogenesis involves IL-1 family cytokines as well as TLR stimulation. These present opportunities where we believe a highly efficient and selective IRAK4 degrader would provide significant advantages over both currently approved treatment options and those in clinical development. We are initially prioritizing HS and AD, autoimmune dermatologic conditions where there is clinical proof of concept for targeting cytokines impacted by the IL-1R/TLR pathway but for which there continues to be a high level of unmet need. There are many other diseases where the IL-1R/TLR pathway has been implicated in pathogenesis and could be additional potential opportunities targeting respiratory, GI and rheumatology.</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Hidradenitis Suppurativa</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HS is a chronic, destructive, painful and debilitating inflammatory skin disease affecting up to 1% of both the U.S. and global population. Patients with HS have numerous painful, draining nodules and abscesses, usually within skin folds, that are characterized by inflammation and bacterial colonization. Currently HS is treated symptomatically with corticosteroids, antibiotics and surgery. The only FDA-approved treatment for HS is the anti-TNF antibody adalimumab, which provides some benefit to approximately 50% of patients with moderate-to-severe disease but is not curative. Thus, there remains a high unmet need for better therapies for the treatment of HS.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Bacterial activation of TLRs, as well as the production of IL-1a, IL-1ß, and IL-36 by keratinocytes and inflammatory cells leading to inflammation characterized by high levels of TNF-a, IL-6, and IL-17, are central to the pathogenesis of HS. Monoclonal antibodies targeting individual cytokines such as IL-1a (bermekimab), IL-1a/ß receptor (anakinra), and IL-17 (secukinumab and bimekizumab) have shown preliminary clinical activity in HS and provide clinical validation for targeting the IL-1R/TLR pathway in HS. As such, an IRAK4 degrader which acts on multiple cytokines as well as TLRs has the potential to offer a significant advantage over the single-cytokine-targeting agents currently being developed.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Atopic Dermatitis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 is a chronic, pruritic inflammatory skin disease that occurs most frequently in children but also affects adults. In the major global markets, the diagnosed prevalence of AD is estimated over 60 million patients, with approximately 40%, or 24 million, falling into the moderate-to-severe category. AD follows a chronic relapsing course over month to years, with dry skin and severe pruritus as the primary symptoms, sometimes accompanied by skin thickening from chronic scratching and fissuring. AD is treated symptomatically with topical therapies, including emollients, corticosteroids, and phosphodiesterase inhibitors. The leading FDA-approved systemic treatment is the IL-4Ra targeting antibody dupilumab, though only approximately 40% of moderate-to-severe disease patients met the primary endpoint in its Phase 3 trials, leaving a significant percentage of patients who are currently underserved.</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Furthermore, there is evidence that IL-18 and IL-1 are both involved in the generation of inflammation in both AD and other autoimmune and inflammatory diseases, including eosinophilic asthma and chronic rhinosinusitis. Single-cytokine-targeting monoclonal antibodies against IL-18 (GSK1070806) and IL-1a (bermekimab)have shown preliminary clinical activity in AD while a monoclonal antibody against IL-1a/b (lutikizumab) has shown preliminary clinical activity in HS. Thus, we believe the ability of an IRAK4 degrader to impact the production of both IL-18 and IL-1, through complete TLR signaling blockade, and the cellular response to both cytokines, through complete IL-1R signaling blockade, provides a compelling mechanistic rationale for development in AD and HS and other autoimmune and inflammatory diseases.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Clinical Studies and Data</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2021, we completed dose escalation in the Single Ascending Dose, or SAD and Multiple Ascending Dose, or MAD portions of the KT-474 Phase 1 trial in healthy volunteers. The trial evaluated safety, tolerability and pharmacokinetics in 105 healthy volunteers. The SAD portion consisted of single doses ranging from 25 to 1600 mg. The MAD portion consisted of escalating doses ranging from 50 mg to 200 mg that were administered for 14 consecutive days. Highlights of the healthy volunteer portion of the trial included robust (&gt;95%) and sustained IRAK4 degradation with single and multiple daily doses (Figure 5) and broad inhibition of ex vivo TLR-mediated cytokine induction (Figure 6). KT-474 was generally well-tolerated across all dose groups.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2411095</wp:posOffset>
            </wp:positionH>
            <wp:positionV relativeFrom="page">
              <wp:posOffset>843280</wp:posOffset>
            </wp:positionV>
            <wp:extent cx="3025775" cy="2786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302577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158750</wp:posOffset>
            </wp:positionV>
            <wp:extent cx="3240405" cy="257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4040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6</w:t>
      </w:r>
    </w:p>
    <w:p>
      <w:pPr>
        <w:spacing w:after="0" w:line="23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Following the healthy volunteer portion of the trial, we completed a single dose, food-effect cohort to establish the dose for the patient cohort, or Part C, of the KT-474 Phase 1 trial, which included HS and AD patients and which was completed in October 2022. The HS and AD patient cohort was an open label study in 21 patients with HS and AD. The patients were administered a 75 mg daily dose taken with food, which we estimated would be equivalent exposure to 100 mg fasted, one of the doses in our SAD/MAD trial. The patient cohort dose of 75 mg was administered for 28 consecutive days.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KT-474 plasma PK at the 75 mg once daily, or QD dose (in the fed state) in patients was comparable to healthy volunteers in the MAD portion of the Phase 1 clinical trial who received 100 mg once daily in the fasted state, the MAD cohort which we refer to as MAD3. Additionally, mean Cmax (6-hour post dose concentration) and Ctrough (pre-dose concentration) levels at steady state in Part C were in line with MAD3 levels at Day 14, and the mean half-life of 44 hours was within the range observed in MAD (34-59 hours). Additionally, KT-474 concentrations in plasma led to a comparable level of IRAK4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degradation in healthy volunteers and HS/AD patients. Specifically, at concentrations above 3 ng/mL degradation was generally above 80% in both populations. Additionally, IRAK4 levels in PBMC in patients with evaluable samples were near the lower limit of quantification at Day 28.</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KT-474 demonstrated high skin exposure in the skin of evaluable HS and AD patients, as shown below in 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85725</wp:posOffset>
            </wp:positionV>
            <wp:extent cx="2597150" cy="258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7</w:t>
      </w:r>
    </w:p>
    <w:p>
      <w:pPr>
        <w:spacing w:after="0" w:line="2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baseline IRAK4 levels in skin lesions of evaluable HS and AD patients were approximately twice the levels of healthy volunteers. By Day 28 of dosing, the mean IRAK4 level in skin lesions of AD and HS patients was reduced to approximately the same level as healthy subjects, as shown below in 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191770</wp:posOffset>
            </wp:positionV>
            <wp:extent cx="2768600" cy="25285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6860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8</w:t>
      </w:r>
    </w:p>
    <w:p>
      <w:pPr>
        <w:spacing w:after="0" w:line="23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KT-474 was generally well-tolerated. There were no serious adverse events, no drug-related infections, and no adverse events observed leading to dose interruption or discontinuation. A modest, non-adverse QTc prolongation, consistent with that observed by Day 7 in the MAD portion of the healthy volunteer study, was also observed in the patient cohort but spontaneously resolved back to baseline with continued dosing during the 28-day dosing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determine whether KT-474 had a systemic anti-inflammatory effect in HS and AD patients, plasma levels of IL-6, CRP, SAA and IL-1b were measured at baseline and at various times during and after the 28-day treatment period. In patients whose baseline levels were greater than the upper limit of normal, the evaluable patients showed suppression of all 4 analytes, with mean maximum reductions through Day 42 ranging from 41 to 63%. The patient cohort also evaluated how systemic IRAK4 degradation in blood and skin would affect the expression of proinflammatory genes known to be relevant to either AD or HS. In AD, affected genes included the Th2 cytokine IL-5, the inflammasome NLRP3, as well as CXCL1 and IL-2RB. Genes affected in HS included IL-1 family cytokines IL-1 and IL-36A, mediators of Th1 inflammation such as IFN-g and GZMB, the Th17 cytokine IL-17A, and drivers of innate immunity such as IL-8 and CSF3. The downregulation was substantial with many genes inhibited more than 90% in both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62865</wp:posOffset>
            </wp:positionV>
            <wp:extent cx="4174490" cy="25285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7449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9</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†log2(fold change): -1 = 50% decrease, -2 = 75% decrease, -3 = 87.5% decrease.</w:t>
      </w:r>
    </w:p>
    <w:p>
      <w:pPr>
        <w:spacing w:after="0" w:line="20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Part C included exploratory clinical endpoints used for HS and AD. The endpoints were chosen to assess the effect of KT-474 treatment on the burden of skin disease as well as on symptoms such as pain and pruritus that impact quality of life for HS and AD patients. In AD patients, as shown in Figure 10, there was a mean 37% reduction in skin lesions as measured using the Eczema Area and Severity Index (EASI) score, with reductions in individual patients of up to 76%. Maximum reduction was seen by Day 28 and was maintained at Day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57150</wp:posOffset>
            </wp:positionV>
            <wp:extent cx="2665730" cy="256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6573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10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shown in Figure 11, mean peak pruritus in AD patients over the past week or past 24 hours was reduced by 52% and 63%, respectively, with maximum reductions occurring by Day 42. Peak pruritus responders, defined as ≥4 Unit reduction in peak pruritus over the past week or past 24 hours, were seen in 57% and 71% of AD patients, respectively, with responses sustained after Day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191770</wp:posOffset>
            </wp:positionV>
            <wp:extent cx="2682875" cy="257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28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11</w:t>
      </w:r>
    </w:p>
    <w:p>
      <w:pPr>
        <w:spacing w:after="0" w:line="23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Validated Investigator’s Global Assessment, or vIG, of disease severity improved in 2 of 7 AD patients and remained stable in the others out to Day 42.</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HS patients, the efficacy analyses were performed in all patients, which included two patients with very severe disease. In addition, efficacy analyses were also performed in a subset of HS patients that only had moderate to severe disease, which was the target population for this study. The AN count was reduced by up to an average of 46% in all HS patients and by an average of 51% in the moderate to severe subset, with reductions in individual patients of up to 100% and with maximum reduction occurring by Day 42. The proportion of patients achieving an AN count of 0, 1 or 2 at Day 28 was 42% in all HS patients and 50% in those with moderate to severe disease. HiSCR50 response is defined as a 50% or greater reduction in AN count and no increase in abscesses or draining fistulas. As shown in Figure 12, at Day 42, the proportion of HiSCR50 responders was 42% in all HS patients and 50% in those with moderate to severe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200025</wp:posOffset>
            </wp:positionV>
            <wp:extent cx="2657475" cy="2494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747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12</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HiSCR75 response, defined as 75% or greater reduction in AN count, was seen in 25% of all HS patients and 30% of those with moderate to severe disease.</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Symptoms of pain and pruritus were also measured. As shown in Figure 13, there was a 49 to 55% mean reduction in the Pain Numerical Rating Scale, or NRS, in all HS patients and in those HS patients with moderate to severe disease, respectively, with maximum reduction occurring between Days 28 and 42. Pain NRS30 response is defined as at least a 30% reduction and at least one unit reduction from baseline in Pain NRS. As also shown in Figure 13, the Pain NRS responder rate was 50% in all HS patients and 60% in those HS patients with moderate to severe disease, sustained after Day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57150</wp:posOffset>
            </wp:positionV>
            <wp:extent cx="2545715" cy="2425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571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13</w:t>
      </w:r>
    </w:p>
    <w:p>
      <w:pPr>
        <w:spacing w:after="0" w:line="23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also was a mean reduction in peak pruritus of 62% in all HS patients and 68% in those HS patients with moderate to severe disease, with maximum reduction by Day 42 in all HS patients and by Day 28 in those with moderate to severe disease. Additionally, the Physician’s Global Assessment of disease severity improved in 5 HS patients, including clearing of disease in 1 patient with moderate disease at baseline, and remained stable in the other evaluable patients out to Day 42.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fourth quarter of 2023, the first patients were dosed in the Phase 2 clinical trials of KT-474 in HS and AD.</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Phase 2 clinical trial in HS, or ZEN, is a double blind, placebo-controlled, 2-arm randomized trial consisting of a KT-474 oral tablet, or placebo, once-daily. The primary outcome measure is percent change from baseline in total abscess and inflammatory nodule (AN) count. Select secondary outcome measure include proportion of patients achieving HiSCR50, AN Count ≤2; absolute change from baseline in HIS4; proportion of patients with improvement in Hurley Stage, AN50; change from baseline in reported daily worst pain HS-Skin Pain-NRS; and proportion of participants achieving at least 30% reduction and at least 1 unit reduction in daily worst pain using HS-Skin Pain-NRS.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Phase 2 clinical trial in AD, or ADVANTA, is a double blind, placebo-controlled, 3-arm randomized trial consisting of a KT-474 dose 1 oral tablet, a KT-474 dose 2 oral tablet, or placebo, once-daily. The primary outcome measure is percent change from baseline in EASI. Select secondary outcome measure include proportion of participants with vIGA-AD of 0 or 1 and a reduction from baseline of ≥2 points; proportion of participants achieving EASI-50 EASI-75 EASI-90; proportion of participants with reduction of weekly average of daily PP-NRS by ≥4 points from baseline; percent change from baseline in weekly average of daily PP-NRS; and absolute change from baseline in weekly average of daily PP-NRS.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Topline data from the two ongoing trials is expected in the first half of 2025. Additionally, Kymera and Sanofi are evaluating opportunities to expand in indications beyond HS and AD.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Preclinical Immunology: STAT6 and TYK2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developing degraders that target STAT6, an essential transcription factor specific to the IL-4/IL-13 signaling pathway and the central driver of Type 2 inflammation in allergic diseases. STAT6 is a genetically validated target and the pathway has been clinically validated by approved IL-4/IL-13-targeting biologics, including dupilumab.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Biology and Mechanism of Action</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STAT6 is the specific transcription factor required for IL-4 and 13 cytokine signaling. There are two types of IL-4 receptors, type I consisting of IL-4 receptor alpha and gamma C, and type II with IL-4 receptor alpha and IL-13 receptor alpha 1. IL-4 signals through both type I and II receptors and IL-13 signals through type II only. Upon IL-4 or IL-13 binding to the receptor, the downstream activated JAK kinases phosphorylate and activate STAT6, leading to allergic TH2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57150</wp:posOffset>
            </wp:positionV>
            <wp:extent cx="2931795" cy="2339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3179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14</w:t>
      </w:r>
    </w:p>
    <w:p>
      <w:pPr>
        <w:spacing w:after="0" w:line="23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STAT6 regulated cytokines are clinically validated targets for allergic diseases as demonstrated by the clinical efficacies of the biologics targeting IL-4 and IL-13 signaling. Unlike JAK inhibitors, which are activated by multiple cytokine pathways, STAT6 is specifically activated by IL-4 and 13 cytokines, which supports STAT6 as a means to selectively block IL-4 and 13 signaling. The pathogenic role of STAT6 is also supported by human genetics showing that gain of function mutations of STAT6 cause severe early onset allergic diseases in human. Additionally, STAT6 knockout in mice is protective in multiple allergic disease models, and those mice develop normally and are viable and fertile.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Opportunities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estimate that more than 150 million people in the US, Europe and Japan suffer from TH2-driven diseases. There are existing pathway therapeutics that have validated many of these diseases, including atopic dermatitis, prurigo nodularis, Asthma, COPD, chronic rhinosinusitis with nasal polyps, eosinophilic esophagitis and others.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STAT6 degradation has the potential to demonstrate full pathway inhibition comparable to biologics, but with the benefit of a simple, daily, oral profile. The preference that many patients may have for an oral option could allow us to access many more patients worldwide than current injectable biologics, potentially transforming the treatment paradigm of TH2 diseases.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Preclinical Studies and Data</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lead STAT6 degrader, KT-621, is an extremely potent degrader of STAT6. As shown in Figure 15, KT-621 demonstrated picomolar degradation potencies across all the disease relevant human primary cell types that were studied, making KT-621 one of the most potent heterobifunctional degraders we have designed and tested at Kymera. We demonstrated STAT6 degradation across hematopoietic cells which are involved in all TH2 diseases; epithelial cells, including keratinocytes and lung epithelial cells, which are involved in skin and respiratory indications; smooth muscle cells from the lung and esophagus, which are involved in respiratory and GI indications; and vascular endothelial cells which are involved in inflammatory cell infiltration in all TH2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130810</wp:posOffset>
            </wp:positionV>
            <wp:extent cx="3094355" cy="267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9435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15</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demonstrated dose-dependent degradation across both Hematopoietic cells and tissue cells, as shown below in Figure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154305</wp:posOffset>
            </wp:positionV>
            <wp:extent cx="2674620" cy="2837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7462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16</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1" w:name="page22"/>
    <w:bookmarkEnd w:id="2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use mass spectrometry to measure the degradation selectivity profile of all our programs, including STAT6. The following figure is a volcano plot that depicts the degradation selectivity of KT-621. As shown in the figure, at concentrations as high as 100 times the DC90 of KT-621, STAT6 is the only protein that KT-621 degraded out of the approximately 10,000 proteins that were detected by mass spectrometry. Specifically, no other STAT proteins were degraded, demonstrating the very high degradation selectivity of KT-621.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331470</wp:posOffset>
            </wp:positionV>
            <wp:extent cx="2425700" cy="2674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257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17</w:t>
      </w:r>
    </w:p>
    <w:p>
      <w:pPr>
        <w:spacing w:after="0" w:line="2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tested KT-621 for functional selectivity against all the other STAT proteins in cytokine assays, which are shown below in the tables and graphs. Consistent with the observed proteomics selectivity, KT-621 only inhibited STAT6 function, and did not impact any other STAT proteins, as shown in the flat dose response curves, further demonstrating the high functional selectivity of KT-621.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54610</wp:posOffset>
            </wp:positionV>
            <wp:extent cx="4363085" cy="1954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6308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18</w:t>
      </w:r>
    </w:p>
    <w:p>
      <w:pPr>
        <w:spacing w:after="0" w:line="23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KT-621 was also evaluated in TH2 functional assays to assess its impact on IL-4 and 13 signaling. Specifically, we measured IL-4 and 13 induced TARC release assays in human PBMC, IL-4 and 13 induced CD23 expression assays in human CD19 B cells (which is a B cell activation marker and correlates with IgE class switch) and IL-13 induced periostin release assays in human bronchial and esophageal smooth muscle cells. We chose TARC, IgE and periostin as PD biomarkers as they are all well-established biomarkers that are used in the clinic for TH2 diseases. We also compared the ability of KT-621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block the pathways with dupilumab. As shown below in Figure 19, in our preclinical testing, KT-621 fully blocked the IL-4/IL-13 pathway in human TH2 functional assays with IC50’s lower than dupilumab.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320040</wp:posOffset>
            </wp:positionV>
            <wp:extent cx="4440555" cy="21088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4055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19</w:t>
      </w:r>
    </w:p>
    <w:p>
      <w:pPr>
        <w:spacing w:after="0" w:line="23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also evaluated KT-621 by assessing levels of degradation in vivo. In our studies, KT-621 robustly degraded STAT6 across multiple preclinical species including mouse, rat, dog and non-human primates. Specifically, KT-621 was able to achieve dose-dependent deep degradation of STAT6 with low oral doses. In Figure 20, we depict KT-621’s in vivo degradation in dogs, illustrating dose-dependent degradation. We tested doses ranging from 0.2 to 12.8 mpk, with doses between approximately 1 and 3 mpk leading to maximal STAT6 degradation near depletion. Additionally, in our studies KT-621 demonstrated rapid degradation onset, notably within just a few hours following a single oral dose. These results, and other PK/PD studies we have completed, suggest the potential for low and developable efficacious doses of KT-621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199390</wp:posOffset>
            </wp:positionV>
            <wp:extent cx="2880360" cy="2802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8036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20</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also evaluated the degradation of STAT6 in key disease relevant tissues in non-human primates. The following Figure 21 illustrates that KT-621, dosed at 10 mpk for 14 days, degraded STAT6 across key disease-relevant tissues, including blood, spleen, skin and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45720</wp:posOffset>
            </wp:positionV>
            <wp:extent cx="2854325" cy="256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432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21</w:t>
      </w:r>
    </w:p>
    <w:p>
      <w:pPr>
        <w:spacing w:after="0" w:line="2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above degradation represented dosing at the lowest dose level in our dose range finding safety study. In that study, we dosed as high as 300 mpk daily for 14 days and reached concentrations that were above 40-fold of our efficacious concentration. At all dose levels in our study, including the highest dose level, KT-621 was well tolerated with no adverse events or relevant findings.</w:t>
      </w:r>
    </w:p>
    <w:p>
      <w:pPr>
        <w:spacing w:after="0" w:line="17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preclinical models of the skin and lung, we assessed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of KT-621. First, we assessed KT-621 in a two-week atopic dermatitis model induced by topical application of low-calcemic vitamin D3 analog MC903. The model utilized IL-4/IL-4Rα humanized mice which allowed response to dupilumab and enabled us to compare preclinical activity. KT-621 was dosed once daily orally for 11 days at 2, 8, and 32 mpk. These doses led to ~70%, 80% and 90% degradation, respectively, in the spleen as illustrated in Figure 22. In this preclinical study, dupilumab was dosed 4 times subcutaneously, at 25 mpk twice weekly, a level expected to ensure constant IL-4Rα saturation with full IL-4/13 blockade. We estimated that dose to be equivalent to 300 mg every other week in humans, which is the highest approved dose regimen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59690</wp:posOffset>
            </wp:positionV>
            <wp:extent cx="2202815" cy="25031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0281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22</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illustrated in Figure 23, the prominent TH2 inflammation demonstrated by the elevated total serum IgE in the PO vehicle and the SubQ IgG4 control groups, compared to the no MC903 group. In contrast, KT-621 robustly and dose dependently inhibited IgE elevation to levels that were comparable to dupilumab, in this preclinical study. Of note, the KT-621 dose that led to 90% STAT6 degradation produced similar activity in this preclinical model to an IL-4Rα saturating dose of dupilumab, indicating full IL-4 and IL-13 blockade by KT-621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57150</wp:posOffset>
            </wp:positionV>
            <wp:extent cx="2005965" cy="2425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0596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Significance to PO vehicle (MC903); # Significance to SC IgG4 25 mpk BIW</w:t>
      </w:r>
    </w:p>
    <w:p>
      <w:pPr>
        <w:spacing w:after="0" w:line="20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assessed KT-621 in a one-month lung inflammation model induced by intranasal house dust mite (HDM) administration, which we believe is considered to be the most relevant preclinical model of TH2 inflammation. Unlike ovalbumin, which is commonly used in mouse models but does not induce airway inflammation in humans, house dust mite is a real-world allergen that can induce asthma in humans. The intranasal HDM model has a dominant TH2 inflammation and was used for the preclinical development of dupilumab. Similar to the skin model previously described, we used the IL4/IL4Rα humanized mice. KT-621 was dosed once daily orally for 31 days at the same three dose levels, 2, 8 and 32 mpk, leading to 72, 85 and 91% degradation in the spleen, respectively, consistent with the previous skin model. Dupilumab was dosed 9 times subcutaneously twice weekly at 25 mpk, meant to ensure constant IL-4Rα saturation with full IL-4/IL-13 blockade, and similarly equivalent to that of the highest approved dose of 300 mg every other week in humans.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illustrated in Figure 24, the dominant TH2 inflammation was demonstrated by the greatly elevated IgE in the serum, TARC and periostin release in the bronchoalveolar lavage, and eosinophil recruitment to the lung. All are well-established TH2 biomarkers. KT-621 showed robust inhibition at all three dose levels. In this preclinical study, KT-621 blocked TH2 inflammation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equally or better than an IL-4Rα saturating dose of dupilumab in the intranasal HDM asthma model for all these TH2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57150</wp:posOffset>
            </wp:positionV>
            <wp:extent cx="5323205" cy="1577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2320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*Significance to PO vehicle (HDM); # Significance to SC IgG4 Ctrl 25 mpk</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lead STAT6 degrader, KT-621, is currently in IND enabling studies. We expect to begin a Phase 1 clinical trial in the second half of 2024, and to report the Phase 1 results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TYK2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developing highly potent and selective degraders of TYK2, a member of the JAK family required for Type I interferon, or IFN, IL-12 and IL-23 signaling with both genetic and clinical validation in autoimmune and inflammatory diseases.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Biology and Mechanism of Action</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seen in Figure 25, TYK2, a member of the JAK family of kinases, binds the IL-12, IL-23 and Type I IFN receptors to recruit and phosphorylate signal transducer and activation of transcription (STAT) transcription factors. Additionally, TYK2 has a well-established scaffolding function that plays a key role in cytokine receptor surface expression and activation. A loss of function variant is protective in autoimmune diseases and an allosteric inhibitor (deucravacitnib) of TYK2 as well as multiple biological agents targeting IL-12, IL-23 and IFN-α have been approved for the treatment of multiple autoimmune diseases, making TYK2 a highly validated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334010</wp:posOffset>
            </wp:positionV>
            <wp:extent cx="3051810" cy="2322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5181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25</w:t>
      </w:r>
    </w:p>
    <w:p>
      <w:pPr>
        <w:spacing w:after="0" w:line="23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Degradation of TYK2, which can fully recapitulate the human knockout biology by completely removing the protein, has the potential to overcome the challenges of small molecule inhibitors, which have limitations due to lack of selectivity, limited target engagement, and/or lack of potent activity against Type I IFN. TYK2 degraders therefore have the potential to achieve full pathway inhibition of Type I IFN, IL-12 and IL-23 while sparing IL-10 in a once daily oral pill with a potential biologics-like activity profile.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Opportunities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estimate that more than 20 million people in the US, Europe and Japan suffer from Type I IFN and IL-12/IL-23 mediated diseases. There are numerous indication opportunities across multiple immunological therapeutic areas including dermatology, gastroenterology, rheumatology, and CNS. The potential for TYK2 to be effective across multiple indications is supported by pathway biologics and TYK2 small molecule inhibitors. We believe that TYK2 degradation differentiates from inhibition and has the potential to demonstrate full pathway inhibition comparable to biologics, but with the benefit of a daily, oral profile.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Preclinical Studies and Data</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developed a highly potent and selective TYK2 degrader, KT-294. In Figure 26, our proteomics data demonstrates KT-294, a highly selective picomolar TYK2 degrader, recapitulates TYK2 human deficiency biology and fully inhibits Type I IFN and IL-12/23 signaling and spares IL-10/IL-22. In particular, KT-294 is extremely selective over the JAK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191770</wp:posOffset>
            </wp:positionV>
            <wp:extent cx="2237105" cy="2768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3710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26</w:t>
      </w:r>
    </w:p>
    <w:p>
      <w:pPr>
        <w:spacing w:after="0" w:line="2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Figure 27, we achieved picomolar degradation in human PBMC and keratinocytes and low nM inhibition of our functional assays across a range of cell types. We have potent preclinical efficacy on the IL-23 and IL-12 signaling pathways in PBMCs and potent inhibition on the Type I IFN pathway in PBMCs and also in specific B-cell assays. We demonstrated that we spare the IL-10 and IL-22 pathways completely.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191770</wp:posOffset>
            </wp:positionV>
            <wp:extent cx="2459990" cy="2631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27</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7" w:name="page28"/>
    <w:bookmarkEnd w:id="2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IL-10 has essential roles in intestinal homeostasis such as epithelial repair and mucosal healing, which is important in diseases such as Inflammatory Bowel Disease, or IBD. In fact, loss of function mutations of IL-10 cause early onset refractory colitis in humans. In Figure 28, we show western blots demonstrating that when TYK2 is not present in a cell, we can induce pSTAT3 with IL-10, showing TYK2 is not necessary for IL-10 signaling. We also show the TYK2 small molecule inhibitor, deucravacitinib, can block that pathway signaling exclusively due to its ability to inhibit JAK1, and not through TYK2.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59690</wp:posOffset>
            </wp:positionV>
            <wp:extent cx="2571750" cy="19799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175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28</w:t>
      </w:r>
    </w:p>
    <w:p>
      <w:pPr>
        <w:spacing w:after="0" w:line="2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Figure 29, we have an assay where we induce phospho-STAT3 in monocytes with IL-10, in this context our degrader has no effect on pSTAT3 because it doesn’t inhibit the IL-10 pathway. However, in contrast, deucravacitinib potently inhibits the IL-10 signaling as shown with the decrease of the orange data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328930</wp:posOffset>
            </wp:positionV>
            <wp:extent cx="2400300" cy="213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0030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29</w:t>
      </w:r>
    </w:p>
    <w:p>
      <w:pPr>
        <w:spacing w:after="0" w:line="2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Similarly in Figure 30, we have monocytes where we use IL-10 to suppress LPS induced TNF-α. KT-294 has no effect on IL-10 suppression of LPS induced TNF-α release, however deucravacitinib inhibits IL-10’s function of suppressing LPS induced TNF-α release and see an increase in TNF-α, which is demonstrated by the orange data points.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2471420</wp:posOffset>
            </wp:positionH>
            <wp:positionV relativeFrom="page">
              <wp:posOffset>706120</wp:posOffset>
            </wp:positionV>
            <wp:extent cx="2571750" cy="2143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30</w:t>
      </w:r>
    </w:p>
    <w:p>
      <w:pPr>
        <w:spacing w:after="0" w:line="23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we compared KT-294 to TAK-279, an investigational TYK2 inhibitor that is selective over JAK, and as a result spares IL-10. In our experiment, we used a concentration of TAK-279 that was expected to fully occupy TYK2 and a concentration of KT-294 that was expected to fully degrade TYK2 to assess if there were any biological differences between the two compounds. The concentrations were determined based on the IC95 of the IFNα pSTAT2 assay which is the most difficult TYK2-related cytokine assay to inhibit. RNAseq data show KT-294 has superior inhibition of the IFN pathway signature genes, as illustrated in the 21 gene signature score in Figure 31. Differences in the innate immune pathway, as shown in Figure 32, were observed. We believe this is due to the fact KT-294 fully removes the protein, and all possible scaffolding functions, phenocopying human knockout. Based on clinical findings, TAK-279 does not achieve clinical exposures of more than about 77nM with 35mg repeat dosing, which is close to the TAK-279 Phase 3, 30 mg dose. At clinically relevant exposures, we believe it is likely that TAK-279 will not reach these levels of pathway inhibition shown by KT-294 in figure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337185</wp:posOffset>
            </wp:positionV>
            <wp:extent cx="2700020" cy="2708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0002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31</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706120</wp:posOffset>
            </wp:positionV>
            <wp:extent cx="2674620" cy="2700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267462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32</w:t>
      </w:r>
    </w:p>
    <w:p>
      <w:pPr>
        <w:spacing w:after="0" w:line="2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KT-294 achieved dose dependent deep degradation of TYK2 in vivo with low oral doses. Specifically, in non-human primates, or NHP, upon repeat daily low oral doses, KT-294 can degrade TYK2 in a dose responsive manner and reach full degradation of TYK2, providing a path to pharmacological target engagement, as shown in figure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328930</wp:posOffset>
            </wp:positionV>
            <wp:extent cx="2597150" cy="25203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9715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33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to initiate a Phase 1 clinical trial of our TYK2 degrader, KT-294, in the first half of 2025 and to report data in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Clinical Oncology: STAT3 and MDM2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developing our selective STAT3 degraders for the treatment of hematological malignancies and solid tumors. We are also exploring the potential for STAT3 degradation in autoimmune diseases. STAT3 is a transcription factor activated through a variety of different cytokine and growth factor receptors via JAKs, as well as through oncogenic fusion proteins and mutations in STAT3 itself. We believe the diverse functions of STAT3 in tumor biology, evasion of immune surveillance by tumor cells, and inflammation and fibrosis provide opportunities to address a wide variety of high unmet need disease indications through the targeting of a single genetically and clinically validated pathway. While the JAK-STAT pathway has been partially addressed with several clinically successful JAK-targeting agents, we believe there are currently no drugs that specifically affect STAT3 broadly across all the relevant cell types. Small molecule STAT3 dimerization inhibitors targeting the SH2 domain have been in development, but significant challenges remain. Homology of SH2 domains among all STAT family members impacts the ability to achieve specificity for STAT3, and an inability to block dimerization independent transcriptional activities of STAT3. For these reasons, we believe that STAT3 degraders may provide a transformative solution to the development of targeted and selective drugs to address multiple STAT3 dependent pathologies. We are currently evaluating our STAT3 degrader, KT-333, in a Phase 1 clinical trial in patients with relapsed/refractory liquid and solid tumors, including aggressive lymphomas. Patient enrollment and dosing are ongoing in the Phase 1a portion of the trial, and we expect to provide additional clinical data in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Biology and Mechanism of Action</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STAT3 (signal transducer and activator of transcription 3) is a transcription factor and a member of the STAT protein family. In response to cytokines and growth factors, STAT3 is phosphorylated by receptor-associated serine/threonine kinases, and phosphorylated STAT3, or p-STAT3, then forms dimers that translocate into the nucleus, bind to DNA, and regulate transcription of a wide variety of genes involved in oncogenesis, inflammation and fibrosis. STAT3 is frequently mutated and activated in numerous cancers, including clinically aggressive hematologic malignancies with high unmet medical need. Mechanistically, aberrant activation of STAT3 has been directly linked to the promotion of cancer cell survival, proliferation, and metastasis. In addition, STAT3 regulates the crosstalk between tumor, stroma, and immune cells to promote an immunosuppressive tumor microenvironment. STAT3 activation by IL-6 and TGF-ß is also involved in the pathogenesis of autoimmunity and fibrosis. These various roles of STAT3 in disease pathogenesis make it an attractive target for drug development in cancer and autoimmune and fibrotic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201930</wp:posOffset>
            </wp:positionV>
            <wp:extent cx="3086100" cy="2031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8610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34</w:t>
      </w:r>
    </w:p>
    <w:p>
      <w:pPr>
        <w:spacing w:after="0" w:line="200" w:lineRule="exact"/>
        <w:rPr>
          <w:sz w:val="20"/>
          <w:szCs w:val="20"/>
          <w:color w:val="auto"/>
        </w:rPr>
      </w:pPr>
    </w:p>
    <w:p>
      <w:pPr>
        <w:spacing w:after="0" w:line="24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Small molecule inhibitors against JAK family kinases, such as JAK1, JAK2, JAK3, and TYK2, have been approved for the treatment of autoimmune diseases such as rheumatoid arthritis, psoriatic arthritis, and ulcerative colitis and target the JAK2/STAT5 pathway. In oncology, JAK inhibitors have been approved for hematological malignancies with mutations leading to activation of the JAK2/STAT5 pathway, including primary myelofibrosis and polycythemia vera, and for acute graft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versus host disease. JAK inhibitors block signaling of a number of cytokines and growth factors and reduce activation not only of STAT3 but also STAT1 and STAT5 in response to these stimuli. For modulating anti-tumor effects, this broad activity may have conflicting consequences. In particular, the inhibition of STAT1 activity dampens anti-tumor immune responses by cytolytic T cells and antigen presenting cells, thereby counteracting a productive immune response that could be achieved by inhibition of STAT3 alone. As a result, JAK inhibitors have not shown clinical activity in cancer beyond the myeloproliferative neoplasms. The broad activity of JAK inhibitors is also associated with class-specific adverse effects. By targeting STAT3 selectively, these immunosuppressive and safety liabilities associated with broader STAT1 and STAT5 inhibition through JAK inhibition may be avoided while also effectively addressing JAK-dependent and independent activation of STAT3. Monoclonal antibodies directed against pro-inflammatory cytokines such as IL-6 or their receptors IL-6R have also been approved for select autoimmune diseases. However, autoimmune and fibrotic diseases and certain cancers are often regulated by multiple cytokines. As such, targeting STAT3 has the potential to be more effective since it is involved in signaling by not just IL-6, but also by TGF-ß and cytokines such as IL-12, IL-2 and IL-15. Consequently, targeting STAT3 directly has the potential to block multiple signaling pathways that converge on STAT3 and reverse pathological processes that contribute to a tumor-permissive microenvironment.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Opportunities</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multiple effects of a STAT3 degrader on oncogenesis, tumor cell resistance to tyrosine kinase inhibitors and chemotherapy, and evasion of immune surveillance provide multiple development opportunities in hematologic malignancies and solid tumors.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Hematologic Malignancies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Oncogenic STAT3 mutations and/or STAT3 pathway activations are highly common in peripheral T-cell lymphoma, or PTCL and cutaneous T-cell lymphoma, or CTCL. Every year, approximately 8,000 patients are diagnosed with PTCL and approximately 6,000 patients are diagnosed with CTCL across major global markets. STAT3 mutations and pathway activations along with responsiveness of PTCL subsets and CTCL to immune checkpoint inhibitors point to a dependency on STAT3 in these indications and therefore the opportunity to develop a STAT3 degrader as a monotherapy. The standard of care for first-line treatment of PTCL is the combination of brentuximab vedotin, a CD30-directed antibody-drug conjugate, and chemotherapy. The majority of PTCL patients, including ALK-ALCL, PTCL-Not Otherwise Specified, AITL and NK/T lymphoma subtypes, eventually progress and die of their disease. For patients with refractory/relapsed disease, current treatment options are limited and approved therapies pralatrexate and romidepsin have shown limited efficacy. High prevalence of STAT3 mutations (approximately 13-38%) and STAT3 pathway activation (up to 90%) is found in these refractory/relapsed PTCL subsets with high unmet need. Given the documented effect of STAT3 downregulation on levels of programmed death-ligand 1, or PD-L1, we expect our STAT3 degrader to have a dual effect in these patients. In CTCL patients with advanced stage disease and the highest levels of STAT3 activation, there are no curative therapies and no standard of care. Antibody-drug conjugates, HDAC inhibitors, and immune checkpoint inhibitors have some activity and are used upfront or in refractory/relapsed patients, but there remains a high unmet need for an effective therapeutic with both tumor-intrinsic as well as immunomodulatory antitumor effects.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STAT3 pathway activation is also present in virtually all patients with T- and NK-cell large granular lymphocytic leukemia, and up to 70% of patients have oncogenic STAT3 mutations. These findings are highly indicative of STAT3 dependency, which is further supported by the preliminary clinical activity of JAK inhibitors in these patients. STAT3 activation is also commonly observed in AML and in DLBCL even though STAT3 mutations are infrequent. PD-L1 overexpression in DLBCL has been linked to worse disease outcomes and responses to anti-PD-1/PD-L1 drugs have been reported in these patients. Given STAT3 has downstream impact on PD-1/PD-L1, we believe that a STAT3 degrader has the potential to achieve profound clinical effects both as a monotherapy and in combination with other active drugs.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Solid Tumors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Cancers that are responsive to anti-PD-1/PD-L1 immune checkpoint inhibitors (ICIs) and tyrosine kinase inhibitors (TKIs), including non-small cell lung cancer, or NSCLC, head and neck squamous cell carcinoma, or HNSCC, breast cancer and colorectal cancer, are compelling development opportunities due to the established role of STAT3 in solid tumor resistance to ICIs and TKIs. Specifically, STAT3 degraders have the potential to improve responses upfront in combination with these modalities or overcome acquired resistance as add-on therapy in second 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Clinical Studies and Data</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2022, we initiated our Phase 1 clinical trial of KT-333 to evaluate the safety, tolerability, PK/PD and clinical activity of KT-333 dosed weekly on Days 1, 8 and 15 of 28-day cycles in adult patients with relapsed and/or refractory lymphomas, leukemias and solid tumors. Figure 35 below shows the details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191770</wp:posOffset>
            </wp:positionV>
            <wp:extent cx="4989195" cy="2143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8919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35</w:t>
      </w:r>
    </w:p>
    <w:p>
      <w:pPr>
        <w:spacing w:after="0" w:line="23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2023, we presented clinical data from the Phase 1 clinical trial of KT-333 in a poster session at the 2023 American Society of Hematology (ASH) Annual Meeting and Exposition. The poster provided an interim update with a data cut-off as of October 18, 2023. As of that date, twenty-nine patients, with median age of 65 years, had been treated across five dose levels (DL1-5) with a mean of eight doses, including five with cutaneous T-cell lymphoma (CTCL), two with large granular lymphocytic leukemia, or LGL-L, one each with peripheral T-cell lymphoma, or PTCL, B-cell and Hodgkins’s lymphoma, and nineteen with a variety of solid tumor malignancies. Overall, the data demonstrated early signs of antitumor activity at doses that were generally well-tolerated and associated with substantial STAT3 knockdown in blood and tumor.</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highlights the demographics of the 29 patients that were treated across 5 dose levels as of the October 18, 2023, data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85725</wp:posOffset>
            </wp:positionV>
            <wp:extent cx="5151755" cy="1800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5175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36</w:t>
      </w:r>
    </w:p>
    <w:p>
      <w:pPr>
        <w:spacing w:after="0" w:line="147" w:lineRule="exact"/>
        <w:rPr>
          <w:sz w:val="20"/>
          <w:szCs w:val="20"/>
          <w:color w:val="auto"/>
        </w:rPr>
      </w:pPr>
    </w:p>
    <w:p>
      <w:pPr>
        <w:ind w:right="40" w:firstLine="8"/>
        <w:spacing w:after="0" w:line="261" w:lineRule="auto"/>
        <w:tabs>
          <w:tab w:leader="none" w:pos="10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anal; appendiceal; cholangiocarcinoma; colon adenocarcinoma; colorectal (4); duodenal; endometrial; head and neck (3); ovarian, pancreatic (2), peritoneal, rectal and renal; ⌂ = anaplastic T-cell lymphoma; Data cut-off: 18 October 2023.</w:t>
      </w:r>
    </w:p>
    <w:p>
      <w:pPr>
        <w:spacing w:after="0" w:line="1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KT-333 was generally well tolerated with primarily Grade 1 and 2 adverse events which included constipation, fatigue, nausea and anemia. The only KT-333 related adverse events that were Grade 3 or higher were stomatitis, arthralgia, and decreased weight in one patient each. Two dose-limiting toxicities (DLTs), stomatitis and arthralgia, occurred in LGL-L patients at DL5 and no DLTs were observed in solid tumor/lymphoma patients. Based on these findings, the study protocol was revised to continue dose escalation in solid tumor and lymphoma patients separately from patients with leukemia, including LGL-L and T-cell prolymphocytic leukemia, or T-PLL patients.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3" w:name="page34"/>
    <w:bookmarkEnd w:id="33"/>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demonstrate proof-of-mechanism, STAT3 degradation was evaluated in peripheral blood in cycles 1 and 2 using targeted mass spectrometry as shown in Figure 37. Mean maximum degradation of STAT3 in PBMCs post KT-333 infusion increased from 70% to 84% between dose levels 1 and 5 respectively. Percent change in STAT3 represents mean percent change of two STAT3 peptides from baseline. Up to 96% maximum knockdown of STAT3 protein was observed in PBMCs from patient in dose level 4. Recovery of STAT3 protein was observed between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57150</wp:posOffset>
            </wp:positionV>
            <wp:extent cx="3282950" cy="2708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8295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37</w:t>
      </w:r>
    </w:p>
    <w:p>
      <w:pPr>
        <w:spacing w:after="0" w:line="2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shown in Figure 38, pathway engagement in tumor was demonstrated through semiquantitative analysis of multiplex immunofluorescence data which showed a 69% decrease in STAT3 positive cells and 87% reduction in phospho STAT3 positive cells in a CTCL biopsy ~ 24 hours post KT-333 infusion compared to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54610</wp:posOffset>
            </wp:positionV>
            <wp:extent cx="3677285" cy="3326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7728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38</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4" w:name="page35"/>
    <w:bookmarkEnd w:id="3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observed clinical activity in 3 of 5 CTLC patients, including 2 partial responses and 1 stable disease. We also observed 1 partial response in Classic Hodgkin lymphoma, or cHL. Collectively, these results demonstrated single agent activity in liquid tumors that was supported by preclinical data. In solid tumors, where preclinically no strong single agent activity was observed, a pattern of more prolonged stable disease, or SD in Head &amp; Neck tumors was observed with a total of 4 patients. The following tables highlight the response data as of the October 18, 2023, data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331470</wp:posOffset>
            </wp:positionV>
            <wp:extent cx="2202815" cy="2177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0281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39</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*Mucoepidermoid carcinoma of parotid gland (C7+), sinonasal adenocarcinoma (C5), cholangiocarcinoma (C3), renal cell cancer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375285</wp:posOffset>
            </wp:positionV>
            <wp:extent cx="5572125" cy="19970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212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40</w:t>
      </w:r>
    </w:p>
    <w:p>
      <w:pPr>
        <w:spacing w:after="0" w:line="228" w:lineRule="exact"/>
        <w:rPr>
          <w:sz w:val="20"/>
          <w:szCs w:val="20"/>
          <w:color w:val="auto"/>
        </w:rPr>
      </w:pPr>
    </w:p>
    <w:p>
      <w:pPr>
        <w:ind w:right="40" w:firstLine="8"/>
        <w:spacing w:after="0" w:line="261" w:lineRule="auto"/>
        <w:tabs>
          <w:tab w:leader="none" w:pos="10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steroids during 1st week of C1 to treat symptoms arising from Sezary Syndrome; ¥ Discontinued d/t AE (Gr. 2 squamous cell carcinoma of skin); discontinued d/t PI discretion (stable disease at discontinuation); HNC1 = Mucoepidermoid carcinoma of parotid gland; HNC2 = Sinonasal adenocarcinoma.</w:t>
      </w:r>
    </w:p>
    <w:p>
      <w:pPr>
        <w:spacing w:after="0" w:line="1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KT-333 resulted in substantial reduction of STAT3, pSTAT3 and SOCS3 in a CTCL patient tumor with concomitant induction of IFNγ-stimulated genes, suggestive of positive immunomodulatory response in the tumor microenvironment that both clinically and preclinically has been shown to enhance the activity of anti-PD-1 drugs, supporting potential expansion into combinations of KT-333 and anti-PD-1 agents. An interferon gamma signature predictive of sensitivity to anti-PD-1 therapy was induced in the tumor biopsy of a cutaneous T-cell lymphoma (CTCL) patient following treatment on the Phase 1 trial, indicating the potential of KT-333 to synergize with PD-1 antibody therapy.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1494155</wp:posOffset>
            </wp:positionH>
            <wp:positionV relativeFrom="page">
              <wp:posOffset>706120</wp:posOffset>
            </wp:positionV>
            <wp:extent cx="4534535" cy="30435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4534535"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i w:val="1"/>
          <w:iCs w:val="1"/>
          <w:color w:val="auto"/>
        </w:rPr>
        <w:t>Figure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158750</wp:posOffset>
            </wp:positionV>
            <wp:extent cx="3154680" cy="2768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5468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i w:val="1"/>
          <w:iCs w:val="1"/>
          <w:color w:val="auto"/>
        </w:rPr>
        <w:t>Figure 42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 Plans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Phase 1a dose escalation portion of the trial is ongoing. We expect to provide additional clinical data in 2024.</w:t>
      </w: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MDM2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developing degraders that target MDM2 for the treatment of solid tumors and hematological malignancies. KT-253 targets MDM2, the crucial regulator of the most common tumor suppressor, p53. p53 remains intact (wild type) in close to 50% of cancers, meaning that it retains its ability to modulate cancer cell growth. While small molecule inhibitors (SMIs) have been developed to stabilize and upregulate p53 expression, they have been found to induce a feedback loop that increases MDM2 protein levels, which can repress p53 and limit their efficacy. In preclinical studies, KT-253 has shown the ability to overcome the MDM2 feedback loop and rapidly induce cancer cell death with brief exposures, providing the opportunity for an improved efficacy and safety profile. In May 2023, we began dosing in a Phase 1 clinical trial of KT-253. The study is designed to evaluate the safety, tolerability, PK/PD and clinical activity of KT-253 in adult patients with liquid and solid tumors. KT-253 has achieved clinical proof-of-mechanism in the Phase 1 trial and shown signs of anti-tumor activity in liquid and solid tumor types. Patient enrollment and dosing are ongoing in the Phase 1a portion of the trial, and we expect to provide additional clinical data in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Biology and Mechanism of Action</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murine double minute 2 (MDM2) oncoprotein is the major E3 ligase which controls the tumor suppressor p53. p53 is a transcription factor that regulates cellular responses to stress and guides cell fate decisions such as cell cycle arrest, DNA repair, senescence, and apoptosis and functional in close to 50% of cancers, both liquid and solid, and many p53 functional cell lines are dependent on MDM2 overexpression for p53 suppression and survival. Stabilization and upregulation of p53 by removal of MDM2 by degradation can cause cells to undergo cell death and/or cell cycle arrest. While MDM2 small molecule inhibitors have shown clinical activity in a variety of tumor types, the activity has been limited as a result of the inhibition of MDM2 leading to a feedback loop, as shown in Figure 43. This feedback loop results in upregulation of MDM2 protein expression, which in turn makes it more difficult for occupancy-driven small molecules to inhibit MDM2. As a result, small molecule inhibitors have had a more modest effect on p53 upregulation which often leads to cell cycle arrest rather than apoptosis, thereby limiting the efficacy of MDM2/p53 small molecule inhibitors. This feedback loop also necessitates more chronic exposure to drug to maintain modest MDM2 inhibition in tumors, potentially leading to toxic effects on normal cells that limits the safety and tolerability of these inhibitors. Degraders have the potential to overcome the MDM2 feedback loop by completely removing the protein in a catalytic manner. This enables the development of highly potent drugs that are able to induce strong p53 upregulation and an irreversible acute apoptotic response in tumor cells with just brief exposures, thereby maximizing efficacy and improving the safety profile by allowing time for the recovery of normal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199390</wp:posOffset>
            </wp:positionV>
            <wp:extent cx="3608705" cy="28543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0870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43</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Development Opportunities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large numbers of p53wt cell lines dependent on MDM2, as seen in Figure 44, gives a high-level view of the potential breadth of opportunities in oncology for a potent and well tolerated agent for this pathway. These tumor cell types include but are not limited to cancers which have amplification and over expression of MDM2. De-stabilization of p53 by MDM2 enables cells to survive by blocking both cell cycle arrest and apoptosis. While the opportunities are very diverse, we plan to focus our development efforts on tumors which are most susceptible to the acute apoptotic response elicited by our degraders, where we believe we will be able to achieve the greatest therapeutic index and efficacy. Our initial disease areas of interest are hematological malignancies and solid tumor indications where preclinically we see that MDM2 degradation leads to an acute apoptotic response predictive of clinical activity with intermittent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62865</wp:posOffset>
            </wp:positionV>
            <wp:extent cx="2631440" cy="1929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3144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44</w:t>
      </w:r>
    </w:p>
    <w:p>
      <w:pPr>
        <w:spacing w:after="0" w:line="23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hematological malignances, KT-253 has potential monotherapy and combination opportunities in Acute Myeloid Leukemia (AML), and potential opportunities across Myelofibrosis, Myelodysplastic Syndrome (MDS), Acute Lymphocytic Leukemia (ALL) and TP53WT lymphomas. For solid tumors, KT-253 has monotherapy opportunities across a subset of adult and pediatric tumors, to be informed by emerging gene signature with potential for a tumor-agnostic development path. We are assembling a comprehensive preclinical and clinical dataset examining the factors impacting in vivo response to intermittent dosing with KT-253 across multiple different solid and liquid tumor types in order to derive patient selection biomarkers for the next stage of development after Phase 1a.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Data</w:t>
      </w:r>
    </w:p>
    <w:p>
      <w:pPr>
        <w:spacing w:after="0" w:line="22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KT-253’s potent p53 stabilization, with brief exposures, drives apoptosis in cancer cells. In Figure 45, KT-253 demonstrated greater than 200-fold improvements in both in vitro cell growth inhibition and apoptosis than small molecule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45720</wp:posOffset>
            </wp:positionV>
            <wp:extent cx="2665730" cy="2305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6573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45</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8" w:name="page39"/>
    <w:bookmarkEnd w:id="38"/>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Unlike small molecule inhibitors, KT-253 removes the protein, which can overcome the p53-dependent feedback loop that upregulates MDM2 production. As seen in Figure 46, MDM2 levels are increased by the small molecule inhibitor (feedback loop), impairing p53 stabilization.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114300</wp:posOffset>
            </wp:positionV>
            <wp:extent cx="3145790" cy="2048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4579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46</w:t>
      </w:r>
    </w:p>
    <w:p>
      <w:pPr>
        <w:spacing w:after="0" w:line="23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preclinical models, 4-hour target coverage by KT-253 was sufficient to induce apoptosis, as shown in Figure 47. These data support an intermittent dosing schedule of KT-253 can drive efficacy while increasing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182880</wp:posOffset>
            </wp:positionV>
            <wp:extent cx="3111500" cy="2125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115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47</w:t>
      </w:r>
    </w:p>
    <w:p>
      <w:pPr>
        <w:spacing w:after="0" w:line="2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KT-253 potently degrades MDM2 leading to pathway impact and antitumor activity superior to a small molecular inhibitor in preclinical models. Targeted proteomic analysis of RS4;11 (ALL) tumors demonstrated robust degradation of MDM2 one hour post dosing and associated pathway activation biomarkers including p53 and GDF15, as show in Figure 48.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1828165</wp:posOffset>
            </wp:positionH>
            <wp:positionV relativeFrom="page">
              <wp:posOffset>706120</wp:posOffset>
            </wp:positionV>
            <wp:extent cx="3857625" cy="30346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385762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48</w:t>
      </w:r>
    </w:p>
    <w:p>
      <w:pPr>
        <w:spacing w:after="0" w:line="2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Figure 49 shows sustained tumor regressions in MV4;11 (AML) CDX models after a single 3 mg/kg KT-253 dose. Additionally, KT-253 demonstrated robust anti-tumor activity in MCC models. No efficacy was observed with the clinically relevant dosing regimen of the small molecule inhibitor (DS-3032).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328930</wp:posOffset>
            </wp:positionV>
            <wp:extent cx="3402965" cy="2691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0296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49</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Clinical Studies and Data</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Phase 1 trial, began dosing patients in May 2023, is evaluating the safety, tolerability, PK/PD, and clinical activity of KT-253 in patients with relapsed or refractory high grade myeloid malignancies, including AML, ALL, lymphoma and solid tumors. Patients in the Phase 1 dose escalation study will receive intravenous doses of KT-253 administered once every 3 weeks. The open-label study is intended to identify the recommended Phase 2 dose, and is comprised of two arms, with ascending doses of KT-253 in each arm. The first arm consists of patients with lymphomas and advanced solid tumors and the second arm consists of patients with high grade myeloid malignancies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316865</wp:posOffset>
            </wp:positionV>
            <wp:extent cx="3068955" cy="23660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6895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50</w:t>
      </w:r>
    </w:p>
    <w:p>
      <w:pPr>
        <w:spacing w:after="0" w:line="23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the October 20, 2023, data cut-off date, a total of 9 patients with solid tumors had been enrolled onto dose levels 1-3 of Arm A and received a mean of 2.3 cycles with a range of 1 to 6 cycles. The data from Arm A of the ongoing Phase 1a trial demonstrated KT-253 clinical proof-of-mechanism and initial signs of clinical activity in the first 2 dose levels in patients. Clinical response results for all patients within a dose cohort were available for dose level 1. Based on exposures we did not expect this dose level to be clinically active, however, we observed that among the 3 solid tumor patients treated on dose level 1, there was 1 confirmed partial response after 4 cycles with treatment continuing after 6 cycles, 1 confirmed stable disease after 4 cycles with the patient subsequently discontinued from the study after 6 cycles for lack of response, and 1 patient with disease progression after cycle 1, as seen in Figure 51. The patient with the partial response had Merkel Cell Carcinoma, or MCC, metastatic to abdominal lymph nodes and skin who had previously been treated with chemotherapy as well as multiple different immune checkpoint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193040</wp:posOffset>
            </wp:positionV>
            <wp:extent cx="5151755" cy="9855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51755"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51</w:t>
      </w:r>
    </w:p>
    <w:p>
      <w:pPr>
        <w:spacing w:after="0" w:line="23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were no dose-limiting toxicities across dose levels 1-3. As of the data cut-off date, the most common drug-related adverse events. or AE’s, occurring in 2 or more patients included Grade 1/2 nausea and Grade 1 diarrhea. One patient at dose level 1 had a serious adverse event, or SAE, of Grade 3 hypotension during cycle 4 that was due to diminished oral intake deemed related to study drug. Treatment included IV fluids and the patient remains on study without dose reduction or recurrence of hypotension. As of the data cut-off date, there were no neutropenia or thrombocytopenia AEs even in patients who had received up to 6 cycles of therapy.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Clinical Development Plan</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KT-253 Phase 1a trial is an open label dose escalation study where adult patients with relapsed or refractory high grade myeloid malignancies, ALL, lymphomas and solid tumors receive IV doses of KT-253 once every 3 weeks. The study is intended to evaluate safety, tolerability, PK/PD and initial clinical activity and identify the recommended Phase 2 dose. It is comprised of two arms with ascending doses of KT-253 in each arm. Arm A is in patients with advanced solid tumors and lymphomas and Arm B is in patients with relapsed or refractory high grade myeloid malignancies, including AML, and ALL. The first patient was dosed in May 2023 and the first 2 dose levels in Arm A have been fully enrolled, with enrollment ongoing. Enrollment onto Arm B has also been initiated following demonstration of on-target pharmacology in the first 2 dose levels of Arm A. The Company expects to share additional clinical data in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Sanofi (formerly Genzyme Corporation)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Original Sanofi Agreement, with Genzyme Corporation, a subsidiary of Sanofi, to co-develop drug candidates directed to two biological targets. The Original Sanofi Agreement became effective during the third quarter of 2020.</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 The Original Sanofi Agreement, as amended by the Amended Sanofi Agreement, is referred to herein as the Sanofi Agreement.</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Sanofi Agreement, Kymera grants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immune-oncology.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Sanofi Agreement, with respect to both targets we are responsible for discovery and preclinical research and conducting a phase 1 clinical trial for at least one degrader directed against IRAK4 plus up to three back up degraders, the costs of which will be borne by us, except in certain circumstances. With respect to both targets, Sanofi is responsible for development, manufacturing, and commercialization of product candidates after a specified development milestone occurs with respect to each collaboration candidate.</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us an exclusive option, or Opt-In Right, exercisable, at our sole discretion,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our Opt-In Right, Sanofi will grant to us an exclusive option, applicable to each collaboration target, which upon exercise will allow us to conduct certain co-promotion activities in the field in the United States.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in the aggregate, of which more than $1.0 billion relates to the IRAK4 program, upon the achievement of certain developmental or regulatory events. We will also be eligible to receive certain commercial milestone payments up to $700.0 million in the aggregate, of which $400.0 million relates to the IRAK4 program, which are payable upon the achievement of certain net sales thresholds. We will further be eligible to receive tiered royalties for each program on net sales ranging from the high single digits to high teens, subject to low-single digits upward adjustments in certain circumstances.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commercialization or manufacturing of collaboration candidates with respect to a particular target, Sanofi ceases to exploit any collaboration candidates directed to such target for a specified period.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in December 2022, Sanofi provided us with written notice of its intention to take KT-474 into Phase 2 clinical trials. In the fourth quarter of 2023, the Company achieved two milestones of $40.0 million and $15.0 million relating to the dosing of the first patient in the Phase 2 clinical trial for the first and second indications, respectively. As of December 31, 2023, the Company had received the $40.0 million milestone with the $15.0 million included within the accounts receivable on the consolidated balance sheet.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the undisclosed target and we are no longer eligible for the milestone and royalty payments associated with the second target.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 Supply Chain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our drug candidates and currently have no plans to build our own clinical or commercial scale manufacturing capabilities. We currently engage with third-party contract manufacturing organizations, or CMOs, for the manufacture of our drug candidates for preclinical studies, and we intend to continue to do so in the future. We rely on and expect to continue to rely on third-party manufacturers for the production of both drug substance and finished drug product. We have engaged third-party manufacturers to supply the drug substances for our drug candidates and a third-party manufacturer to develop and manufacture finished drug products that we are using in our clinical trials. We currently obtain our supplies from these manufacturers on a purchase order basis and do not have long-term supply arrangements in place. Should any of these manufacturers become unavailable to us for any reason, we believe that there are a number of potential replacements, although we may incur some delay in identifying and qualifying such replacements.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All of our drug candidates are organic compounds of low molecular weight, generally called small molecules, but which are larger than traditional small molecule therapeutics. We have selected these compounds not only on the basis of their potential efficacy and safety, but also because we anticipate an ease of synthesis and cost of goods. We have produced drug substances and drug products for use in our clinical trials and continue to refine our production processes. The drug substance and drug product processes are amenable to scale-up and do not require unusual equipment in the manufacturing process. To adequately meet our needs for late-stage clinical and commercial manufacturing, our suppliers will need to scale their production, or we will need to secure alternate suppliers.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biotechnology industry is extremely competitive in the race to develop new products. While we believe we have significant competitive advantages with our years of expertise in targeted protein degradation, clinical development expertise, and intellectual property position, we currently face and will continue to face competition for our development programs from companies that use targeted protein degradation or targeted protein degradation development platforms, and from companies focused on more traditional therapeutic modalities such as small molecules and antibodies. The competition is likely to come from multiple sources, including larger pharmaceutical companies, biotechnology companies, and academia.</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Companies developing small molecule protein degraders therapies for patients, include, but are not limited to, Arvinas, Inc., C4 Therapeutics, Inc., Nurix Therapeutics, Inc., and Foghorn Therapeutics, Inc. Further, several large pharmaceutical companies have disclosed preclinical investments in this field. Our competitors will also include companies that are or will be developing other targeted protein degradation methods as well as small molecule, antibody, or gene therapies for the same indications that we are targeting. In addition to competitors we face in developing small molecule protein degraders, we will also face competition in the indications we expect to pursue with our IRAK4, STAT6, TYK2, STAT3, and MDM2 programs. Many of these indications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secure intellectual property protection for our product candidates and future products, as well as our platform protein degradation technologies and any other relevant inventions and improvements that are considered commercially important to our business. Our success also depends on our ability to defend and enforce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intellectual property rights, preserve the confidentiality of our proprietary information, and operate without infringing, misappropriating or otherwise violating the valid and enforceable patents and proprietary rights of third parties.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secure and maintain intellectual property protection for our product candidates, future products, and other proprietary technologies will depend on our success in obtaining effective patent coverage and enforcing those patents if granted. However, we cannot guarantee that our pending patent applications, and any patent applications that we may in the future file, will result in the issuance of patents, or that any issued patents we may obtain will provide sufficient proprietary protection from competitors. Any issued patents that we obtain may be challenged, invalidated, or circumvented by third parties.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patents, we also rely on trade secrets, know-how and continuing technological innovation to develop and maintain our competitive position. We seek to protect our proprietary technology, in part, through confidentiality agreements and invention assignment agreements with our employees, consultants, scientific advisors, contractors and potential collaborators.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Portfolio</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intellectual property includes a portfolio of wholly owned patent families covering our platform E3 ligase ligand technology and our novel bifunctional degrader product candidates, including claims to compositions of matter, pharmaceutical compositions, methods of use, methods of treatment, and other related compounds and methods. Our intellectual property portfolio is in its very early stages, and, as of December 31, 2023, included 19 granted U.S. patents, about 100 U.S. patent applications, about 25 international patent applications, five granted foreign patents, and about 449 foreign patent applications. Our patent portfolio is generally organized into two categories: (1) platform E3 ligase ligand patent families and (2) protein degrader patent families, including various target-specific degrader patent families.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Platform E3 Ligase Ligand Patent Families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platform E3 ligase ligand patent families are wholly owned and include four patent families directed to novel ligands for the cereblon E3 ubiquitin ligase, as well as methods of treatment and other related methods. As of December 31, 2023, our platform E3 ligase ligand patent families included three granted U.S. patents, five U.S. patent applications, and three patent applications in Europe. Any U.S. or foreign patents resulting from these applications, if granted and all appropriate maintenance fees paid, are expected to expire between 2038 and 2044, absent any patent term adjustments or extensions.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Protein Degrader Patent Families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protein degrader patent families are wholly owned and are directed to novel bifunctional degrader compounds that are useful in affecting ubiquitination of a target protein, as well as methods of treatment and other related methods. As of December 31, 2023, our protein degrader patent families included two granted U.S. patent, five U.S. patent applications and about 19 foreign patent applications filed in foreign jurisdictions, such as Australia, Canada, Europe, Israel, Japan, Mexico, New Zealand, and the Russian Federation. Any U.S. or foreign patents resulting from these applications, if granted and all appropriate maintenance fees paid, are expected to expire between 2038 and 2043, absent any patent term adjustments or extensions.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Target-Specific Degrader Patent Families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target-specific degrader patent families are wholly owned and focus protection around degrader compounds that are designed to target specific proteins for degradation, as well as methods of treatment and other related methods. Such targets include, for example, IRAK (interleukin-1 receptor-associated kinases) and STAT (signal transducers and activators of transcription). As of December 31, 2023, our target-specific degrader patent families included 14 granted U.S. patents, about 87 U.S. patent applications, about 22 international patent applications, three granted foreign patents, and about 423 patent applications filed in foreign jurisdictions, such as Australia, Brazil, Canada, China, Eurasia, Europe, Israel, India, Japan, Mexico, New Zealand, Singapore, South Africa, and Taiwan. Any U.S. or foreign patents resulting from our target-specific degrader patent families, if granted and all appropriate maintenance fees paid, are expected to expire between 2038 and 2044, absent any patent term adjustments or extensions.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IRAK-Specific Patent Families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IRAK-specific patent families are wholly owned and include patent families covering degrader compounds that are designed to specifically target IRAK for degradation and patent families covering novel IRAK ligands. As of December 31, 2023, our IRAK-specific patent families included 11 granted U.S. patents, about 34 U.S. patent applications, about eight international patent applications, three granted foreign patents and about 293 patent applications filed in foreign jurisdictions,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such as Australia, Argentina, Brazil, Canada, China, Europe, Eurasia, Gulf Cooperation Council, Israel, India, Japan, Mexico, New Zealand, Singapore, South Africa, and Taiwan. Any U.S. or foreign patents resulting from our IRAK-specific patent families, if granted and all appropriate maintenance fees paid, are expected to expire between 2038 and 2044, absent any patent term adjustments or extensions.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With respect to the KT-474 product candidate, as of December 31, 2023, we own three granted U.S. patent, eight pending U.S. patent applications, five pending international patent applications, one granted foreign patent and about 128 patent applications filed in foreign jurisdictions, such as Australia, Brazil, Canada, China, Europe, Israel, India, Japan, South Korea, Mexico, New Zealand, Singapore, South Africa, and Taiwan, each with claims directed to compositions of matter covering KT-474 and/or methods of making or using KT-474. Any U.S. or foreign patents resulting from these patent families, if granted and all appropriate maintenance fees paid, are expected to expire between 2039 and 2044, absent any patent term adjustments or extensions.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STAT-Specific Patent Families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STAT-specific patent families are wholly owned and focus on degrader compounds that are designed to specifically target signal transducers and activators of transcription (STAT) for degradation. As of December 31, 2023, our STAT-specific patent families included two granted U.S. patent, about 18 U.S. patent applications, three international patent applications, and about 49 patent applications filed in foreign jurisdictions, such as Australia, Canada, China, Eurasia, Europe, India, Israel, Japan, South Korea, Mexico, and Taiwan. Any U.S. or foreign patents resulting from our STAT-specific patent families, if granted and all appropriate maintenance fees paid, are expected to expire between 2040 and 2044, absent any patent term adjustments or extensions.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Target-Specific Patent Families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we own one granted U.S. patent, about 31 U.S. patent applications, 10 international patent applications and about 81 patent applications filed in Australia, Argentina, Brazil, Canada, China, Europe, Gulf Cooperation Council, Israel, India, Japan, Mexico, New Zealand, Singapore, South Africa, and Taiwan which focus on degrader compounds designed to specifically target other proteins. Any U.S. or foreign patents resulting from these patent families, if granted and all appropriate maintenance fees paid, are expected to expire between 2040 and 2044, absent any patent term adjustments or extensions.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of individual patents may vary based on the countries in which they are obtained. Generally, patents issued from applications filed in the United States are effective for 20 years from the earliest effective non-provisional filing date. In certain cases, a patent term can be extended to recapture a portion of the term effectively lost as a result of the FDA regulatory review period. The Hatch-Waxman Act permits a patent term extension of up to five years beyond the expiration of the patent, though the total patent term, including any extension, must not exceed 14 years following FDA approval. A patent can only be extended once, such that, if a single patent is applicable to multiple products, it can only be extended based on one product.</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duration of patents outside of the United States varies in accordance with provisions of applicable local law, but typically is also 20 years from the earliest effective national filing date.</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Similar patent term extension provisions are available in Europe and other foreign jurisdictions to extend the term of a patent covering an approved drug. When possible, we expect to apply for patent term extensions for patents covering our product candidates and their methods of use.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and intend to file applications for trademark registrations in connection with our product candidates and other technologies in various jurisdictions, including the United States.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applied to register both the KYMERA mark and the KYMERA THERAPEUTICS mark in the United States, Europe, and Canada. We also filed applications in the same jurisdictions for the mark IRAKIMiD, for pharmaceutical and medical preparations and therapeutics, as well as diagnostic reagents, for the treatment of oncology, autoimmune, immune-oncology and other related diseases. In addition, we filed applications for E3 HUMAN ATLAS and E3 LIGASE WHOLE BODY ATLAS in connection with pharmaceutical research and development and drug development and discovery services. All of our European Union trademarks in existence as of December 31, 2020 were automatically cloned onto the United Kingdom register due to “Brexit.”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Most recently, we filed an application for our K &amp; Design mark in the United States, and we plan to file European Union, United Kingdom, and Canada applications based on our U.S. priority date in that application in due course.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We, along with our vendors, contract research organizations and contract manufacturers,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U.S., the FDA regulates drug products under the Federal Food, Drug, and Cosmetic Act, or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our product candidates are approved as drugs for therapeutic indications and may be marketed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involves the following:</w:t>
      </w:r>
    </w:p>
    <w:p>
      <w:pPr>
        <w:spacing w:after="0" w:line="99"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filing for review;</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consideration of the views of any FDA advisory committee, prior to any commercial marketing or sale of the drug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Before testing any drug in humans, the product candidate must undergo rigorous preclinical testing. Preclinical studies include laboratory evaluations of drug chemistry, formulation and stability, as well as in vitro and animal studies to assess safety and in some cases to establish the rationale for therapeutic use. The conduct of preclinical studies is subject to federal</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and state regulations and requirements,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patients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patients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patients are being exposed to an unacceptable health risk. There also are requirements governing the reporting of ongoing clinical trials and completed clinical trials to public registries. Information about applicable clinical trials, including clinical trial results, must be submitted within specific timeframes for publication on the www.clinicaltrials.gov website.</w:t>
      </w:r>
    </w:p>
    <w:p>
      <w:pPr>
        <w:spacing w:after="0" w:line="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conducted in accordance with GCP requirements, and the FDA is able to validate the data through an onsite inspection if deemed necessary.</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for marketing approval are typically conducted in three sequential phases, which may overlap.</w:t>
      </w:r>
    </w:p>
    <w:p>
      <w:pPr>
        <w:spacing w:after="0" w:line="52" w:lineRule="exact"/>
        <w:rPr>
          <w:sz w:val="20"/>
          <w:szCs w:val="20"/>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—Phase 1 clinical trials involve initial introduction of the investigational product into healthy human volunteers or patients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—Phase 2 clinical trials typically involve administration of the investigational product to a limited patient population with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or condition to evaluate the drug’s potential efficacy, to determine the optimal dosages and dosing schedule and to identify possible adverse side effects and safety risks.</w:t>
      </w:r>
    </w:p>
    <w:p>
      <w:pPr>
        <w:spacing w:after="0" w:line="6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 costs and time.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in vitro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Approval for Drugs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marketed in the U.S.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for the indications sought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under PDUFA, as amended, each NDA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program if it believes that a risk evaluation and mitigation strategy is necessary to ensure that the benefits of the drug outweigh its risks. The REMS program could include use of risk evaluation and mitigation strategies like medication guides, physician communication plans, assessment plans and/or elements to assure safe use, such as restricted distribution methods, patient registries or other risk-minimization tools.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of 1983, the FDA may grant orphan designation to a drug intended to treat a rare disease or condition, which is a disease or condition that affects fewer than 200,000 individuals in the U.S., or if it affects more than 200,000 individuals in the U.S., there is no reasonable expectation that the cost of developing and making the product available in the U.S. for the disease or condition will be recovered from sales of the product. Orphan designation must be requested before submitting an NDA.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of 2022, KT-333, Kymera’s STAT3 degrader in development for relapsed and/or refractory lymphomas and solid tumors, was granted its second orphan drug designation by the U.S. Food and Drug Administration for the treatment of cutaneous T-cell lymphoma (CTCL), following its orphan drug designation for peripheral T-cell lymphoma (PTCL) in June of 2022. In June 2023, KT-253, Kymera’s MDM2 degrader in development for hematological malignancies and solid tumors, was granted orphan drug designation by the FDA for the treatment of acute myeloid leukemia. These designations provide incentives to encourage the development of medicines for rare diseases.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Accelerated Approval and platform technology designation and the purpose of these programs is to either expedite the development or review of important new drugs to get them to patients earlier than under standard FDA development and review procedures.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potential for rolling review once a marketing application is filed, meaning that the agency may review portions of the marketing application before the sponsor submits the complete application, as well as Priority Review, discussed below.</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if it has the potential to provide a significant improvement in safety or effectiveness in the treatment, diagnosis or prevention of a serious disease or condition. Under priority review, the FDA must review an application in six months compared to ten months for a standard review.</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Accelerated Approval is usually contingent on a sponsor’s agreement to conduct additional post-approval studies to verify and describe the product’s clinical benefit and, under the Food and Drug Omnibus Reform Act of 2022, or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FDORA, a platform technology incorporated within or utilized by a drug or biological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NDA for a drug that uses or incorporates the platform technology.</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or PREA, as amended,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trial.</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drug can also obtain pediatric market exclusivity in the U.S. Pediatric exclusivity, if granted, adds six months to existing exclusivity periods for all formulations, dosage forms, indications of the active moiety and patent terms. This six-month exclusivity, which runs from the end of other exclusivity protection, may be granted based on the voluntary completion of a pediatric trial or of multiple pediatric trials in accordance with an FDA-issued “Written Request” for such trials, provided that at the time pediatric exclusivity is granted there is not less than nine months of term remaining.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tracking and tracing,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Although physicians may prescribe legally available products for off-label uses, manufacturers and individuals working on behalf of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their subcontractors involved in the manufacture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prescription drug product program user fee.</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withdrawal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premarket approval application, or PMA.</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twelve months from the date the application is completed, but can take significantly longer.</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premarket application for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co-development of an in vitro companion diagnostic device with a therapeutic product. The draft guidance describes principles to guide the development and contemporaneous marketing authorization for the therapeutic product and its corresponding in vitro companion diagnostic.</w:t>
      </w:r>
    </w:p>
    <w:p>
      <w:pPr>
        <w:spacing w:after="0" w:line="8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our facilities for compliance with its authorities.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U.S. in addition to the FDA, which may include the Centers for Medicare &amp; 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pharmaceutical price reporting, and patient data privacy and security laws and regulations.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not to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Insurance Coverage and Reimbursement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the Centers for Medicare</w:t>
      </w:r>
    </w:p>
    <w:p>
      <w:pPr>
        <w:spacing w:after="0" w:line="3" w:lineRule="exact"/>
        <w:rPr>
          <w:sz w:val="20"/>
          <w:szCs w:val="20"/>
          <w:color w:val="auto"/>
        </w:rPr>
      </w:pPr>
    </w:p>
    <w:p>
      <w:pPr>
        <w:jc w:val="both"/>
        <w:ind w:firstLine="8"/>
        <w:spacing w:after="0" w:line="251" w:lineRule="auto"/>
        <w:tabs>
          <w:tab w:leader="none" w:pos="2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Services, or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Affordable Care Act, which, among other things, includes changes to the coverage and payment for products under government health care programs. The Affordable Care Act includes provisions of importance to our potential product candidates that:</w:t>
      </w:r>
    </w:p>
    <w:p>
      <w:pPr>
        <w:spacing w:after="0" w:line="75" w:lineRule="exact"/>
        <w:rPr>
          <w:sz w:val="20"/>
          <w:szCs w:val="20"/>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Affordable Care Act, and we expect there will be additional challenges and amendments to the Affordable Care Act in the future. On June 17, 2021, the U.S. Supreme Court dismissed the most recent judicial challenge to the ACA brought by several states without specifically ruling on the constitutionality of the ACA. President Biden has issued multiple executive orders that have sought to address the issue of prescription drug costs. It is unclear how other healthcare reform measures of the Biden administrations or other efforts, if any, to challenge repeal or replace the ACA, will impact our business.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The Budget Control Act of 2011, among other things, included aggregate reductions of Medicare payments to providers of 2% per fiscal year, which went into effect in April 2013 and, due to subsequent legislative amendments to the statute, will remain in effect through 2032 unless additional Congressional action is taken.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including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Although a number of these and other measures may require additional authorization to become effective, Congress and the current administration have each indicated that it will continue to seek new legislative and/or administrative measures to control drug costs.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 o varying degrees, including provisions that reduce the annual out-of-pocket spending cap for Medicare Part D beneficiaries from $7,050 to $2,000 starting in 2024, thereby eliminating the coverage gap; impose new manufacturer financial liability on many drugs reimbursed under Medicare Part D; allow the U.S. government to negotiate Medicare Part B and Part D pricing for certain high-cost drugs and biologics without generic or biosimilar competition; and require companies to pay rebates to Medicare for drug prices that increase faster than inflation.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Medicare drug price negotiation program. The effects of the IRA on our business and the healthcare industry in general is not yet known.</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other federal and state laws or requirements; changing legal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Drugs Outside of the United States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market any product outside of the U.S., we would need to comply with numerous and varying regulatory requirements of other countries regarding safety and efficacy and governing, among other things, clinical trials, marketing authorization or identification of an alternate regulatory pathway, manufacturing, commercial sales and distribution of our products. For instance, in the United Kingdom and the European Economic Area, or the EEA (comprised of the EU Member States plus Iceland, Liechtenstein and Norway), medicinal products must be authorized for marketing by using either the centralized procedure or a national procedure.</w:t>
      </w:r>
    </w:p>
    <w:p>
      <w:pPr>
        <w:spacing w:after="0" w:line="289" w:lineRule="exact"/>
        <w:rPr>
          <w:sz w:val="20"/>
          <w:szCs w:val="20"/>
          <w:color w:val="auto"/>
        </w:rPr>
      </w:pPr>
    </w:p>
    <w:p>
      <w:pPr>
        <w:jc w:val="both"/>
        <w:ind w:left="1020" w:hanging="503"/>
        <w:spacing w:after="0" w:line="25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Centralized procedure</w:t>
      </w:r>
      <w:r>
        <w:rPr>
          <w:rFonts w:ascii="Times New Roman" w:cs="Times New Roman" w:eastAsia="Times New Roman" w:hAnsi="Times New Roman"/>
          <w:sz w:val="18"/>
          <w:szCs w:val="18"/>
          <w:color w:val="auto"/>
        </w:rPr>
        <w:t>—If pursuing marketing authorization of a product candidate for a therapeutic indication under the centralized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 following the opinion of the European Medicines Agency’s Committee for Medicinal Products for Human Use, or CHMP, the European Commission issues a single marketing authorization valid across the EEA. The centralized procedure is compulsory for human medicines derived from biotechnology processes or advanced therapy medicinal products (i.e. gene therapy, somatic cell therapy and tissue engineered products), products that contain a new active substance indicated for the treatment of certain diseases, such as HIV/AIDS, cancer, neurodegenerative disorders, diabetes, autoimmune diseases and other immune dysfunctions, viral diseases, and designated orphan medicinal products. For medicines that do not fall within these categories, an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jc w:val="both"/>
        <w:ind w:left="1020"/>
        <w:spacing w:after="0" w:line="253" w:lineRule="auto"/>
        <w:rPr>
          <w:sz w:val="20"/>
          <w:szCs w:val="20"/>
          <w:color w:val="auto"/>
        </w:rPr>
      </w:pPr>
      <w:r>
        <w:rPr>
          <w:rFonts w:ascii="Times New Roman" w:cs="Times New Roman" w:eastAsia="Times New Roman" w:hAnsi="Times New Roman"/>
          <w:sz w:val="18"/>
          <w:szCs w:val="18"/>
          <w:color w:val="auto"/>
        </w:rPr>
        <w:t>applicant has the option of submitting an application for a centralized marketing authorization to the European Medicines Agency, or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clock stops, but it is possible that the CHMP can revert to the standard time limit for the centralized procedure if it considers that it is no longer appropriate to conduct an accelerated assessment.</w:t>
      </w:r>
    </w:p>
    <w:p>
      <w:pPr>
        <w:spacing w:after="0" w:line="82" w:lineRule="exact"/>
        <w:rPr>
          <w:sz w:val="20"/>
          <w:szCs w:val="20"/>
          <w:color w:val="auto"/>
        </w:rPr>
      </w:pPr>
    </w:p>
    <w:p>
      <w:pPr>
        <w:ind w:left="1020" w:hanging="503"/>
        <w:spacing w:after="0" w:line="28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National procedures</w:t>
      </w:r>
      <w:r>
        <w:rPr>
          <w:rFonts w:ascii="Times New Roman" w:cs="Times New Roman" w:eastAsia="Times New Roman" w:hAnsi="Times New Roman"/>
          <w:sz w:val="18"/>
          <w:szCs w:val="18"/>
          <w:color w:val="auto"/>
        </w:rPr>
        <w:t>—There are also two other possible routes to authorize products for therapeutic indications in several countries,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available for products that fall outside the scope of the centralized procedure:</w:t>
      </w:r>
    </w:p>
    <w:p>
      <w:pPr>
        <w:spacing w:after="0" w:line="50" w:lineRule="exact"/>
        <w:rPr>
          <w:rFonts w:ascii="Times New Roman" w:cs="Times New Roman" w:eastAsia="Times New Roman" w:hAnsi="Times New Roman"/>
          <w:sz w:val="18"/>
          <w:szCs w:val="18"/>
          <w:color w:val="auto"/>
        </w:rPr>
      </w:pPr>
    </w:p>
    <w:p>
      <w:pPr>
        <w:ind w:left="1540" w:hanging="50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color w:val="auto"/>
        </w:rPr>
        <w:t>Decentralized procedure</w:t>
      </w:r>
      <w:r>
        <w:rPr>
          <w:rFonts w:ascii="Times New Roman" w:cs="Times New Roman" w:eastAsia="Times New Roman" w:hAnsi="Times New Roman"/>
          <w:sz w:val="18"/>
          <w:szCs w:val="18"/>
          <w:color w:val="auto"/>
        </w:rPr>
        <w:t>—Using the decentralized procedure, an applicant may apply for simultaneous authorization in more than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 country of medicinal products that have not yet been authorized in any EU country and that do not fall within the mandatory scope of the centralized procedure.</w:t>
      </w:r>
    </w:p>
    <w:p>
      <w:pPr>
        <w:spacing w:after="0" w:line="65" w:lineRule="exact"/>
        <w:rPr>
          <w:rFonts w:ascii="Times New Roman" w:cs="Times New Roman" w:eastAsia="Times New Roman" w:hAnsi="Times New Roman"/>
          <w:sz w:val="18"/>
          <w:szCs w:val="18"/>
          <w:color w:val="auto"/>
        </w:rPr>
      </w:pPr>
    </w:p>
    <w:p>
      <w:pPr>
        <w:ind w:left="1540" w:hanging="50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color w:val="auto"/>
        </w:rPr>
        <w:t>Mutual recognition procedure</w:t>
      </w:r>
      <w:r>
        <w:rPr>
          <w:rFonts w:ascii="Times New Roman" w:cs="Times New Roman" w:eastAsia="Times New Roman" w:hAnsi="Times New Roman"/>
          <w:sz w:val="18"/>
          <w:szCs w:val="18"/>
          <w:color w:val="auto"/>
        </w:rPr>
        <w:t>—In the mutual recognition procedure, a medicine is first authorized in one EU country,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national procedures of that country. Following this, additional marketing authorizations can be sought from other EU countries in a procedure whereby the countries concerned recognize the validity of the original, national marketing authorization.</w:t>
      </w:r>
    </w:p>
    <w:p>
      <w:pPr>
        <w:spacing w:after="0" w:line="2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Now that the United Kingdom (which comprises Great Britain and Northern Ireland) has left the European Union, Great Britain is no longer covered by centralized marketing authorizations (under the Northern Ireland Protocol, centralized marketing authorizations currently continue to be recognized in Northern Ireland). On January 1, 2024, a new international recognition framework was put in place by the Medicines and Healthcare products Regulatory Agency, or MHRA, the UK medicine’s regulator, under which the MHRA may have regard to decisions on the approval of a marketing authorization made by the EMA and certain other regulators when considering whether to grant a Great Britain marketing authorization. The MHRA also has the power to have regard to marketing authorizations approved in EU Member States through decentralized or mutual recognition procedures with a view to more quickly granting a marketing authorization in the United Kingdom or Great Britain.</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for therapeutic indications that are authorized for marketing (i.e., reference products) qualify for eight years of data exclusivity and an additional two years of market exclusivity upon marketing authorization. The data exclusivity period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and independent data package of pharmaceutical tests, preclinical tests and clinical trials.</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U.S. In the EU, a medicinal product may be designated as orphan if: (1) it is intended for the diagnosis, prevention or treatment of a life-threatening or chronically debilitating condition; (2) either</w:t>
      </w:r>
    </w:p>
    <w:p>
      <w:pPr>
        <w:jc w:val="both"/>
        <w:ind w:firstLine="8"/>
        <w:spacing w:after="0" w:line="253" w:lineRule="auto"/>
        <w:tabs>
          <w:tab w:leader="none" w:pos="2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condition affects no more than five in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that condition. Orphan medicinal products are eligible for financial incentives such as reduction of fees or fee waivers and are, upon grant of a marketing authorization,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18"/>
          <w:szCs w:val="18"/>
          <w:color w:val="auto"/>
        </w:rPr>
        <w:t>entitled to ten years of market exclusivity for the approved therapeutic indication. During this ten-year orphan market exclusivity period, no MAA shall be accepted, and no marketing authorization shall be granted for a similar medicinal product for the same therapeutic indication.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where an agreed pediatric investigation plan for pediatric studies has been complied with. No extension to any supplementary protection certificate, or SPC, can be granted on the basis of pediatric studies for orphan indications.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marketing authorization may be granted to a similar product for the same therapeutic indication at any time if (i) the second applicant can establish that its product, although similar, is safer, more effective or otherwise clinically superior; (ii) the marketing authorization holder for the authorized orphan product consents to a second orphan medicinal product application; or (iii) the marketing authorization holder for the authorized orphan product cannot supply enough orphan medicinal product.</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Prior to obtaining a marketing authorization in the EU,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SPC, provided an application for such extension is made at the same time as filing the SPC application for the product, or at any point up to 2 years before the SPC expires.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Similar to the U.S., the various phases of non-clinical and clinical research in the European Union are subject to significant regulatory controls.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2014, the EU adopted the Clinical Trials Regulation (EU) No 536/2014 (Clinical Trials Regulation) which replaced the Clinical Trials Directive 2001/20/EC on January 31, 2022. The Clinical Trials Regulation is directly applicable in all the EU Member States, meaning no national implementing legislation in each EU Member State is required. The transitory provision of the Clinical Trial Regulation provide that, by January 31, 2025, all ongoing clinical trials must have transitioned to the Regulation, The Clinical Trials Regulation aims to simplify and streamline the approval of clinical trials in the European Union.</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main characteristics of the regulation include: a streamlined application procedure via a single-entry point,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coordinated assessment by the competent authorities of all EU Member States in which an application for authorization of a clinical trial has been submitted (Member States concerned) following review by a Reference Member State.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Reform of the Regulatory Framework in the European Union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legislative proposals to the European Parliament and the European Council for their review and approval. In October 2023, the European Parliament published draft reports proposing amendments to the legislative proposals,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which will be debated by the European Parliament. Once the European Commission’s legislative proposals are approved (with or without amendment), they will be adopted into EU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data collection outside of the United States</w:t>
      </w:r>
    </w:p>
    <w:p>
      <w:pPr>
        <w:spacing w:after="0" w:line="229"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In the event we conduct clinical trials in the European Union, we will be subject to additional privacy restrictions. The collection and use of personal health data in the EEA is governed by the General Data Protection Regulation, or the GDPR, which became effective on May 25, 2018. The GDPR applies to the processing of 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EEA Member States, which may deviate slightly from the GDPR, may result in fines of up to 4% of a company’s global revenues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ensuring compliance with the new data protection rules. There has been limited enforcement of the GDPR to date, particularly in biopharmaceutical development, so we face uncertainty as to the exact interpretation of the new requirements on any future trials and we may be unsuccessful in implementing all measures required by data protection authorities or courts in interpretation of the new law. 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UK specific amendments) into UK law, referred to as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Although the UK is regarded as a third country under the European Union’s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United Kingdom to countries not regarded by the United Kingdom as providing adequate protection. The UK government has confirmed that personal data transfers from the United Kingdom to the EEA remain free flowing.</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the manner in which data protection authorities will seek to enforce compliance with the GDPR. For example, it is not clear if the authorities will conduct random audits of companies doing business in the EEA,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Should we utilize third party distributors, compliance with such foreign governmental regulations would generally be the responsibility of such distributors, who may be independent contractors over whom we have limited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The regulatory regime in Great Britain therefore largely aligns with current EU regulations, however it is possible that these regimes will diverge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the new international recognition procedure in the UK</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mentioned above, the MHRA may take into account decisions on the approval of a marketing authorization from the EMEA (and certain other regulators) when considering an application for a Great Britain marketing authorization.</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principle,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and Human Capital</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2023, we had 187 full-time employees, of which 97 have M.D. or Ph.D. degrees. Within our workforce, 143 employees are engaged in research and development and 44 are engaged in business development, finance, legal, and general management and administration. We consider the intellectual capital of our employees to be an essential driver of our business and key to our future prospects. We continually evaluate the business need and opportunity and balance in house expertise and capacity with outsourced expertise and capacity. Currently, we outsource substantially all clinical trial work to clinical research organizations and certain drug manufacturing to contract manufacturers. Drug development is a complex endeavor which requires deep expertise and experience across a broad array of disciplines. Pharmaceutical companies, both large and small, compete for a limited number of qualified applicants to fill specialized positions. We monitor our compensation programs closely and provide what we consider to be a very competitive mix of compensation and insurance benefits for all our employees, as well as participation in our equity programs. To attract qualified applicants, the Company offers a comprehensive benefits package consisting of base salary and cash target bonus, medical and other benefits and equity compensation for every employee. Bonus opportunity and equity compensation increase as a percentage of total compensation based on level of responsibility. Actual bonus payout is based on performance.</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None of our employees is subject to a collective bargaining agreement or represented by a trade or labor union. We consider our relations with our employees to be good.</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support our employees’ further development with individualized development plans, mentoring, coaching, group training, conference attendance and financial support including tuition reimbursement.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corporate headquarters are located in Watertown, Massachusetts, where we lease and occupy approximately 34,522 square feet of office and laboratory space. The current term of our Watertown lease expires March 31, 2030, with an option to extend the term five additional years with 12 months’ notice with rent set at an agreed upon market rate. In December 2021, we entered into a lease for 100,624 square feet of office and laboratory space in Watertown, Massachusetts, which we are beginning to occupy in February 2024. This lease has an initial term of 134 months, and we have two consecutive options to extend the term of the lease for five years each at then-market rates. We intend to sublease our current space to third parties after we have completed the move to our new facility.</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new facility is expected to be sufficient to meet our current needs. To meet the future needs of our business, we may lease additional or alternate space, and we believe suitable additional or alternative space will be available in the future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Delaware in September 2015 under the name Project HSC, Inc. We are the successor in interest to Kymera Therapeutics, LLC, a limited liability company formed under the laws of the State of Delaware on May 25, 2017 and the former holder of all of our outstanding shares of common stock. Our principal executive offices are located at 200 Arsenal Yards Blvd., Suite 230, Watertown, MA 02472 and our telephone number is (857) 285-5300. Our website address is www.kymeratx.com. References to our website are inactive textual references only and the content of our website should not be deemed incorporated by reference into this Annual Report on Form 10-K.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these reports filed or furnished pursuant to Section 13(a) or 15(d) of the Securities Exchange Act of 1934, are available free of charge on our website located at www.kymeratx.com as soon as reasonably practicable after they are filed with or furnished to the Securities and Exchange Commission, or the SEC.</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proxy and information statements, and other information regarding us and other issuers that file electronically with the SEC. The SEC’s Internet website address is http://www.sec.gov.</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copy of our Corporate Governance Guidelines, Code of Business Conduct and Ethics and the charters of the Audit Committee, Compensation Committee and Nominating and Corporate Governance Committee are posted on our website, www.kymeratx.com, under “Investors”.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material and other risks and uncertainties described and summarized below, as well as the other information in this Annual Report on Form 10-K, including our consolidated financial statements and related notes and the section titled “Management’s Discussion and Analysis of Financial Condition and Results of Operations” and “Special Note Regarding Forward-Looking Statements,” before you make an investment decision. Our actual results could differ materially from those anticipated in the forward-looking statements as a result of factors that are described below and elsewhere in this Annual Report on Form 10-K. The risks described below are not the only risks that we face. The occurrence of any of the events or developments described below could harm our business, financial condition, results of operations and prospects. As a result, the market price of our common stock could decline, and you may lose all or part of your investment in our common stock. New risks can emerge from time to time, and it is not possible to predict the impact that any factor or combination of factors may have on our business, prospects,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limited operating history and have not generated any revenue to date from drug sales, and may never become profitable.</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Phase 1 clinical trials of our product candidates. We have never generated any revenue from drug sales. We have not obtained regulatory approvals for any of our current product candidates. Typically, it takes many years to develop one new pharmaceutical drug from the time it is discovered to when it is available for treating patients. Consequently,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the pandemics or developments relating to macroeconomic conditions. We will need to transition from a company with a research and development focus to a company capable of supporting late-stage development and commercial activities. We may not be successful in such a transition.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Since inception, we have focused substantially all of our efforts and financial resources on developing our proprietary targeted protein degradation drug discovery platform, or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initial product candidates as well as supporting our collaborations and partnerships. To date, we have financed our operations primarily through the issuance and sale of our convertible preferred stock to outside investors and collaborators in private equity financings, upfront payments under our collaborations and our initial public offering (IPO), follow-on offerings, PIPE offering and at-the market sales program. From our inception through December 31, 2023, we raised an aggregate of approximately $1.07 billion of gross proceeds from such transactions and through our collaborations. In January 2024, we received approximately $316.2 million, before deducting underwriting discounts and commissions and estimated offering expenses, from a public offering of our common stock and pre-funded warrants to purchase shares of our common stock. In February 2024, we received $50 million before deduction sales commissions from sales of common stock under our sales agreement with Cowen and Company, LLC. As of December 31, 2023, our cash and cash equivalents and investments were $436.3 million. We have incurred net losses in each year since our inception, and we had an accumulated deficit of $530.8 million as of December 31, 2023. For the years ended December 31, 2023, 2022 and 2021, we reported net losses of $147.0 million, $154.8 million, $100.2 million,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Our prior losses, combined with expected future losses, have had and will continue to have an adverse effect on our stockholders’ deficit and working capital. We expect our expenses to significantly increase in connection with our ongoing activities, as we:</w:t>
      </w:r>
    </w:p>
    <w:p>
      <w:pPr>
        <w:spacing w:after="0" w:line="95"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FDA, for future product candidates</w:t>
      </w:r>
      <w:r>
        <w:rPr>
          <w:rFonts w:ascii="Times New Roman" w:cs="Times New Roman" w:eastAsia="Times New Roman" w:hAnsi="Times New Roman"/>
          <w:sz w:val="21"/>
          <w:szCs w:val="21"/>
          <w:color w:val="auto"/>
        </w:rPr>
        <w:t>;</w:t>
      </w:r>
    </w:p>
    <w:p>
      <w:pPr>
        <w:spacing w:after="0" w:line="11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2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Future Financial Condition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are engaged in clinical development activities on various programs and are also currently advancing multiple development candidates through preclinical development across a number of potential indications.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9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2023, we had approximately $436.3 million of cash and cash equivalents and investments. In August 2020, we completed an IPO of our common stock by issuing 9,987,520 shares of our common stock, including the exercise in full by the underwriters of their option to purchase up to 1,302,720 additional shares of common stock, at a public offering price of $20.00 per share. The aggregate gross proceeds to us from the offering, before deducting underwriting discounts and commissions, and other estimated offering expenses payable by us, were approximately $199.8 million. Concurrent with the IPO, we announced the sale of 676,354 common shares at the public offering price per share in a private placement to Vertex. The aggregate gross proceeds to us from the concurrent private placement were approximately $13.5 million. The concurrent private placement also closed in August 2020. In July 2021, we completed a follow-on offering of our common stock and an additional private placement transaction with Vertex resulting, in the aggregate, in net proceeds of approximately, $243.1 million. In August 2022, we completed a PIPE offering of our common stock and pre-funded warrants resulting in gross proceeds of $150.0 million. In January 2024, we completed a follow-on offering of our common stock and pre-funded warrants resulting in gross proceeds of $316.2 million before deducting underwriting discounts and commissions and estimated offering expenses. In February 2024, we received $50 million before deduction sales commissions from sales of common stock under our sales agreement with Cowen and Company, LLC. We expect that the approximately $436.3 million of cash and cash equivalents and investments at December 31, 2023, together with the net proceeds from the first quarter of 2024 offerings and the $15 million milestone payment received in January of 2024 under our collaboration agreement with Sanofi, will be sufficient to fund our operations into the first half of 2027. We have based this estimate on assumptions that may prove to be wrong, and we could use our capital resources sooner than we currently expect. This estimate also assumes that we do not obtain any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spacing w:after="0" w:line="282" w:lineRule="auto"/>
        <w:rPr>
          <w:sz w:val="20"/>
          <w:szCs w:val="20"/>
          <w:color w:val="auto"/>
        </w:rPr>
      </w:pPr>
      <w:r>
        <w:rPr>
          <w:rFonts w:ascii="Times New Roman" w:cs="Times New Roman" w:eastAsia="Times New Roman" w:hAnsi="Times New Roman"/>
          <w:sz w:val="18"/>
          <w:szCs w:val="18"/>
          <w:color w:val="auto"/>
        </w:rPr>
        <w:t>additional funding through collaborations or other strategic alliances. Our future capital requirements will depend on, and could increase significantly as a result of, many factors, including:</w:t>
      </w:r>
    </w:p>
    <w:p>
      <w:pPr>
        <w:spacing w:after="0" w:line="54"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existing or additional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current or future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current or future product candidates.</w:t>
      </w:r>
    </w:p>
    <w:p>
      <w:pPr>
        <w:spacing w:after="0" w:line="3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that we did not incur as a private company. We are subject to the reporting requirements of the Securities Exchange Act of 1934, as amended, or the Exchange Act, which require, among other things, that we file with the Securities and Exchange Commission, or the SEC, annual, quarterly and current reports with respect to our business and financial condition. In addition, the Sarbanes-Oxley Act of 2002, as amended, or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There are significant corporate governance and executive compensation related provisions in the Dodd-Frank Act that require the SEC to adopt additional rules and regulations in these areas, such as “say on pay” and proxy access. We were required to implement these requirements beginning in 2022 and incurred unexpected expenses in connection with such implementation.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that date, SVB has announced they have been acquired by First Citizens Bank and have resumed mostly normal operations. Similarly, on March 12, 2023, Signature Bank and Silvergate Capital Corp. were each swept into receivership. Since then, additional financial institutions have experienced similar failures and have been placed into receivership.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5" w:name="page66"/>
    <w:bookmarkEnd w:id="65"/>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9" w:lineRule="exact"/>
        <w:rPr>
          <w:sz w:val="20"/>
          <w:szCs w:val="20"/>
          <w:color w:val="auto"/>
        </w:rPr>
      </w:pPr>
    </w:p>
    <w:p>
      <w:pPr>
        <w:jc w:val="both"/>
        <w:ind w:firstLine="555"/>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Preclinical and Clinical Development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IRAK4, STAT3 and MDM2 programs are in early clinical development. If we are unable to advance them through the clinic for safety or effective reasons or commercialize our product candidates or experience significant delays in doing so, our business will be materially harmed.</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75"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ongoing or planned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timing of IND clearances of future product candidates, and/or clinical trial costs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completion of all safety studies required to obtain U.S. and foreign marketing approval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Pegasus platform is novel and unproven, which makes it difficult to predict the time, cost of development and likelihood of successfully developing any products.</w:t>
      </w:r>
    </w:p>
    <w:p>
      <w:pPr>
        <w:spacing w:after="0" w:line="16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utilizes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99"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any similar or competitive platforms, will result in the development and marketing approval of any products. Any development problems we experience in the future related to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2"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A key element of our strategy is to apply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9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We are currently focused on our immunology portfolio, consisting of IRAK4, STAT6 and TYK2 programs, which target key signaling pathways implicated in multiple inflammatory and autoimmune diseases, as well as our oncology portfolio, consisting of our STAT3 and MDM2 programs, which target numerous cancers. In some instances, we may decide to discontinue our investment in programs. For example, in November 2023, we announced the decision to discontinue the development of our KT-413 (IRAKIMID) program in order to focus resources to support our growing immunology pipeline. As a result, we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This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 For example, in December 2020, we submitted an IND application for KT-474 to initiate a first-in-human Phase 1 randomized, double-blind, placebo-controlled clinical trial in healthy volunteers and patients with HS or AD. The program was initially placed on partial clinical hold regarding the multiple ascending dose, or MAD) portion of the Phase 1 trial, pending FDA review of the interim data in healthy volunteers from the SAD portion of the trial. In June 2021, the FDA lifted the partial clinical hold on the MAD portion of the Phase 1 trial of KT-474 following review of interim SAD results, and the Phase 1 trial has since been completed.</w:t>
      </w:r>
    </w:p>
    <w:p>
      <w:pPr>
        <w:spacing w:after="0" w:line="1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following scientific evaluation by the EMA,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the number, design, size, conduct or implementation of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require that we conduct additional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approve the formulation, labeling or specifications of any of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accept data generated at our preclinical studies and clinical trial sites;</w:t>
      </w:r>
    </w:p>
    <w:p>
      <w:pPr>
        <w:spacing w:after="0" w:line="15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be delayed in its review processes due to staffing or other constraints;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may be delays in trial initiation,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17" w:lineRule="exact"/>
        <w:rPr>
          <w:rFonts w:ascii="Times New Roman" w:cs="Times New Roman" w:eastAsia="Times New Roman" w:hAnsi="Times New Roman"/>
          <w:sz w:val="18"/>
          <w:szCs w:val="18"/>
          <w:color w:val="auto"/>
        </w:rPr>
      </w:pPr>
    </w:p>
    <w:p>
      <w:pPr>
        <w:ind w:left="5540" w:right="3960" w:hanging="5023"/>
        <w:spacing w:after="0" w:line="407" w:lineRule="auto"/>
        <w:tabs>
          <w:tab w:leader="none" w:pos="10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 for the indications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subjects, principal investigators or staff or clinical site availability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in December 2023, we announced positive interim results from our Phase 1 trial of KT-333 and in November 2023, we announced positive interim results from our Phase 1a trial of KT-253. However, there can be no assurance that the final topline data from either trial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of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Positive results from our preclinical studies of our current or future product candidates, and any positive results we may obtain from our early clinical trials of our current or future product candidates, including the ongoing clinical trials of KT-474, KT-333 and KT-253 may not necessarily be predictive of the results from required later preclinical studies and clinical trials. Similarly, even if we are able to complete our planned preclinical studies or clinical trials of our current or future product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spacing w:after="0" w:line="252" w:lineRule="auto"/>
        <w:rPr>
          <w:sz w:val="20"/>
          <w:szCs w:val="20"/>
          <w:color w:val="auto"/>
        </w:rPr>
      </w:pPr>
      <w:r>
        <w:rPr>
          <w:rFonts w:ascii="Times New Roman" w:cs="Times New Roman" w:eastAsia="Times New Roman" w:hAnsi="Times New Roman"/>
          <w:sz w:val="18"/>
          <w:szCs w:val="18"/>
          <w:color w:val="auto"/>
        </w:rPr>
        <w:t>candidates according to our current development timeline, the positive results from such preclinical studies and/or clinical trials of our current or future product candidates, including KT-474, KT-621, KT-294, KT-333 and KT-253, may not be replicated in subsequent preclinical studies or clinical trials. In particular, while we have conducted certain preclinical studies of KT-621 and KT-294, we do not know whether either of these product candidates will perform in our planned clinical trials as it has performed in these prior preclinical studies. For example, in preclinical studies, (i) KT-621 demonstrated full inhibition of IL-4/IL-13 pathway in all relevant human cell contexts with picomolar potency that was superior to dupilumab, and equivalent or superior activity to dupilumab, and (ii) KT-294 demonstrated picomolar to nanomolar potencies across all relevant human cell types evaluated.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our planned or future clinical trials may utilize an “open-label” trial design, such as the open-label patient portion of our Phase 1 clinical trials of KT-474, KT-333 and KT-253.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including our Phase 1 trials of KT-474, KT-333 and KT-253, may not be predictive of future clinical trial results with any of our product candidates for which we include an open-label clinical trial when studied in a controlled environment with a placebo or active control.</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KT-474 for the treatment of a broad set of immunology-inflammation diseases, such as HS, an inflammatory skin disease, AD, and rheumatoid arthritis.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For example, in December 2019, a novel strain of a virus named SARS-CoV-2 (severe acute respiratory syndrome coronavirus 2), or coronavirus, which causes COVID-19, surfaced in Wuhan, China and has since spread worldwide, including to Eastern Massachusetts where our primary office and laboratory space is located. The pandemic and policies and regulations implemented by governments in response to the pandemic, most of which have been lifted, have had a significant impact, both direct and indirect, on businesses and commerce. The coronavirus pandemic has evolved considerably, and led to the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18"/>
          <w:szCs w:val="18"/>
          <w:color w:val="auto"/>
        </w:rPr>
        <w:t>implementation of various responses, including government-imposed quarantines, travel restrictions and other public health safety measures which now have been lifted. The extent to which any future pandemic impacts our operations or those of our third-party partners, including our preclinical studies or clinical trial operations, will also depend on future developments, which are highly uncertain and cannot be predicted with confidence, including the duration of the outbreak, new information that will emerge concerning the severity of disease and the actions to contain the disease or treat its impact, among others. For example, similar to other biopharmaceutical companies, we may experience delays in enrolling subjects in our clinical trials. Infectious diseases may also affect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affect on the operations of our third-party manufacturers and the supply chain for our product candidates. For example, in February 2020, one of our vendors for active pharmaceutical ingredient, or API, starting materials based in Wuhan, China ceased its operations for several weeks due to the COVID-19 pandemic, which caused a minor delay in the delivery of API starting materials to a separate vendor who manufactures API;</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2" w:name="page73"/>
    <w:bookmarkEnd w:id="7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approved, and significantly impact our ability to successfully commercialize our current or future product candidates and generate revenues.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Legislative proposals are pending that, if enacted, could negatively impact U.S. funding for certain biotechnology providers having relationships with foreign adversaries or which pose a threat to national security. The potential downstream adverse impacts on entities having only commercial relationships with any impacted biotechnology providers is unknown but may include supply chain disruptions or delays.</w:t>
      </w:r>
    </w:p>
    <w:p>
      <w:pPr>
        <w:spacing w:after="0" w:line="17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color w:val="auto"/>
        </w:rPr>
        <w:t>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9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current or future product candidates could be delayed in receiving, or fail to receive, regulatory approval for many reasons, including the following:</w:t>
      </w:r>
    </w:p>
    <w:p>
      <w:pPr>
        <w:spacing w:after="0" w:line="7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5" w:name="page76"/>
    <w:bookmarkEnd w:id="7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Fast Track Designation for one or more of our current or future product candidates. In the third quarter of 2023, the U.S. Food and Drug Administration granted Fast Track designation to KT-333 for the treatment of both relapsed/refractory CTCL and relapsed/refractory PTCL.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 current or future product candidates,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of KT-474, KT-621, KT-294, KT-333, KT-253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seek accelerated approval of KT-474, KT-621, KT-294, KT-333, KT-253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6" w:name="page77"/>
    <w:bookmarkEnd w:id="7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orphan drug designation for some of our product candidates. We may also seek Orphan Drug Designation for certain of our other current or future product candidates, and we may be unsuccessful or may be unable to maintain the benefits associated with Orphan Drug Designation, including the potential for market exclusivity.</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granted Orphan Drug Designation for KT-333 for the treatment of peripheral T cell lymphoma and cutaneous T cell lymphoma and for KT-253 for the treatment of acute myeloid leukemia. As part of our business strategy, we may also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may grant orphan designation with respect products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product would be of significant benefit to those affected by the applicable condition). Additionally, designation may be granted for products intended for the diagnosis, prevention, or treatment of a life-threatening, seriously debilitating or serious and chronic condition when, without incentives, it is unlikely that sales of the product in the European Union would be sufficient to justify the necessary investment in developing the product. In the European Union, orphan designation entitles a party to financial incentives such as reduction of fees or fee waivers.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U.S. and ten years in the European Union. The exclusivity period in the European Union can be reduced to six years if at the end of the fifth year, it is established that a product no longer meets the criteria for Orphan Designation, including where it is shown that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the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Foreign Regulatory Approval and Foreign Markets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79" w:lineRule="exact"/>
        <w:rPr>
          <w:sz w:val="20"/>
          <w:szCs w:val="20"/>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that obtaining regulatory approvals outside of the U.S. may take longer and be more costly than obtaining approval in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current or future product candidates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9" w:name="page80"/>
    <w:bookmarkEnd w:id="79"/>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Foreign sales of our current or future product candidates could also be adversely affected by the imposition of governmental controls, political and economic instability, trade restrictions and changes in tariffs.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in the future choose to conduct one or more clinical trials outside the U.S., including in Europe.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w:t>
      </w:r>
    </w:p>
    <w:p>
      <w:pPr>
        <w:spacing w:after="0" w:line="3" w:lineRule="exact"/>
        <w:rPr>
          <w:sz w:val="20"/>
          <w:szCs w:val="20"/>
          <w:color w:val="auto"/>
        </w:rPr>
      </w:pPr>
    </w:p>
    <w:p>
      <w:pPr>
        <w:jc w:val="both"/>
        <w:ind w:firstLine="8"/>
        <w:spacing w:after="0" w:line="251" w:lineRule="auto"/>
        <w:tabs>
          <w:tab w:leader="none" w:pos="2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 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Compliance with Healthcare and Other Regulations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In the U.S. and in other countries, sales of any products for which we may receive regulatory marketing approval for commercial sale will depend, in part, on the availability of coverage and reimbursement from third-party payors. Third-party payors include government healthcare programs (e.g., Medicare and Medicaid), managed care providers, private health insurers, health maintenance organizations and other organizations. These third-party payors decide which medications they will pay for and establish reimbursement levels. The availability of coverage and extent of reimbursement by governmental and other third-party payors is essential for most patients to be able to afford treatments such as targeted protein degradation therapies.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Private payors tend to follow CMS to a substantial degree. Factors payors consider in determining reimbursement are based on whether the product is:</w:t>
      </w:r>
    </w:p>
    <w:p>
      <w:pPr>
        <w:spacing w:after="0" w:line="7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commercialize any current or future product candidates successfully also will depend in part on the extent to which coverage and reimbursement for these current or future product candidates and related treatments will be available from government authorities, private health insurers and other organizations. Moreover, a payor’s decision to provide coverage for a product does not imply that an adequate reimbursement rate will be approved. We cannot be sure that coverage will be available for any product candidate that we commercialize. If coverage is available, but reimbursement is available only to limited levels, we may not be able to successfully commercialize any product candidate for which we obtain marketing approval.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1" w:name="page82"/>
    <w:bookmarkEnd w:id="81"/>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 Also, third-party payors may refuse to include a particular branded product on their formularies or otherwise restrict patient access to a branded drug when a less costly generic equivalent or other alternative is available.</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Despite our best efforts, our product candidates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legislative reform measures may have a material adverse effect on our business and results of operations.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March 2010, the Patient Protection and Affordable Care Act, as amended by the Health Care and Education Reconciliation Act, or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expands the types of entities eligible for the 340B drug discount program, addresses a new methodology by which rebates owed by manufacturers under the Medicaid Drug Rebate Program are calculated for drugs that are inhaled, infused, instilled, implanted or injected, increases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judicial, administrative, executive and Congressional legislative challenges to certain aspects of the ACA, and we expect there will be additional challenges and amendments to the ACA in the future. On June 17, 2021, the U.S. Supreme Court dismissed the most recent judicial challenge to the ACA brought by several states without specifically ruling on the constitutionality of the ACA. In addition, President Biden has issued multiple executive orders that have sought to address the issue of prescription drug costs. It is unclear how other healthcare reform measures of the Biden administration or other efforts, if any, to challenge, repeal or replace the ACA will impact our business.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 Control Act of 2011, among other things, created measures for spending reductions by Congress that included, along with subsequent legislation, aggregate reductions of Medicare payments to providers of up to 2% per fiscal year will remain in effect through 2032 unless additional Congressional action is taken.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Taxpayer Relief Act of 2012 among other things, further reduced Medicare payments to several providers, including hospitals, imaging centers and cancer treatment centers, and increased the statute of limitations period for the government to recover overpayments to providers from three to five years. The BBA also amended the ACA, effective January 1, 2019, by increasing the point-of-sale discount that is owed by pharmaceutical manufacturers who participate in Medicare Part D and closing the coverage gap in most Medicare drug plans, commonly referred to as the “donut hole.”</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Rescue Plan Act of 2021 eliminates the statutory Medicaid drug rebate cap, currently set at 100% of a drug’s average manufacturer price, for single source and innovator multiple source drugs, effective January 1, 2024.</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annual out-of-pocket spending cap for Medicare Part D beneficiaries from $7,050 to $2,000 starting in 2025, thereby effectively eliminating the coverage gap; impose new manufacturer financial liability on many drugs reimbursed under Medicare Part D; allow the U.S. government to negotiate Medicare Part B and Part D pricing for certain high-cost drugs and biologics without generic or biosimilar competition; and require companies to pay rebates to Medicare for drug prices that increase faster than inflation.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Medicare drug price negotiation program. The effects of the IRA on our business and the healthcare industry in general is not yet known.</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marketed products. Such scrutiny has resulted in several recent U.S. Congressional inquiries and has further resulted in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3" w:name="page84"/>
    <w:bookmarkEnd w:id="83"/>
    <w:p>
      <w:pPr>
        <w:jc w:val="both"/>
        <w:spacing w:after="0" w:line="254" w:lineRule="auto"/>
        <w:rPr>
          <w:sz w:val="20"/>
          <w:szCs w:val="20"/>
          <w:color w:val="auto"/>
        </w:rPr>
      </w:pPr>
      <w:r>
        <w:rPr>
          <w:rFonts w:ascii="Times New Roman" w:cs="Times New Roman" w:eastAsia="Times New Roman" w:hAnsi="Times New Roman"/>
          <w:sz w:val="18"/>
          <w:szCs w:val="18"/>
          <w:color w:val="auto"/>
        </w:rPr>
        <w:t>and state legislation designed to, among other things, bring more transparency to drug pricing, reduce the cost of prescription drugs under Medicare, and review the relationship between pricing and manufacturer patient programs.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the IRA further delayed implementation of this rule to January 1, 2032.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which could negatively affect our business, financial condition, results of operations and prospects.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See the section of this report titled “Government Regulation -other Regulatory Matters – Other Healthcare Laws” for additional information.</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18"/>
          <w:szCs w:val="18"/>
          <w:color w:val="auto"/>
        </w:rPr>
        <w:t>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5" w:name="page86"/>
    <w:bookmarkEnd w:id="85"/>
    <w:p>
      <w:pPr>
        <w:jc w:val="both"/>
        <w:spacing w:after="0" w:line="258" w:lineRule="auto"/>
        <w:rPr>
          <w:sz w:val="20"/>
          <w:szCs w:val="20"/>
          <w:color w:val="auto"/>
        </w:rPr>
      </w:pPr>
      <w:r>
        <w:rPr>
          <w:rFonts w:ascii="Times New Roman" w:cs="Times New Roman" w:eastAsia="Times New Roman" w:hAnsi="Times New Roman"/>
          <w:sz w:val="18"/>
          <w:szCs w:val="18"/>
          <w:color w:val="auto"/>
        </w:rPr>
        <w:t>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8" w:lineRule="exact"/>
        <w:rPr>
          <w:sz w:val="20"/>
          <w:szCs w:val="20"/>
          <w:color w:val="auto"/>
        </w:rPr>
      </w:pPr>
    </w:p>
    <w:p>
      <w:pPr>
        <w:jc w:val="both"/>
        <w:ind w:left="1020" w:right="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6" w:name="page87"/>
    <w:bookmarkEnd w:id="86"/>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Competitors in our efforts to develop small molecule protein degraders therapies for patients, include, but are not limited to, Arvinas, Inc., C4 Therapeutics, Inc., Foghorn Therapeutics Inc. and Nurix Therapeutics, Inc., some of which have entered clinical development. Further, several large pharmaceutical companies have disclosed preclinical and clinical investments in this field.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TYK2, STAT3 and MDM2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59" w:lineRule="exact"/>
        <w:rPr>
          <w:sz w:val="20"/>
          <w:szCs w:val="20"/>
          <w:color w:val="auto"/>
        </w:rPr>
      </w:pPr>
    </w:p>
    <w:p>
      <w:pPr>
        <w:jc w:val="both"/>
        <w:ind w:firstLine="563"/>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8" w:name="page89"/>
    <w:bookmarkEnd w:id="88"/>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manufacturing organizations and strategic partners to help conduct our preclinical studies. We do not have the ability to independently conduct clinical trials. We rely on medical institutions, clinical investigators, contract laboratories, and other third parties, including collaboration partners, to conduct or otherwise support clinical trials for our current product candidates, and we expect to rely on such third parties for our future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the Phase 1 trials of KT-474, KT-333 and KT-253,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Legislative proposals are pending that, if enacted, could negatively impact U.S. funding for certain biotechnology providers having relationships with foreign adversaries or which pose a threat to national security. The potential downstream adverse impacts on entities having only commercial relationships with any impacted biotechnology providers is unknown but may include supply chain disruptions or delays.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 collaboration and licensing arrangement with Sanofi and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54"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the company in a timely manner.</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1" w:name="page92"/>
    <w:bookmarkEnd w:id="9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delay the development and commercialization of our current or future product candidates in certain geographies or for certain indications, which would harm our business prospects, financial condition and results of operations.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discussed elsewhere in this Annual Report on Form 10-K, our collaboration partner, Sanofi, is conducting a randomized Phase 2 clinical trial evaluating KT-474 in HS and a second randomized Phase 2 trial in AD. Sanofi will have significant discretion in determining the efforts and resources that it will apply to advance those clinical trials. 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our initial IRAK4, STAT3 and MDM2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2" w:name="page93"/>
    <w:bookmarkEnd w:id="92"/>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own patent applications and one patent related to our platform E3 ligase ligand technology and our novel bifunctional degrader compounds, including claims to compositions of matter, pharmaceutical compositions, methods of use, methods of treatment, and other related methods.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our patent portfolio covering novel compounds, and the methods of making and using thereof, included 101 patent families. Patent term adjustments, supplementary protection certificate filings, or patent term extensions could result in later expiration dates in various countries, while terminal disclaimers could result in earlier expiration dates in the U.S.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9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in other countries. In addition, we may be subject to</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3" w:name="page94"/>
    <w:bookmarkEnd w:id="93"/>
    <w:p>
      <w:pPr>
        <w:jc w:val="both"/>
        <w:spacing w:after="0" w:line="255" w:lineRule="auto"/>
        <w:rPr>
          <w:sz w:val="20"/>
          <w:szCs w:val="20"/>
          <w:color w:val="auto"/>
        </w:rPr>
      </w:pPr>
      <w:r>
        <w:rPr>
          <w:rFonts w:ascii="Times New Roman" w:cs="Times New Roman" w:eastAsia="Times New Roman" w:hAnsi="Times New Roman"/>
          <w:sz w:val="18"/>
          <w:szCs w:val="18"/>
          <w:color w:val="auto"/>
        </w:rPr>
        <w:t>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69"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in all countries. Filing, prosecuting and defending patents on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4" w:name="page95"/>
    <w:bookmarkEnd w:id="94"/>
    <w:p>
      <w:pPr>
        <w:jc w:val="both"/>
        <w:spacing w:after="0" w:line="255" w:lineRule="auto"/>
        <w:rPr>
          <w:sz w:val="20"/>
          <w:szCs w:val="20"/>
          <w:color w:val="auto"/>
        </w:rPr>
      </w:pPr>
      <w:r>
        <w:rPr>
          <w:rFonts w:ascii="Times New Roman" w:cs="Times New Roman" w:eastAsia="Times New Roman" w:hAnsi="Times New Roman"/>
          <w:sz w:val="18"/>
          <w:szCs w:val="18"/>
          <w:color w:val="auto"/>
        </w:rPr>
        <w:t>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current or future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5" w:name="page96"/>
    <w:bookmarkEnd w:id="95"/>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Patent Protection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auto"/>
        </w:rPr>
        <w:t>Risks Related to our Trademarks, Trade Names and Trade Secrets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to building our product brand recognition.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during the trademark registration process, we may receive Office Actions from the USPTO or from comparable agencies in foreign jurisdictions refusing registration of our trademarks. For example, in April 2021 and October 2022, respectively, the USPTO issued preliminary office action refusals against our applications to register E3 LIGASE WHOLE BODY ATLAS and E3 HUMAN ATLAS and our K &amp; Design logo mark. While E3 LIGASE WHOLE BODY ATLAS and E3 HUMAN ATLAS have since been published and notices of allowance issued, we do not yet know whether the USPTO will issue a subsequent office action against our application for our logo mark, to which we will have to respond, and which we may not ultimately be able to overcome, or if this application will be approved for publication as well.</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property. Such claims could have a material adverse effect on our business, financial condition, results of operations, and prospects.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Litigation and Infringement Claims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9" w:name="page100"/>
    <w:bookmarkEnd w:id="99"/>
    <w:p>
      <w:pPr>
        <w:jc w:val="both"/>
        <w:spacing w:after="0" w:line="253" w:lineRule="auto"/>
        <w:rPr>
          <w:sz w:val="20"/>
          <w:szCs w:val="20"/>
          <w:color w:val="auto"/>
        </w:rPr>
      </w:pPr>
      <w:r>
        <w:rPr>
          <w:rFonts w:ascii="Times New Roman" w:cs="Times New Roman" w:eastAsia="Times New Roman" w:hAnsi="Times New Roman"/>
          <w:sz w:val="18"/>
          <w:szCs w:val="18"/>
          <w:color w:val="auto"/>
        </w:rPr>
        <w:t>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the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or other technologies, are rightfully owned by their former or concurrent employer. Litigation may be necessary to defend against these claims.</w:t>
      </w:r>
    </w:p>
    <w:p>
      <w:pPr>
        <w:spacing w:after="0" w:line="20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0" w:name="page101"/>
    <w:bookmarkEnd w:id="100"/>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or future product candidates, or from using our proprietary technologies, including our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unless the third-party licenses its product rights to us, which it is not required to do on commercially reasonable terms or at all;</w:t>
      </w:r>
    </w:p>
    <w:p>
      <w:pPr>
        <w:spacing w:after="0" w:line="90"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platform may be impaired or delayed, which could in turn significantly harm our business. Even if we obtain a license, it may be nonexclusive, thereby giving our competitors access to the same technologies licensed to us.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1" w:name="page102"/>
    <w:bookmarkEnd w:id="101"/>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or technologies, which could harm our business significantly.</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Employee Matters and Managing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Nello Mainolfi, Ph.D., our President and Chief Executive Officer, Jared Gollob, M.D., our Chief Medical Officer, Bruce Jacobs, our Chief Financial Officer, Ellen Chiniara, our Chief Legal Officer and Jeremy Chadwick, our Chief Operating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t>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2023, we had 187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3" w:name="page104"/>
    <w:bookmarkEnd w:id="103"/>
    <w:p>
      <w:pPr>
        <w:jc w:val="both"/>
        <w:spacing w:after="0" w:line="282" w:lineRule="auto"/>
        <w:rPr>
          <w:sz w:val="20"/>
          <w:szCs w:val="20"/>
          <w:color w:val="auto"/>
        </w:rPr>
      </w:pPr>
      <w:r>
        <w:rPr>
          <w:rFonts w:ascii="Times New Roman" w:cs="Times New Roman" w:eastAsia="Times New Roman" w:hAnsi="Times New Roman"/>
          <w:sz w:val="18"/>
          <w:szCs w:val="18"/>
          <w:color w:val="auto"/>
        </w:rPr>
        <w:t>period of time, any or all of our research and development programs may be harmed. Any business interruption may have a material and adverse effect on our business, financial condition, results of operations and prospects.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Data and Privacy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sublease our current space in Watertown, Massachusetts for occupancy after we move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4" w:name="page105"/>
    <w:bookmarkEnd w:id="104"/>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began occupying in February 2024. We intend to sublease our current space to third parties after we have completed the move to our new facility. In the event that we are unable to sublease our excess space on favorable terms, or at all, or if we are able to sublease our space but our subtenants fail to make lease payments to us or otherwise default on their obligations to us, we could incur unanticipated payment obligations.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current or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 or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collaboration agreements, including announcements regarding our collaboration agreement with Sanofi;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current or future product candidates.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the existing holdings of our executive officers, directors, principal stockholders and their affiliates represent beneficial ownership, in the aggregate, of approximately 31%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6" w:name="page107"/>
    <w:bookmarkEnd w:id="106"/>
    <w:p>
      <w:pPr>
        <w:jc w:val="both"/>
        <w:spacing w:after="0" w:line="261" w:lineRule="auto"/>
        <w:rPr>
          <w:sz w:val="20"/>
          <w:szCs w:val="20"/>
          <w:color w:val="auto"/>
        </w:rPr>
      </w:pPr>
      <w:r>
        <w:rPr>
          <w:rFonts w:ascii="Times New Roman" w:cs="Times New Roman" w:eastAsia="Times New Roman" w:hAnsi="Times New Roman"/>
          <w:sz w:val="18"/>
          <w:szCs w:val="18"/>
          <w:color w:val="auto"/>
        </w:rPr>
        <w:t>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approximately 3,000,000 shares of our common stock were reserved for issuance upon exercise of pre-funded warrants. Additionally, 8,706,304 shares of our common stock were reserved for issuance upon exercise of outstanding stock options and vested restricted stock units. The exercise or conversion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 capital will be needed in the future to continue our planned operations. To the extent we issue additional equity securities to raise capital or pursuant to our equity incentive plans or other contractual obligations, our stockholders may experience substantial dilution. We may sell common stock, convertible securities or other equity securities in one or more transactions at prices and in a manner we determine from time to time. If we sell or issue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 because we expect we will need to raise additional capital to fund our future activities, we may in the future sell substantial amounts of common stock or securities convertible into or exchangeable for common stock. Future issuances of common stock or common stock-related securities, together with the exercise of outstanding stock options or warrants, the vesting and settlement of outstanding restricted stock units, and new equity awards granted under our equity incentive plans, if any, may result in further dilution. Pursuant to the sales agreement, or Sales Agreement, with Cowen and Company, LLC, or Cowen, we may offer and sell up to an aggregate amount of $250.0 million of our common stock from time to time in “at-the-market” offerings, subject to the limitations thereof. As of December 31, 2023, no shares of common stock had been sold under the Sales Agreement. To date, approximately $50 million worth of common stock had been sold under the Sales Agreement. To the extent that we sell additional shares of our common stock in the future pursuant to the Sales Agreement, investors purchasing shares of our common stock could experience further dilution.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or settlement of restricted stock units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our common stock to, or through, Cowen may cause significant dilution and the sale of the shares of common stock acquired by Cowen, or the perception that such sales may occur, could cause the price of our common stock to fall.</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October 1, 2021, we entered into a Sales Agreement with Cowen, pursuant to which we may offer and sell our common stock, subject to certain limitations in the Sales Agreement and compliance with applicable law, at any time throughout the term of the Sales Agreement. The number of shares that are sold by Cowen after delivering a placement notice will fluctuate based on the market price of the common stock during the sales period and limits we set with Cowen. Because the price per share of each share sold will fluctuate based on the market price of our common stock during the sales period, it is not possible at this stage to predict the number of shares that will be ultimately issued. Sales to, or through, Cowen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 From October 1, 2021 through December 31, 2023, we had not sold any shares of common stock through the Cowen sales agreement. On February 7, 2024, we sold 1,519,453 shares of common stock through the Cowen sales agreement.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For example, under Section 174 of the Code, in taxable years beginning after December 31, 2021, expenses that are incurred for research and development in the U.S. will be capitalized and amortized, which may have an adverse effect on our cash flow.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2023, we had federal and state net operating loss carryforwards of $160.5 million and $161.3 million, respectively, which begin to expire in various amounts in 2036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2023, we also had federal and state research and development tax credit carryforwards of $19.5 million and $8.1 million, respectively, which begin to expire in 2036.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 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Controls and Reporting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9" w:name="page110"/>
    <w:bookmarkEnd w:id="109"/>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achieve compliance with Section 404,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Charter and Bylaws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p>
    <w:p>
      <w:pPr>
        <w:spacing w:after="0" w:line="56" w:lineRule="exact"/>
        <w:rPr>
          <w:sz w:val="20"/>
          <w:szCs w:val="20"/>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0" w:name="page111"/>
    <w:bookmarkEnd w:id="110"/>
    <w:p>
      <w:pPr>
        <w:jc w:val="both"/>
        <w:spacing w:after="0" w:line="261" w:lineRule="auto"/>
        <w:rPr>
          <w:sz w:val="20"/>
          <w:szCs w:val="20"/>
          <w:color w:val="auto"/>
        </w:rPr>
      </w:pPr>
      <w:r>
        <w:rPr>
          <w:rFonts w:ascii="Times New Roman" w:cs="Times New Roman" w:eastAsia="Times New Roman" w:hAnsi="Times New Roman"/>
          <w:sz w:val="18"/>
          <w:szCs w:val="18"/>
          <w:color w:val="auto"/>
        </w:rPr>
        <w:t>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Risk Management and Strategy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Kymera uses, stores and processes data for and about our research programs, clinical trials, employees, and suppliers. We have developed and maintain an information security program designed to assess, identify, and manage risks from cybersecurity threats, including to our data and systems. We conduct periodic assessments of our assets, including internal and external security testing, as part of our risk management process and to evaluate the effectiveness of applicable security controls. These assessments are informed by industry standards. Our cybersecurity risk management process is a part of our overall risk management program. We also have an employee education program that includes training designed to raise awareness of cybersecurity threats. We have adopted an Incident Response Policy that outlines the legal and governance process for identifying and managing material cyber risks to our information and information systems and our framework for assessing and responding to cyber incidents, as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Related to Cybersecurity Risks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ultimate direction of the Chief Executive Officer and our executive management team, the Cybersecurity Supervisory Committee (CSSC) has primary responsibility for overseeing our management of cybersecurity risks, which includes representatives from finance, legal, operations, human resources, and information technology. The CSSC meets as circumstances warrant to review and update incident response procedures and to provide oversight of incident response activities of the Cyber Security Incident Response Team.</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head of information technology and the CSSC have primary responsibility for assessing and managing our cybersecurity program. The head of information technology, who reports to the Chief Operating Officer, has more than 25 years of experience in building and leading information technology and security teams.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has ultimate oversight of our risk management program and has delegated oversight of that program, including, oversight of cybersecurity, to the audit committee of the board of directors. The S.V.P. of Information Technology presents to the audit committee periodically regarding cybersecurity matters. The Chief Financial Officer and the Chief Legal Officer are responsible for informing the audit committee in the event of any material cybersecurity incidents and any potential disclosure obligations arising from such incidents.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occupy approximately 34,522 rentable square feet of office and laboratory space in Watertown, Massachusetts under a lease that expires in March 2030. We have an option to extend the lease term for five additional years. Additionally, in February 2023 we began occupying 100,624 square feet of office and laboratory space in Watertown, Massachusetts under a lease that expires in March 2035. We have two options to extend the lease term, each for five additional years. We believe that our office and laboratory space is sufficient to meet our current needs and that suitable additional space will be available as and when needed.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Certain Information Regarding the Trading of Our Common Stock</w:t>
      </w:r>
    </w:p>
    <w:p>
      <w:pPr>
        <w:ind w:left="520"/>
        <w:spacing w:after="0"/>
        <w:rPr>
          <w:sz w:val="20"/>
          <w:szCs w:val="20"/>
          <w:color w:val="auto"/>
        </w:rPr>
      </w:pPr>
      <w:r>
        <w:rPr>
          <w:rFonts w:ascii="Times New Roman" w:cs="Times New Roman" w:eastAsia="Times New Roman" w:hAnsi="Times New Roman"/>
          <w:sz w:val="18"/>
          <w:szCs w:val="18"/>
          <w:color w:val="auto"/>
        </w:rPr>
        <w:t>Our common stock trades under the symbol “KYMR” on the Nasdaq Global Select Market and has been publicly traded since August 21,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this time, there was no public market for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August 21, 2020, the first date that shares of our common stock were publicly traded, through December 31, 2023, of the cumulative total return on an assumed investment of $100.00 in cash in our common stock, the NASDAQ Composite Index and the NASDAQ Biotechnology Index for the same period. Such returns are based on historical results and are not intended to suggest future performance. Data for the NASDAQ Composite Index and the NASDAQ Biotechnology Index assume reinvestment of dividends</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41 Month Cumulative Total Return*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Among Kymera Therapeutics, Inc.,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90805</wp:posOffset>
            </wp:positionV>
            <wp:extent cx="5477510" cy="38061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77510"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*$100 invested on August 21, 2020 in stock and indices, including reinvestment of dividends.</w:t>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Fiscal year ending December 31.</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performance graph in this Item 5 is not deemed to be “soliciting material” or to be “filed” with the Securities and Exchange Commission for purposes of Section 18 of the Securities and Exchange Act of 1934, as amended, or otherwise subject to the liabilities under that Section, and shall not be deemed incorporated by reference into any of our filings under the Securities Act of 1933 or the Securities Exchange Act of 1934, except to the extent we specifically incorporate it by reference into such a filing.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February 16, 2024, there were approximately 21 holders of record of shares of our common stock. This number does not include stockholders for whom shares are held in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financial statements and related notes appearing elsewhere in this Annual Report on Form 10-K. Some of the information contained in this discussion and analysis and set forth elsewhere in this Annual Report on Form 10-K, including information with respect to our plans and strategy for our business, includes forward-looking statements that involve risks and uncertainties. You should review the section titled “Risk Factors” in Part I,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focused on discovering and developing novel small molecule therapeutics that selectively degrade disease-causing proteins by harnessing the body’s own natural protein degradation system. Our proprietary targeted protein degradation, or TPD, platform, which we refer to as Pegasus™, allows us to discover highly selective small molecule protein degraders with activity against disease-causing proteins throughout the body. We believe that our small molecule protein degraders have unique advantages over existing therapies and allow us to address a large portion of the human genome that was previously intractable with traditional modalities. We focus on biological pathways that have been clinically validated but where key biological nodes/proteins have not been drugged or are inadequately drugged. To date, we have utilized our Pegasus™ platform to design novel protein degraders focused in the areas of immunology-inflammation and oncology, and we continue to apply our platform’s capabilities to additional therapeutic areas. We have a mission to drug all target classes in human cells using TPD.</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current clinical stage programs are IRAK4, STAT3, and MDM2, which each address high impact targets within biologically-proven pathways, providing the opportunity to treat a broad range of immuno-inflammatory diseases, hematologic malignancies, and/or solid tumors. Our programs exemplify our focus on addressing high impact targets that have been elusive to conventional modalities and that drive the pathogenesis of multiple serious diseases with significant unmet medical needs. Our disclosed preclinical programs target STAT6 and TYK2, two proteins in well-validated pathways where we believe our degrader technology has the potential to offer unique advantages as compared to competing therapies. Both programs are currently in IND-enabling studies.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With respect to our IRAK4 program, we are collaborating with Sanofi S.A, or Sanofi, on the development of drug candidates targeting IRAK4 outside the oncology and immuno-oncology fields. We are developing KT-474, a highly active and selective, orally bioavailable IRAK4 degrader, for the treatment of interleukin-1 receptor/toll-like receptor or IL-1R/TLR-driven immunology-inflammation conditions and diseases with high unmet medical need, including hidradenitis suppurativa, or HS, an inflammatory skin disease, as well as atopic dermatitis, or AD, and potentially other indications. We have completed our Phase 1 trial of KT-474, which included cohorts of healthy volunteers, as well as patients with HS and AD. Phase 2 clinical trials of KT-474, conducted by Sanofi, are initially investigating its potential in HS and AD. The clinical trials for both indications have been initiated, and patient dosing is ongoing.</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With respect to our clinical oncology programs, we are evaluating KT-333, a STAT3 degrader, in a Phase 1 clinical trial in patients with relapsed/refractory liquid and solid tumors, including aggressive lymphomas. Patient enrollment and dosing are ongoing in the Phase 1a portion of the trial, and we expect to present additional clinical data in 2024. In September 2023, we announced that the FDA, granted KT-333 Fast Track Designation for the treatment of relapsed/refractory peripheral T cell lymphoma, an indication for which we have previously received Orphan Drug Designation. Our Phase 1 clinical trial of KT-253, our MDM2 degrader, was initiated in March 2023. The study is evaluating the safety, tolerability, pharmacokinetics/pharmacodynamics, and clinical activity of ascending doses of KT-253 in adult patients with relapsed or refractory high grade myeloid malignancies, acute lymphocytic leukemia, or ALL, lymphomas, and solid tumors. Patient enrollment and dosing are ongoing in the Phase 1a portion of the trial, and we provided initial safety, proof-of-mechanism and proof-of-concept data in November of 2023. We expect to present additional clinical data in 2024. In June 2023, KT-253 was granted orphan drug designation by the FDA for the treatment of acute myeloid leukemia. In November 2023, we announced the decision to discontinue the development of our KT-413 (IRAKIMiD) program, despite reaching expected degradation levels and a lack of dose-limiting toxicities, in order to focus resources to support our growing immunology pipeline.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$1.45 billion from sales of our convertible preferred stock, the sale of common stock including our August 2020 initial public offering, or IPO, and concurrent private placement, our July 2021 follow-on offering and concurrent private placement, our August 2022</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5" w:name="page116"/>
    <w:bookmarkEnd w:id="1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private investment in public equity, or PIPE, offering, January 2024 follow-on offering, our sales agreement with Cowen and Company, LLC., and through our corporate collaborations.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$147.0 million, $154.8 million and $100.2 million for the years ended December 31, 2023, 2022 and 2021, respectively. In addition, as of December 31, 2023 and 2022 we had an accumulated deficit of $530.8 million and $383.8 million, respectively. We expect that our expense and capital requirements will increase substantially in connection with our ongoing activities, particularly if and as we:</w:t>
      </w:r>
    </w:p>
    <w:p>
      <w:pPr>
        <w:spacing w:after="0" w:line="75"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future product candidates;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Pegasus™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we had cash, cash equivalents and marketable securities of $436.3 million. We believe the existing cash, cash equivalents and marketable securities on hand, together with the net proceeds from the first quarter of 2024 offerings and the $15 million milestone payment received in January of 2024 under our collaboration agreement with Sanofi, will be sufficient to fund our operations into the first half of 2027. which is expected to take us beyond the Phase 2 data for KT-474, as well as additional proof-of-concept data for KT-253 and KT-333, and several clinical inflection points for our STAT6 and TYK2 programs. We have based this estimate on assumptions that may prove to be wrong, and we could exhaust our available capital resources sooner than we expect. See “—Liquidity and capital resources.”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Our only revenues have been derived from research collaboration arrangements with Vertex Pharmaceuticals Incorporated, or Vertex, and Sanofi. We expect that our revenue for the next several years will be derived primarily from our current collaboration agreements and any additional collaborations that we may enter into in the future. To date, we have not received any royalties under any of the collaboration agreements.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Collaboration Agreement</w:t>
      </w:r>
    </w:p>
    <w:p>
      <w:pPr>
        <w:spacing w:after="0" w:line="121"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7"/>
          <w:szCs w:val="17"/>
          <w:color w:val="auto"/>
        </w:rPr>
        <w:t>On May 9, 2019, we entered into a collaboration agreement, or the Vertex Agreement, with Vertex, to advance small molecule protein degradation against up to six targets. Under the Vertex Agreement, Vertex was granted the exclusive option to license the rights to the product candidates developed through the collaboration at which point Vertex would control development and commercialization. Pursuant to the Vertex Agreement, we were responsible for discovery and preclinical research on the targets, and Vertex was responsible for development, manufacturing, and commercialization of the product candidates after it exercises its option to license. Vertex provided us with a non-refundable upfront payment of $50.0 million and purchased 3,059,695 shares of our Series B-1 Convertible Preferred Stock at $6.54 a share, pursuant to a separate, but simultaneously executed Share Purchase Agreement.</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Vertex Agreement expired upon the completion of the initial research term on May 9, 2023</w:t>
      </w:r>
      <w:r>
        <w:rPr>
          <w:rFonts w:ascii="Times New Roman" w:cs="Times New Roman" w:eastAsia="Times New Roman" w:hAnsi="Times New Roman"/>
          <w:sz w:val="21"/>
          <w:szCs w:val="21"/>
          <w:color w:val="auto"/>
        </w:rPr>
        <w:t>.</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made an upfront payment of $150.0 million. In addition to the upfront payment, we are eligible to receive certain development milestone payments of up to $1.48 billion in the aggregate, of which more than $1.0 billion relates to the IRAK4 program, upon the achievement of certain developmental or regulatory events. We will be eligible to receive certain commercial milestone payments up to $700.0 million in the aggregate, of which $400.0 million relates to the IRAK4 program, which are payable upon the achievement of certain net sales thresholds. We will be eligible to receive tiered royalties for each program on net sales ranging from the high single digits to high teens, subject to low-single digits upward adjustments in certain circumstances. As of December 31, 2023, we have achieved $55.0 million of milestones to date under the Sanofi Agreement related to certain IRAK4 clinical milestones.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for which the Company received milestone payments as further set forth in the Amended Sanofi Agreement. Phase 2 clinical trials of KT-474 are initially investigating its potential in HS and AD with the clinical trial for both indications having been initiated and commenced dosing in 2023.</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expenses and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organizations that support our platform program development;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or CMOs, that are primarily engaged to provide drug substance and product for our preclinical research and development programs, nonclinical studies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nonclinical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8" w:name="page119"/>
    <w:bookmarkEnd w:id="118"/>
    <w:p>
      <w:pPr>
        <w:spacing w:after="0" w:line="282" w:lineRule="auto"/>
        <w:rPr>
          <w:sz w:val="20"/>
          <w:szCs w:val="20"/>
          <w:color w:val="auto"/>
        </w:rPr>
      </w:pPr>
      <w:r>
        <w:rPr>
          <w:rFonts w:ascii="Times New Roman" w:cs="Times New Roman" w:eastAsia="Times New Roman" w:hAnsi="Times New Roman"/>
          <w:sz w:val="18"/>
          <w:szCs w:val="18"/>
          <w:color w:val="auto"/>
        </w:rPr>
        <w:t>in the near term and in the future. At this time, we cannot accurately estimate or know the nature, timing and costs of the efforts that will be necessary to complete the clinical development of any future product candidates.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54"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products;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9" w:name="page120"/>
    <w:bookmarkEnd w:id="119"/>
    <w:p>
      <w:pPr>
        <w:ind w:left="10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a future pandemic or similar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legal, corporate and business development, and administrative functions. General and administrative expenses also include legal fees relating to patent and corporate matters, professional fees for accounting, auditing, tax and administrative consulting services, insurance costs, facilities costs, administrative travel expenses, marketing expenses and other operating costs.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our continued growth as a public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 and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and expense consists of interest earned on our invested cash balances and interest on our financing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years ended December 31, 2023 and 2022</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6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189,081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164,248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24,833</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100" w:type="dxa"/>
            <w:vAlign w:val="bottom"/>
          </w:tcPr>
          <w:p>
            <w:pPr>
              <w:spacing w:after="0"/>
              <w:rPr>
                <w:sz w:val="20"/>
                <w:szCs w:val="20"/>
                <w:color w:val="auto"/>
              </w:rPr>
            </w:pPr>
          </w:p>
        </w:tc>
      </w:tr>
      <w:tr>
        <w:trPr>
          <w:trHeight w:val="241"/>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208,082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(165,530 )</w:t>
            </w: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(161,256 )</w:t>
            </w: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(4,274 )</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(146,962 )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(154,808 )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each of our collaboration agreements based on our pattern of performance related to the respective identified performance obligation, which is the period over which we will perform research services under each of the respective agreements.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Collaboration revenues were $78.6 million for the year ended December 31, 2023, of which $8.4 million and $70.2 million were attributable to our collaboration agreements with Vertex and Sanofi, respectively. Collaboration revenues were $46.8 million for the year ended December 31, 2022, of which $10.8 million and $36.0 million were attributable to our collaboration agreements with Vertex and Sanofi, respectively. The increase in revenue is primarily attributable to the achievement of $55 million in milestones under the Sanofi agreement in the fourth quarter of 2023.</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6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IRAK4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(4,088 )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IRAKIMiD</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STAT3</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MDM2</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(3,653 )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0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94,381</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164,248</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24,833</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$189.1 million for the year ended December 31, 2023, compared to $164.2 million for the year ended December 31, 2022. The increase of $24.8 million was primarily due to an increase of $19.5 million in personnel, stock-based compensation and occupancy costs due to increases in employee headcount in the research and development functions, a $10.2 million increase in other research and development expenses primarily associated with increased work on preclinical programs, as well as a $3.2 million increase in expenses on our STAT3 program due to the continued progression of the associated Phase-1 clinical trial. These increases were primarily offset by a $8.0 million reduction in direct expenses related to our activities for our IRAK4, IRAKIMiD and MDM2 programs due to changes in the stage of development of these respective programs.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$55.0 million for the year ended December 31, 2023, compared to $43.8 million for the year ended December 31, 2022. The $11.2 million increase was primarily due to a $8.8 million increase in personnel, stock-based compensation and occupancy costs due to increases in employee headcount in the general and administrative functions, and a $2.4 million increase in legal and professional services expenses to support our growth as a public company.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78"/>
        <w:spacing w:after="0" w:line="282" w:lineRule="auto"/>
        <w:rPr>
          <w:sz w:val="20"/>
          <w:szCs w:val="20"/>
          <w:color w:val="auto"/>
        </w:rPr>
      </w:pPr>
      <w:r>
        <w:rPr>
          <w:rFonts w:ascii="Times New Roman" w:cs="Times New Roman" w:eastAsia="Times New Roman" w:hAnsi="Times New Roman"/>
          <w:sz w:val="18"/>
          <w:szCs w:val="18"/>
          <w:color w:val="auto"/>
        </w:rPr>
        <w:t>Other income, net was $18.6 million for the year ended December 31, 2023, compared to $6.4 million for the year ended December 31, 2022. The $12.2 million increase was primarily due to the prevailing interest rates in the respective periods.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years ended December 31, 2022 and 2021</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72,832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(26,006 )</w:t>
            </w:r>
          </w:p>
        </w:tc>
        <w:tc>
          <w:tcPr>
            <w:tcW w:w="0" w:type="dxa"/>
            <w:vAlign w:val="bottom"/>
          </w:tcPr>
          <w:p>
            <w:pPr>
              <w:spacing w:after="0"/>
              <w:rPr>
                <w:sz w:val="1"/>
                <w:szCs w:val="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164,248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137,017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208,082</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173,362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(161,256 )</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(100,530 )</w:t>
            </w: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(60,726 )</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9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(154,808 )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(100,217 )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(54,591 )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90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7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-1028065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-1028065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21" w:name="page122"/>
    <w:bookmarkEnd w:id="121"/>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each of our collaboration agreements based on our pattern of performance related to the respective identified performance obligation, which is the period over which we will perform research services under each of the respective agreements.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revenues were $46.8 million for the year ended December 31, 2022, of which $10.8 million and $36.0 million were attributable to our collaboration agreements with Vertex and Sanofi, respectively. Collaboration revenues were $72.8 million for the year ended December 31, 2021, of which $18.5 million and $54.3 million were attributable to our collaboration agreements with Vertex and Sanofi, respectively.</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6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IRAK4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27,368</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(9,518 )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IRAKIMiD</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(5,933 )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STAT3</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(1,749 )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MDM2</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0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137,017</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27,231</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$164.2 million for the year ended December 31, 2022, compared to $137.0 million for the year ended December 31, 2021. The increase of $27.2 million was primarily due to an increase of $22.4 million related to IND-enabling studies for our MDM2 program and increased investment in our other pipeline programs and platform, as well an additional $22.0 million increase in personnel, stock-based compensation and occupancy costs due to increases in employee headcount in the research and development functions. These increases were primarily offset by a $17.2 million reduction in direct expenses related to our activities for our IRAK4, IRAKIMiD and STAT3 programs due to changes in the stage of development of these programs and the discontinuation of IRAKIMiD.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$43.8 million for the year ended December 31, 2022, compared to $36.3 million for the year ended December 31, 2021. The $7.5 million increase was primarily due to a $6.5 million increase in G&amp;A employee compensation due to an increase in employee headcount, and a $1.0M increase in legal and professional services expenses to support our growth as a public company.</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$6.4 million for the year ended December 31, 2022, compared to $0.3 million for the year ended December 31, 2021. The $6.1 million increase was primarily due to the prevailing interest rates in the respective periods.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received gross proceeds of $1.45 billion from sales of our convertible preferred stock, the sale of common stock including our August 2020 IPO and concurrent private placement, our July 2021 follow-on offering and concurrent private placement, our August 2022 PIPE offering, January 2024 follow-on offering, our sales agreement with Cowen and Company, LLC., and through our corporate collaborations. As of December 31, 2023 we had cash and cash equivalents and marketable securities of $436.3 million.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22" w:name="page123"/>
    <w:bookmarkEnd w:id="12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2021, we entered into a sales agreement, or Sales Agreement, with Cowen and Company, LLC, or Cowen, pursuant to which we may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There have been no shares of our common stock sold under the Sales Agreement as of December 31, 2023. On February 7, 2024, we completed the sale of 1,519,453 shares of common stock under the Sales agreement resulting in gross proceeds of approximately $50 million.</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3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(102,826 )</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(153,085 )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(128,946 )</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(99,835 )</w:t>
            </w: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152,999</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250,280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41,252</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8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Operating Activities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$102.8 million of cash, primarily resulting from our net loss of $147.0 million during the period and a $8.6 million decrease in deferred revenue under our collaboration agreements. These were offset by a $11.2 million net decrease in other operating assets and liabilities primarily driven by changes in accounts receivable, accounts payable, accrued expenses, operating lease liabilities as well as adjustments for non-cash items of $41.5 million (primarily consisting of stock-based compensation, depreciation &amp; amortization and premiums &amp; discounts on available-sale-securities).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$153.1 million of cash, primarily resulting from our net loss of $154.8 million during the period and a $37.8 million decrease in deferred revenue under our collaboration agreements. These were offset by adjustments for non-cash items of $39.3 million (primarily consisting of stock-based compensation, depreciation and amortization and premiums and discounts on available sale-securities) and a $0.2 million net increase in operating assets and liabilities primarily driven by changes in accounts payable and accrued expenses partially offset by changes in prepaid expenses and other operating assets and liabilities.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operating activities used $128.9 million of cash, primarily resulting from our net loss of $100.2 million during the period and a $69.4 million decrease in deferred revenue under our Sanofi and Vertex collaboration agreements. These were offset by adjustments for non-cash items of $33.2 million (primarily consisting of stock-based compensation, depreciation and amortization and premiums and discounts on available sale-securities) and a $7.5 million net increase in operating assets and liabilities primarily driven by changes in accounts payable and accrued expenses partially offset by changes in prepaid expenses and other operating assets and liabilities.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(used in) Investing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cash provided by investing activities was $139.9 million comprised of maturities of marketable securities of $363.5 million partially offset by purchases of marketable securities of $189.2 million and purchases of property and equipment of $34.4 million.</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cash provided by investing activities was $20.5 million comprised of maturities of marketable securities of $469.3 million partially offset by purchases of marketable securities of $446.0 million and purchases of property and equipment of $2.8 million.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cash used in investing activities was $99.8 million comprised of purchases of marketable securities of $456.4 million and purchases of property and equipment of $1.6 million offset by maturities of marketable securities of $358.2 million.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3" w:name="page124"/>
    <w:bookmarkEnd w:id="123"/>
    <w:p>
      <w:pPr>
        <w:ind w:left="520"/>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$4.2 million, primarily consisting of $2.9 million in proceeds from the exercise of employee stock options, $1.4 million in proceeds from the issuance of shares under our employee stock purchase partially offset by finance lease payments of $0.1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was $153.0 million, primarily consisting of $149.8 million of net proceeds received in our August 2022 PIPE offering, $3.2 million in proceeds from the exercise of employee stock options, $1.1 million in proceeds from the issuance of shares under our employee stock purchase partially offset by finance lease payments of $1.1 million.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net cash provided by financing activities was $250.3 million, primarily consisting of $240.8 million of net proceeds received in our July 2021 follow on offering, $2.3 million from our July 2021 concurrent private placement, $7.6 million in proceeds from the exercise of employee stock options, $0.8 million in proceeds from the issuance of shares under our employee stock purchase plan offset by the payment of $0.4 million in offering costs related to our August 2020 IPO and finance lease payments of $0.8 million.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later-stage clinical development of our product candidates. In addition, we expect to incur additional costs associated with our growth as a public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2" w:lineRule="exact"/>
        <w:rPr>
          <w:sz w:val="20"/>
          <w:szCs w:val="20"/>
          <w:color w:val="auto"/>
        </w:rPr>
      </w:pPr>
    </w:p>
    <w:p>
      <w:pPr>
        <w:ind w:left="10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maintaining or acquiring operating space;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approved product candidates, including product pricing, as well as product coverage and the adequacy of reimbursement by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33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believe the existing cash, cash equivalents and marketable securities of $436.3 million as of December 31, 2023, together with the net proceeds from the first quarter of 2024 offerings and the $15 million milestone payment received in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18"/>
          <w:szCs w:val="18"/>
          <w:color w:val="auto"/>
        </w:rPr>
        <w:t>January of 2024 under our collaboration agreement with Sanofi, will be sufficient to fund our operations into the first half of 2027. We have based this estimate on assumptions that may prove to be wrong, and we could exhaust our available capital resources sooner than we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arrangements primarily include those related to our lease commitments.</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lease commitments reflect payments due for our two lease agreements for laboratory and office space in Watertown, Massachusetts that expire in March of 2030 and 2035, respectively. As of December 31, 2023, our contractual commitments for our leases were $134.5 million, which will be paid over the term of such leases. For additional information on our leases and timing of future payments, please read Note 7, Leases, to the consolidated financial statements included in this Annual Report on Form 10-K.</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various third parties for clinical trials, preclinical research studies, and testing, manufacturing, and other services and products for operating purposes. These contracts provide for termination upon notice. Payments due upon cancellation generally consist only of payments for services provided or expenses incurred, including non-cancellable obligations of our service providers, up to the date of cancellation. These payments have not been included separately within these contractual and other obligations disclosures.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or GAAP, in the United States. The preparation of our consolidated financial statements and related disclosures requires us to make estimates and judgments that affect the reported amounts of assets, liabilities, revenues, costs and expenses, and the disclosure of contingent assets and liabilities in our consolidated financial statements. We base our estimates on historical experience, known trends and events and various other factors that we believe are reasonable under the circumstances, the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5" w:name="page126"/>
    <w:bookmarkEnd w:id="125"/>
    <w:p>
      <w:pPr>
        <w:jc w:val="both"/>
        <w:spacing w:after="0" w:line="282" w:lineRule="auto"/>
        <w:rPr>
          <w:sz w:val="20"/>
          <w:szCs w:val="20"/>
          <w:color w:val="auto"/>
        </w:rPr>
      </w:pPr>
      <w:r>
        <w:rPr>
          <w:rFonts w:ascii="Times New Roman" w:cs="Times New Roman" w:eastAsia="Times New Roman" w:hAnsi="Times New Roman"/>
          <w:sz w:val="18"/>
          <w:szCs w:val="18"/>
          <w:color w:val="auto"/>
        </w:rPr>
        <w:t>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at the end of this Annual Report, we believe that the following accounting policies are those most critical to the judgments and estimates used in the preparation of our consolidated financial statements.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determine the appropriate amount of revenue to be recognized for arrangements determined to be within the scope of ASC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the entity will collect consideration it is entitled to in exchange for the goods or services it transfers to the customer.</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When optional goods or services are offered, we assess the options to determine whether the options grant the customer a material right. This determination includes whether the option is priced at an amount that the customer would not have received without entering into the contract. If we conclude the option conveys a material right, it is accounted for as a separate performance obligation. In identifying performance obligations in a contract, we identify those promises that are distinct. Promised goods or services are considered distinct when the customer can benefit from the goods or services on their own, or together with readily available resources, and the goods or services are separately identifiable from other promises in the contract. If a promise is not distinct, it is combined with other promises in the contract until the combined group of promises is capable of being distinct.</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If it is probable that a significant revenue reversal would not occur, the variable consideration is included in the transaction price. For contracts that include sales-based royalties for licensed compounds, we recognize revenue at the date when the related sales occur. Finally, we determine whether the contract contains a significant financing component by analyzing the promised consideration relative to the standalone selling price of the promised goods and services and the timing of payment relative to the transfer of the promised goods and services. At each reporting date, we reassess the transaction price and probability of achievement of the performance obligations and the associated constraints on transaction price. If necessary, we adjust the transaction price, recording a cumulative catch-up based on progress for the amount that was previously constrained.</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Revenue is recognized when (or as) control of a performance obligation is transferred to the customer. When combined performance obligations contain a promised license and related services or other promises, management judgment is required to determine the appropriate timing of revenue recognition. In doing so, we must identify the predominant promise or promises in the contract to determine whether revenue is recognized at a point in time or over time. If over time, we must determine the appropriate measure of progress. If a license is deemed to be the predominant promise in a performance obligation, we must determine the nature of the license, whether functional or symbolic intellectual property, to conclude whether point-in-time or over-time revenue recognition is most appropriate. The determination of functional or symbolic intellectual property requires an assessment of whether the customer is able to exploit and benefit from the license in its current condition, or if the utility of the license is dependent on or influenced by our ongoing activities or being associated with us.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each reporting date, we calculate the measure of progress for the performance obligations transferred over time. The calculation generally uses an input measure based on costs incurred to-date relative to estimated total costs to complete the transfer of the performance obligation. The measurement of progress is then used to calculate the total revenue earned, including any cumulative catch-up adjustment.</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Contract Costs and Accruals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18"/>
          <w:szCs w:val="18"/>
          <w:color w:val="auto"/>
        </w:rPr>
        <w:t>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89"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our clinical trials and preclinical studies;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w:t>
      </w:r>
    </w:p>
    <w:p>
      <w:pPr>
        <w:spacing w:after="0" w:line="131"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We base the expense recorded related to external research and development on our estimates of the services received and efforts expended pursuant to quotes and contracts with multiple CMOs and CROs that supply, conduct and manage nonclinical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Equity-Based Compensation Expense</w:t>
      </w:r>
    </w:p>
    <w:p>
      <w:pPr>
        <w:spacing w:after="0" w:line="11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measure equity-based awards granted to employees, directors, and nonemployees based on their fair value on the date of the grant and recognize compensation expense for those awards over the requisite service period, which is generally the vesting period of the respective award. The equity-based payments include stock options and grants of common stock, including common stock subject to vesting. The measurement date for equity awards is the date of grant, and equity-based compensation costs are recognized as expense over the requisite service period, which is the vesting period, on a straight-line basis.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Expected volatility is calculated based on reported volatility data for a representative group of publicly traded companies for which historical information is available. We select companies with comparable characteristics to us with historical share price information that approximates the expected term of the equity-based awards. We compute the historical volatility data using the daily closing prices for the selected companies’ shares during the equivalent period that approximates the calculated expected term of our stock options. We will continue to apply this method until a sufficient amount of historical information regarding the volatility of our stock price becomes available. The risk-free interest rate is based on the U.S. Treasury yield curve in effect at the time of grant commensurate with the expected term assumption. We use the simplified method, under which the expected term is presumed to be the midpoint between the vesting date and the end of the contractual term. We utilize this method due to lack of historical exercise data. The expected dividend yield is assumed to be zero as we have no current plans to pay any dividends on common stock.</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December 31, 2023, we had no significant liabilities denominated in foreign currencies.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tbl>
      <w:tblPr>
        <w:tblLayout w:type="fixed"/>
        <w:tblInd w:w="1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6700" w:type="dxa"/>
            <w:vAlign w:val="bottom"/>
            <w:gridSpan w:val="7"/>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380" w:type="dxa"/>
            <w:vAlign w:val="bottom"/>
          </w:tcPr>
          <w:p>
            <w:pPr>
              <w:spacing w:after="0"/>
              <w:rPr>
                <w:sz w:val="20"/>
                <w:szCs w:val="20"/>
                <w:color w:val="auto"/>
              </w:rPr>
            </w:pPr>
          </w:p>
        </w:tc>
      </w:tr>
      <w:tr>
        <w:trPr>
          <w:trHeight w:val="391"/>
        </w:trPr>
        <w:tc>
          <w:tcPr>
            <w:tcW w:w="98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(Public Company Accounting Oversight Board ID: 42)</w:t>
            </w: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F-2</w:t>
            </w:r>
          </w:p>
        </w:tc>
      </w:tr>
      <w:tr>
        <w:trPr>
          <w:trHeight w:val="439"/>
        </w:trPr>
        <w:tc>
          <w:tcPr>
            <w:tcW w:w="824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620" w:type="dxa"/>
            <w:vAlign w:val="bottom"/>
            <w:gridSpan w:val="2"/>
          </w:tcPr>
          <w:p>
            <w:pPr>
              <w:spacing w:after="0"/>
              <w:rPr>
                <w:sz w:val="24"/>
                <w:szCs w:val="24"/>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39"/>
        </w:trPr>
        <w:tc>
          <w:tcPr>
            <w:tcW w:w="87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2023, 2022 and 2021</w:t>
            </w:r>
          </w:p>
        </w:tc>
        <w:tc>
          <w:tcPr>
            <w:tcW w:w="1100" w:type="dxa"/>
            <w:vAlign w:val="bottom"/>
          </w:tcPr>
          <w:p>
            <w:pPr>
              <w:spacing w:after="0"/>
              <w:rPr>
                <w:sz w:val="24"/>
                <w:szCs w:val="24"/>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F-5</w:t>
            </w:r>
          </w:p>
        </w:tc>
      </w:tr>
      <w:tr>
        <w:trPr>
          <w:trHeight w:val="439"/>
        </w:trPr>
        <w:tc>
          <w:tcPr>
            <w:tcW w:w="98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2022 and 2021</w:t>
            </w: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F-6</w:t>
            </w:r>
          </w:p>
        </w:tc>
      </w:tr>
      <w:tr>
        <w:trPr>
          <w:trHeight w:val="439"/>
        </w:trPr>
        <w:tc>
          <w:tcPr>
            <w:tcW w:w="762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w:t>
            </w:r>
            <w:r>
              <w:rPr>
                <w:rFonts w:ascii="Times New Roman" w:cs="Times New Roman" w:eastAsia="Times New Roman" w:hAnsi="Times New Roman"/>
                <w:sz w:val="18"/>
                <w:szCs w:val="18"/>
                <w:color w:val="000000"/>
              </w:rPr>
              <w:t>1</w:t>
            </w:r>
          </w:p>
        </w:tc>
        <w:tc>
          <w:tcPr>
            <w:tcW w:w="2240" w:type="dxa"/>
            <w:vAlign w:val="bottom"/>
            <w:gridSpan w:val="3"/>
          </w:tcPr>
          <w:p>
            <w:pPr>
              <w:spacing w:after="0"/>
              <w:rPr>
                <w:sz w:val="24"/>
                <w:szCs w:val="24"/>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F-7</w:t>
            </w:r>
          </w:p>
        </w:tc>
      </w:tr>
      <w:tr>
        <w:trPr>
          <w:trHeight w:val="439"/>
        </w:trPr>
        <w:tc>
          <w:tcPr>
            <w:tcW w:w="686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000" w:type="dxa"/>
            <w:vAlign w:val="bottom"/>
            <w:gridSpan w:val="4"/>
          </w:tcPr>
          <w:p>
            <w:pPr>
              <w:spacing w:after="0"/>
              <w:rPr>
                <w:sz w:val="24"/>
                <w:szCs w:val="24"/>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F-9</w:t>
            </w:r>
          </w:p>
        </w:tc>
      </w:tr>
      <w:tr>
        <w:trPr>
          <w:trHeight w:val="790"/>
        </w:trPr>
        <w:tc>
          <w:tcPr>
            <w:tcW w:w="3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5"/>
          </w:tcPr>
          <w:p>
            <w:pPr>
              <w:jc w:val="center"/>
              <w:ind w:right="3680"/>
              <w:spacing w:after="0"/>
              <w:rPr>
                <w:sz w:val="20"/>
                <w:szCs w:val="20"/>
                <w:color w:val="auto"/>
              </w:rPr>
            </w:pPr>
            <w:r>
              <w:rPr>
                <w:rFonts w:ascii="Times New Roman" w:cs="Times New Roman" w:eastAsia="Times New Roman" w:hAnsi="Times New Roman"/>
                <w:sz w:val="18"/>
                <w:szCs w:val="18"/>
                <w:color w:val="auto"/>
                <w:w w:val="95"/>
              </w:rPr>
              <w:t>F-1</w:t>
            </w:r>
          </w:p>
        </w:tc>
        <w:tc>
          <w:tcPr>
            <w:tcW w:w="138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9" w:name="page130"/>
    <w:bookmarkEnd w:id="129"/>
    <w:p>
      <w:pPr>
        <w:ind w:left="3480"/>
        <w:spacing w:after="0"/>
        <w:rPr>
          <w:sz w:val="20"/>
          <w:szCs w:val="20"/>
          <w:color w:val="auto"/>
        </w:rPr>
      </w:pPr>
      <w:r>
        <w:rPr>
          <w:rFonts w:ascii="Times New Roman" w:cs="Times New Roman" w:eastAsia="Times New Roman" w:hAnsi="Times New Roman"/>
          <w:sz w:val="17"/>
          <w:szCs w:val="17"/>
          <w:b w:val="1"/>
          <w:bCs w:val="1"/>
          <w:color w:val="333333"/>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the Board of Directors of Kymera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2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Kymera Therapeutics, Inc. (the Company) as of December 31, 2023 and 2022, the related consolidated statements of operations and comprehensive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72"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22, 2024 expressed an unqualified opinion thereon.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6"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Arrangements</w:t>
      </w:r>
    </w:p>
    <w:p>
      <w:pPr>
        <w:sectPr>
          <w:pgSz w:w="11900" w:h="16838" w:orient="portrait"/>
          <w:cols w:equalWidth="0" w:num="1">
            <w:col w:w="11220"/>
          </w:cols>
          <w:pgMar w:left="320" w:top="1305" w:right="359" w:bottom="1440" w:gutter="0" w:footer="0" w:header="0"/>
        </w:sectPr>
      </w:pPr>
    </w:p>
    <w:p>
      <w:pPr>
        <w:spacing w:after="0" w:line="38" w:lineRule="exact"/>
        <w:rPr>
          <w:sz w:val="20"/>
          <w:szCs w:val="20"/>
          <w:color w:val="auto"/>
        </w:rPr>
      </w:pPr>
    </w:p>
    <w:p>
      <w:pPr>
        <w:ind w:left="20" w:right="24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amounts received that have not yet been recognized as revenue are deferred as a contract liability on the Company’s consolidated balance sheet. For the year ended December 31, 2023, the Company has recognized $78.6 million in collaboration revenue.</w:t>
      </w:r>
    </w:p>
    <w:p>
      <w:pPr>
        <w:spacing w:after="0" w:line="187" w:lineRule="exact"/>
        <w:rPr>
          <w:sz w:val="20"/>
          <w:szCs w:val="20"/>
          <w:color w:val="auto"/>
        </w:rPr>
      </w:pPr>
    </w:p>
    <w:p>
      <w:pPr>
        <w:sectPr>
          <w:pgSz w:w="11900" w:h="16838" w:orient="portrait"/>
          <w:cols w:equalWidth="0" w:num="2">
            <w:col w:w="1300" w:space="720"/>
            <w:col w:w="9200"/>
          </w:cols>
          <w:pgMar w:left="320" w:top="1305" w:right="359" w:bottom="1440" w:gutter="0" w:footer="0" w:header="0"/>
          <w:type w:val="continuous"/>
        </w:sectPr>
      </w:pPr>
    </w:p>
    <w:p>
      <w:pPr>
        <w:jc w:val="both"/>
        <w:ind w:left="2020"/>
        <w:spacing w:after="0" w:line="254" w:lineRule="auto"/>
        <w:rPr>
          <w:sz w:val="20"/>
          <w:szCs w:val="20"/>
          <w:color w:val="auto"/>
        </w:rPr>
      </w:pPr>
      <w:r>
        <w:rPr>
          <w:rFonts w:ascii="Times New Roman" w:cs="Times New Roman" w:eastAsia="Times New Roman" w:hAnsi="Times New Roman"/>
          <w:sz w:val="18"/>
          <w:szCs w:val="18"/>
          <w:color w:val="auto"/>
        </w:rPr>
        <w:t>Auditing the Company's accounting for revenues from collaboration arrangements was complex and required significant judgments primarily in evaluating estimates of the total expected costs under the input method for revenue recognized over time. Auditing the progress toward completion of collaboration agreements was especially challenging because it involves subjective management assumptions used in estimating the remaining research and development costs necessary to satisfy the performance obligation. The calculation of the total remaining estimated research and development cost includes forecasted costs associated with internal employee efforts, materials costs, and third-party contract costs. The recognition of revenue pursuant to collaboration arrangements is subject to these judgments made and estimates developed by management and is sensitive to changes in these assumptions.</w:t>
      </w:r>
    </w:p>
    <w:p>
      <w:pPr>
        <w:sectPr>
          <w:pgSz w:w="11900" w:h="16838" w:orient="portrait"/>
          <w:cols w:equalWidth="0" w:num="1">
            <w:col w:w="11220"/>
          </w:cols>
          <w:pgMar w:left="320" w:top="1305" w:right="359" w:bottom="1440" w:gutter="0" w:footer="0" w:header="0"/>
          <w:type w:val="continuous"/>
        </w:sectPr>
      </w:pPr>
    </w:p>
    <w:p>
      <w:pPr>
        <w:spacing w:after="0" w:line="203" w:lineRule="exact"/>
        <w:rPr>
          <w:sz w:val="20"/>
          <w:szCs w:val="20"/>
          <w:color w:val="auto"/>
        </w:rPr>
      </w:pPr>
    </w:p>
    <w:p>
      <w:pPr>
        <w:ind w:left="20"/>
        <w:spacing w:after="0" w:line="31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We evaluated and tested the design and operating effectiveness of internal controls over the Company’s process for developing the estimate, including controls to assess the completeness and accuracy of the data that supports management’s estimates.</w:t>
      </w:r>
    </w:p>
    <w:p>
      <w:pPr>
        <w:spacing w:after="0" w:line="139" w:lineRule="exact"/>
        <w:rPr>
          <w:sz w:val="20"/>
          <w:szCs w:val="20"/>
          <w:color w:val="auto"/>
        </w:rPr>
      </w:pPr>
    </w:p>
    <w:p>
      <w:pPr>
        <w:sectPr>
          <w:pgSz w:w="11900" w:h="16838" w:orient="portrait"/>
          <w:cols w:equalWidth="0" w:num="2">
            <w:col w:w="1680" w:space="340"/>
            <w:col w:w="9200"/>
          </w:cols>
          <w:pgMar w:left="320" w:top="1305" w:right="359" w:bottom="1440" w:gutter="0" w:footer="0" w:header="0"/>
          <w:type w:val="continuous"/>
        </w:sectPr>
      </w:pPr>
    </w:p>
    <w:p>
      <w:pPr>
        <w:ind w:left="2020" w:right="20"/>
        <w:spacing w:after="0" w:line="255" w:lineRule="auto"/>
        <w:rPr>
          <w:sz w:val="20"/>
          <w:szCs w:val="20"/>
          <w:color w:val="auto"/>
        </w:rPr>
      </w:pPr>
      <w:r>
        <w:rPr>
          <w:rFonts w:ascii="Times New Roman" w:cs="Times New Roman" w:eastAsia="Times New Roman" w:hAnsi="Times New Roman"/>
          <w:sz w:val="18"/>
          <w:szCs w:val="18"/>
          <w:color w:val="auto"/>
        </w:rPr>
        <w:t>To test the Company’s collaboration revenue, we performed audit procedures that included, among others, reading the collaboration agreements and testing the accuracy and completeness of the underlying data used in evaluating the estimates and significant judgments described above. To assess the reasonableness of the Company's significant estimates and judgments, we compared cost estimates to costs previously incurred for similar activities, evaluated the remaining estimated level of effort required to complete the services, and inspected evidence of actual costs incurred. We also discussed the basis for key assumptions with the Company's research and development personnel, who oversee the completion of the collaboration arrangements.</w:t>
      </w:r>
    </w:p>
    <w:p>
      <w:pPr>
        <w:sectPr>
          <w:pgSz w:w="11900" w:h="16838" w:orient="portrait"/>
          <w:cols w:equalWidth="0" w:num="1">
            <w:col w:w="11220"/>
          </w:cols>
          <w:pgMar w:left="320" w:top="130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109,966</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Marketable securities (Note 4)</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264,915</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338,771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8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assets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11,674</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9,713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405,317</w:t>
            </w:r>
          </w:p>
        </w:tc>
        <w:tc>
          <w:tcPr>
            <w:tcW w:w="260" w:type="dxa"/>
            <w:vAlign w:val="bottom"/>
          </w:tcPr>
          <w:p>
            <w:pPr>
              <w:spacing w:after="0"/>
              <w:rPr>
                <w:sz w:val="14"/>
                <w:szCs w:val="14"/>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Marketable securities, non-current (Note 4)</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61,434</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152,328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 (Note 6)</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48,134</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Right-of-use assets, operating leases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52,945</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5,811</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4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880" w:type="dxa"/>
            <w:vAlign w:val="bottom"/>
            <w:tcBorders>
              <w:bottom w:val="single" w:sz="8" w:color="auto"/>
            </w:tcBorders>
          </w:tcPr>
          <w:p>
            <w:pPr>
              <w:jc w:val="right"/>
              <w:ind w:right="7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575,759</w:t>
            </w:r>
          </w:p>
        </w:tc>
        <w:tc>
          <w:tcPr>
            <w:tcW w:w="260" w:type="dxa"/>
            <w:vAlign w:val="bottom"/>
          </w:tcPr>
          <w:p>
            <w:pPr>
              <w:spacing w:after="0"/>
              <w:rPr>
                <w:sz w:val="14"/>
                <w:szCs w:val="14"/>
                <w:color w:val="auto"/>
              </w:rPr>
            </w:pPr>
          </w:p>
        </w:tc>
        <w:tc>
          <w:tcPr>
            <w:tcW w:w="42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603,134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 (Note 8)</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33,864</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37,883</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85,691</w:t>
            </w: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16,768</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77,028</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88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880" w:type="dxa"/>
            <w:vAlign w:val="bottom"/>
            <w:tcBorders>
              <w:top w:val="single" w:sz="8" w:color="auto"/>
            </w:tcBorders>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180,788</w:t>
            </w:r>
          </w:p>
        </w:tc>
        <w:tc>
          <w:tcPr>
            <w:tcW w:w="260" w:type="dxa"/>
            <w:vAlign w:val="bottom"/>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112,983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0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$0.0001 par value; 150,000,000 shares authorized at December 31, 2023</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2022, 55,585,305 and 55,039,380 shares issued and outstanding at December 31, 2023</w:t>
            </w:r>
          </w:p>
        </w:tc>
        <w:tc>
          <w:tcPr>
            <w:tcW w:w="8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2022, respectively;</w:t>
            </w:r>
          </w:p>
        </w:tc>
        <w:tc>
          <w:tcPr>
            <w:tcW w:w="8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926,269</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878,884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8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(530,752 )</w:t>
            </w:r>
          </w:p>
        </w:tc>
        <w:tc>
          <w:tcPr>
            <w:tcW w:w="42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(383,790 )</w:t>
            </w:r>
          </w:p>
        </w:tc>
        <w:tc>
          <w:tcPr>
            <w:tcW w:w="0" w:type="dxa"/>
            <w:vAlign w:val="bottom"/>
          </w:tcPr>
          <w:p>
            <w:pPr>
              <w:spacing w:after="0"/>
              <w:rPr>
                <w:sz w:val="1"/>
                <w:szCs w:val="1"/>
                <w:color w:val="auto"/>
              </w:rPr>
            </w:pPr>
          </w:p>
        </w:tc>
      </w:tr>
      <w:tr>
        <w:trPr>
          <w:trHeight w:val="175"/>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8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(552 )</w:t>
            </w:r>
          </w:p>
        </w:tc>
        <w:tc>
          <w:tcPr>
            <w:tcW w:w="4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(4,949 )</w:t>
            </w:r>
          </w:p>
        </w:tc>
        <w:tc>
          <w:tcPr>
            <w:tcW w:w="0" w:type="dxa"/>
            <w:vAlign w:val="bottom"/>
          </w:tcPr>
          <w:p>
            <w:pPr>
              <w:spacing w:after="0"/>
              <w:rPr>
                <w:sz w:val="1"/>
                <w:szCs w:val="1"/>
                <w:color w:val="auto"/>
              </w:rPr>
            </w:pPr>
          </w:p>
        </w:tc>
      </w:tr>
      <w:tr>
        <w:trPr>
          <w:trHeight w:val="169"/>
        </w:trPr>
        <w:tc>
          <w:tcPr>
            <w:tcW w:w="80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8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394,971</w:t>
            </w:r>
          </w:p>
        </w:tc>
        <w:tc>
          <w:tcPr>
            <w:tcW w:w="260" w:type="dxa"/>
            <w:vAlign w:val="bottom"/>
            <w:tcBorders>
              <w:top w:val="single" w:sz="8" w:color="CFF0FC"/>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490,151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040" w:type="dxa"/>
            <w:vAlign w:val="bottom"/>
            <w:tcBorders>
              <w:bottom w:val="single" w:sz="8" w:color="CFF0FC"/>
            </w:tcBorders>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880" w:type="dxa"/>
            <w:vAlign w:val="bottom"/>
            <w:tcBorders>
              <w:bottom w:val="single" w:sz="8" w:color="auto"/>
            </w:tcBorders>
            <w:shd w:val="clear" w:color="auto" w:fill="CFF0FC"/>
          </w:tcPr>
          <w:p>
            <w:pPr>
              <w:jc w:val="right"/>
              <w:ind w:right="7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575,759</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603,134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-3634105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-2956560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-264795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Statement of Operations Data:</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10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189,081</w:t>
            </w:r>
          </w:p>
        </w:tc>
        <w:tc>
          <w:tcPr>
            <w:tcW w:w="10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164,248</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(165,530 )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(161,256 )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(100,530 )</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(176 )</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(146,962 )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(154,808 )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(100,217 )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(4,289 )</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(142,565 )</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(159,097 )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(100,749 )</w:t>
            </w:r>
          </w:p>
        </w:tc>
        <w:tc>
          <w:tcPr>
            <w:tcW w:w="0" w:type="dxa"/>
            <w:vAlign w:val="bottom"/>
          </w:tcPr>
          <w:p>
            <w:pPr>
              <w:spacing w:after="0"/>
              <w:rPr>
                <w:sz w:val="1"/>
                <w:szCs w:val="1"/>
                <w:color w:val="auto"/>
              </w:rPr>
            </w:pPr>
          </w:p>
        </w:tc>
      </w:tr>
      <w:tr>
        <w:trPr>
          <w:trHeight w:val="196"/>
        </w:trPr>
        <w:tc>
          <w:tcPr>
            <w:tcW w:w="66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 of net loss to net loss attributable to common</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(146,962 )</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(154,808 )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(100,217 )</w:t>
            </w:r>
          </w:p>
        </w:tc>
        <w:tc>
          <w:tcPr>
            <w:tcW w:w="0" w:type="dxa"/>
            <w:vAlign w:val="bottom"/>
          </w:tcPr>
          <w:p>
            <w:pPr>
              <w:spacing w:after="0"/>
              <w:rPr>
                <w:sz w:val="1"/>
                <w:szCs w:val="1"/>
                <w:color w:val="auto"/>
              </w:rPr>
            </w:pP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(146,962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(154,808</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48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(2.87 )</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300" w:type="dxa"/>
            <w:vAlign w:val="bottom"/>
            <w:vMerge w:val="continue"/>
            <w:shd w:val="clear" w:color="auto" w:fill="CFF0FC"/>
          </w:tcPr>
          <w:p>
            <w:pPr>
              <w:spacing w:after="0"/>
              <w:rPr>
                <w:sz w:val="21"/>
                <w:szCs w:val="21"/>
                <w:color w:val="auto"/>
              </w:rPr>
            </w:pPr>
          </w:p>
        </w:tc>
        <w:tc>
          <w:tcPr>
            <w:tcW w:w="1140" w:type="dxa"/>
            <w:vAlign w:val="bottom"/>
            <w:gridSpan w:val="2"/>
            <w:vMerge w:val="continue"/>
            <w:shd w:val="clear" w:color="auto" w:fill="CFF0FC"/>
          </w:tcPr>
          <w:p>
            <w:pPr>
              <w:spacing w:after="0"/>
              <w:rPr>
                <w:sz w:val="21"/>
                <w:szCs w:val="21"/>
                <w:color w:val="auto"/>
              </w:rPr>
            </w:pPr>
          </w:p>
        </w:tc>
        <w:tc>
          <w:tcPr>
            <w:tcW w:w="480" w:type="dxa"/>
            <w:vAlign w:val="bottom"/>
            <w:gridSpan w:val="2"/>
            <w:vMerge w:val="continue"/>
            <w:shd w:val="clear" w:color="auto" w:fill="CFF0FC"/>
          </w:tcPr>
          <w:p>
            <w:pPr>
              <w:spacing w:after="0"/>
              <w:rPr>
                <w:sz w:val="21"/>
                <w:szCs w:val="21"/>
                <w:color w:val="auto"/>
              </w:rPr>
            </w:pPr>
          </w:p>
        </w:tc>
        <w:tc>
          <w:tcPr>
            <w:tcW w:w="1260" w:type="dxa"/>
            <w:vAlign w:val="bottom"/>
            <w:gridSpan w:val="2"/>
            <w:vMerge w:val="continue"/>
            <w:shd w:val="clear" w:color="auto" w:fill="CFF0FC"/>
          </w:tcPr>
          <w:p>
            <w:pPr>
              <w:spacing w:after="0"/>
              <w:rPr>
                <w:sz w:val="21"/>
                <w:szCs w:val="21"/>
                <w:color w:val="auto"/>
              </w:rPr>
            </w:pPr>
          </w:p>
        </w:tc>
        <w:tc>
          <w:tcPr>
            <w:tcW w:w="300" w:type="dxa"/>
            <w:vAlign w:val="bottom"/>
            <w:vMerge w:val="continue"/>
            <w:shd w:val="clear" w:color="auto" w:fill="CFF0FC"/>
          </w:tcPr>
          <w:p>
            <w:pPr>
              <w:spacing w:after="0"/>
              <w:rPr>
                <w:sz w:val="21"/>
                <w:szCs w:val="21"/>
                <w:color w:val="auto"/>
              </w:rPr>
            </w:pPr>
          </w:p>
        </w:tc>
        <w:tc>
          <w:tcPr>
            <w:tcW w:w="112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640" w:type="dxa"/>
            <w:vAlign w:val="bottom"/>
            <w:tcBorders>
              <w:top w:val="single" w:sz="8" w:color="CFF0FC"/>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 average common stocks outstanding, basic and</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58,365,499</w:t>
            </w:r>
          </w:p>
        </w:tc>
        <w:tc>
          <w:tcPr>
            <w:tcW w:w="10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53,933,229</w:t>
            </w:r>
          </w:p>
        </w:tc>
        <w:tc>
          <w:tcPr>
            <w:tcW w:w="26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47,989,023</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-2853690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-2853690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-1902460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-1902460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-1242695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-1224915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-1242695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-1224915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-316865</wp:posOffset>
            </wp:positionV>
            <wp:extent cx="768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-299720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-316865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-299720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2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1420" w:type="dxa"/>
            <w:vAlign w:val="bottom"/>
            <w:tcBorders>
              <w:bottom w:val="single" w:sz="8" w:color="auto"/>
            </w:tcBorders>
            <w:gridSpan w:val="3"/>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Paid 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44,482,186</w:t>
            </w:r>
          </w:p>
        </w:tc>
        <w:tc>
          <w:tcPr>
            <w:tcW w:w="62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412,777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(128,765 ) $</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(128 )</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283,888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1,431,271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restricted stock</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72,359</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 under ESPP</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to consultants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(532 )</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(532 )</w:t>
            </w:r>
          </w:p>
        </w:tc>
        <w:tc>
          <w:tcPr>
            <w:tcW w:w="0" w:type="dxa"/>
            <w:vAlign w:val="bottom"/>
          </w:tcPr>
          <w:p>
            <w:pPr>
              <w:spacing w:after="0"/>
              <w:rPr>
                <w:sz w:val="1"/>
                <w:szCs w:val="1"/>
                <w:color w:val="auto"/>
              </w:rPr>
            </w:pPr>
          </w:p>
        </w:tc>
      </w:tr>
      <w:tr>
        <w:trPr>
          <w:trHeight w:val="139"/>
        </w:trPr>
        <w:tc>
          <w:tcPr>
            <w:tcW w:w="36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shares in connection with public offering</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5,468,250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240,760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240,760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underwriting discounts and costs of $16,207</w:t>
            </w: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shares in concurrent private placement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49,928</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(100,217 )</w:t>
            </w:r>
          </w:p>
        </w:tc>
        <w:tc>
          <w:tcPr>
            <w:tcW w:w="10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(100,217 )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51,536,181</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689,275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(228,982 ) $</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(660 )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459,638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640" w:type="dxa"/>
            <w:vAlign w:val="bottom"/>
            <w:tcBorders>
              <w:top w:val="single" w:sz="8" w:color="CFF0FC"/>
            </w:tcBorders>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Common Stock and accompanying Pre-Funded</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2,769,228</w:t>
            </w:r>
          </w:p>
        </w:tc>
        <w:tc>
          <w:tcPr>
            <w:tcW w:w="10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149,825</w:t>
            </w: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vMerge w:val="restart"/>
          </w:tcPr>
          <w:p>
            <w:pPr>
              <w:spacing w:after="0"/>
              <w:rPr>
                <w:sz w:val="10"/>
                <w:szCs w:val="10"/>
                <w:color w:val="auto"/>
              </w:rPr>
            </w:pPr>
          </w:p>
        </w:tc>
        <w:tc>
          <w:tcPr>
            <w:tcW w:w="100" w:type="dxa"/>
            <w:vAlign w:val="bottom"/>
            <w:tcBorders>
              <w:top w:val="single" w:sz="8" w:color="auto"/>
            </w:tcBorders>
            <w:vMerge w:val="restart"/>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149,826</w:t>
            </w:r>
          </w:p>
        </w:tc>
        <w:tc>
          <w:tcPr>
            <w:tcW w:w="8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Warrants at Private Placement, net of issuance cost of $174</w:t>
            </w: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601,594</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restricted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shares under ESPP</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95,511</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(4,289 )</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(4,289 )</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(154,808 )</w:t>
            </w:r>
          </w:p>
        </w:tc>
        <w:tc>
          <w:tcPr>
            <w:tcW w:w="10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(154,808 )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55,039,380</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878,884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(383,790 ) $</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(4,949 )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490,151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4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441,759</w:t>
            </w:r>
          </w:p>
        </w:tc>
        <w:tc>
          <w:tcPr>
            <w:tcW w:w="100" w:type="dxa"/>
            <w:vAlign w:val="bottom"/>
            <w:tcBorders>
              <w:top w:val="single" w:sz="8" w:color="CFF0FC"/>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2,860</w:t>
            </w:r>
          </w:p>
        </w:tc>
        <w:tc>
          <w:tcPr>
            <w:tcW w:w="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2,860</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Restricted Stock</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39,511</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 under ESPP</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64,655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43,118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43,118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(146,962 )</w:t>
            </w:r>
          </w:p>
        </w:tc>
        <w:tc>
          <w:tcPr>
            <w:tcW w:w="10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(146,962 )</w:t>
            </w: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55,585,305</w:t>
            </w:r>
          </w:p>
        </w:tc>
        <w:tc>
          <w:tcPr>
            <w:tcW w:w="100" w:type="dxa"/>
            <w:vAlign w:val="bottom"/>
          </w:tcPr>
          <w:p>
            <w:pPr>
              <w:spacing w:after="0"/>
              <w:rPr>
                <w:sz w:val="14"/>
                <w:szCs w:val="14"/>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926,269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(530,752 ) $</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(552 )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-1859915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-1842135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-1859915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-1842135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-1859915</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-1842135</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-1859915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-1842135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5488305</wp:posOffset>
            </wp:positionH>
            <wp:positionV relativeFrom="paragraph">
              <wp:posOffset>-1859915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5488305</wp:posOffset>
            </wp:positionH>
            <wp:positionV relativeFrom="paragraph">
              <wp:posOffset>-1842135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-1859915</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-1842135</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-839470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-822325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-839470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-822325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-839470</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-822325</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-839470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-822325</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5488305</wp:posOffset>
            </wp:positionH>
            <wp:positionV relativeFrom="paragraph">
              <wp:posOffset>-839470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5488305</wp:posOffset>
            </wp:positionH>
            <wp:positionV relativeFrom="paragraph">
              <wp:posOffset>-822325</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-839470</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-822325</wp:posOffset>
            </wp:positionV>
            <wp:extent cx="596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-145415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-145415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-145415</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-145415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5488305</wp:posOffset>
            </wp:positionH>
            <wp:positionV relativeFrom="paragraph">
              <wp:posOffset>-145415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6216650</wp:posOffset>
            </wp:positionH>
            <wp:positionV relativeFrom="paragraph">
              <wp:posOffset>-145415</wp:posOffset>
            </wp:positionV>
            <wp:extent cx="596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089" w:right="101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(146,962 )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(154,808 )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(100,217 )</w:t>
            </w:r>
          </w:p>
        </w:tc>
      </w:tr>
      <w:tr>
        <w:trPr>
          <w:trHeight w:val="23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24,972</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Premiums and discounts on available for sale marketable securities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(5,229 )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(1,961 )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(992 )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(4,016 )</w:t>
            </w: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(15,000 )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Contract asset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(1,226 )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(2,401 )</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12,599</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(8,609 )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(37,774 )</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(69,356 )</w:t>
            </w: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(1,004 )</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(1,015 )</w:t>
            </w: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(998 )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(1,992 )</w:t>
            </w:r>
          </w:p>
        </w:tc>
      </w:tr>
      <w:tr>
        <w:trPr>
          <w:trHeight w:val="227"/>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(102,826 )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(153,085 )</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(128,946 )</w:t>
            </w:r>
          </w:p>
        </w:tc>
      </w:tr>
      <w:tr>
        <w:trPr>
          <w:trHeight w:val="217"/>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net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(34,480 )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(2,836 )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(1,597 )</w:t>
            </w: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(189,151 )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(445,972 )</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(456,404 )</w:t>
            </w: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363,517</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469,327</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358,166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139,886</w:t>
            </w:r>
          </w:p>
        </w:tc>
        <w:tc>
          <w:tcPr>
            <w:tcW w:w="8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20,519</w:t>
            </w:r>
          </w:p>
        </w:tc>
        <w:tc>
          <w:tcPr>
            <w:tcW w:w="24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(99,835 )</w:t>
            </w:r>
          </w:p>
        </w:tc>
      </w:tr>
      <w:tr>
        <w:trPr>
          <w:trHeight w:val="22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2"/>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and accompanying</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pre-funded warrants from private placement, net of issuance costs</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149,825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7,632</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Payments of offering costs in connection with initial public offering</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(397 )</w:t>
            </w: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financing leases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(1,130 )</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(849 )</w:t>
            </w:r>
          </w:p>
        </w:tc>
      </w:tr>
      <w:tr>
        <w:trPr>
          <w:trHeight w:val="21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follow-on public offering, net of underwriting discounts and</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offering costs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240,760</w:t>
            </w:r>
          </w:p>
        </w:tc>
        <w:tc>
          <w:tcPr>
            <w:tcW w:w="100" w:type="dxa"/>
            <w:vAlign w:val="bottom"/>
            <w:shd w:val="clear" w:color="auto" w:fill="CFF0FC"/>
          </w:tcPr>
          <w:p>
            <w:pPr>
              <w:spacing w:after="0"/>
              <w:rPr>
                <w:sz w:val="19"/>
                <w:szCs w:val="19"/>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concurrent private placement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00" w:type="dxa"/>
            <w:vAlign w:val="bottom"/>
          </w:tcPr>
          <w:p>
            <w:pPr>
              <w:spacing w:after="0"/>
              <w:rPr>
                <w:sz w:val="19"/>
                <w:szCs w:val="19"/>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152,999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250,280</w:t>
            </w:r>
          </w:p>
        </w:tc>
        <w:tc>
          <w:tcPr>
            <w:tcW w:w="100" w:type="dxa"/>
            <w:vAlign w:val="bottom"/>
            <w:shd w:val="clear" w:color="auto" w:fill="CFF0FC"/>
          </w:tcPr>
          <w:p>
            <w:pPr>
              <w:spacing w:after="0"/>
              <w:rPr>
                <w:sz w:val="19"/>
                <w:szCs w:val="19"/>
                <w:color w:val="auto"/>
              </w:rPr>
            </w:pPr>
          </w:p>
        </w:tc>
      </w:tr>
      <w:tr>
        <w:trPr>
          <w:trHeight w:val="216"/>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41,252</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20,433</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21,499</w:t>
            </w:r>
          </w:p>
        </w:tc>
        <w:tc>
          <w:tcPr>
            <w:tcW w:w="100" w:type="dxa"/>
            <w:vAlign w:val="bottom"/>
            <w:tcBorders>
              <w:top w:val="single" w:sz="8" w:color="CFF0FC"/>
            </w:tcBorders>
          </w:tcPr>
          <w:p>
            <w:pPr>
              <w:spacing w:after="0"/>
              <w:rPr>
                <w:sz w:val="18"/>
                <w:szCs w:val="18"/>
                <w:color w:val="auto"/>
              </w:rPr>
            </w:pP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74,525</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54,092</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115,777</w:t>
            </w:r>
          </w:p>
        </w:tc>
        <w:tc>
          <w:tcPr>
            <w:tcW w:w="8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74,525</w:t>
            </w:r>
          </w:p>
        </w:tc>
        <w:tc>
          <w:tcPr>
            <w:tcW w:w="24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54,092</w:t>
            </w:r>
          </w:p>
        </w:tc>
        <w:tc>
          <w:tcPr>
            <w:tcW w:w="100" w:type="dxa"/>
            <w:vAlign w:val="bottom"/>
          </w:tcPr>
          <w:p>
            <w:pPr>
              <w:spacing w:after="0"/>
              <w:rPr>
                <w:sz w:val="19"/>
                <w:szCs w:val="19"/>
                <w:color w:val="auto"/>
              </w:rPr>
            </w:pPr>
          </w:p>
        </w:tc>
      </w:tr>
      <w:tr>
        <w:trPr>
          <w:trHeight w:val="22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activities</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FF0FC"/>
          </w:tcPr>
          <w:p>
            <w:pPr>
              <w:spacing w:after="0"/>
              <w:rPr>
                <w:sz w:val="20"/>
                <w:szCs w:val="20"/>
                <w:color w:val="auto"/>
              </w:rPr>
            </w:pPr>
          </w:p>
        </w:tc>
      </w:tr>
      <w:tr>
        <w:trPr>
          <w:trHeight w:val="22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through finance and lease liabilities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shd w:val="clear" w:color="auto" w:fill="CFF0FC"/>
          </w:tcPr>
          <w:p>
            <w:pPr>
              <w:spacing w:after="0"/>
              <w:rPr>
                <w:sz w:val="20"/>
                <w:szCs w:val="20"/>
                <w:color w:val="auto"/>
              </w:rPr>
            </w:pPr>
          </w:p>
        </w:tc>
      </w:tr>
      <w:tr>
        <w:trPr>
          <w:trHeight w:val="202"/>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-3784600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-3784600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-3784600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-3192780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-3192780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-3192780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-1452880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-1452880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-1452880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-1152525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-1152525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-1152525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5" w:name="page136"/>
    <w:bookmarkEnd w:id="135"/>
    <w:p>
      <w:pPr>
        <w:ind w:left="520"/>
        <w:spacing w:after="0"/>
        <w:rPr>
          <w:sz w:val="20"/>
          <w:szCs w:val="20"/>
          <w:color w:val="auto"/>
        </w:rPr>
      </w:pPr>
      <w:r>
        <w:rPr>
          <w:rFonts w:ascii="Times New Roman" w:cs="Times New Roman" w:eastAsia="Times New Roman" w:hAnsi="Times New Roman"/>
          <w:sz w:val="17"/>
          <w:szCs w:val="17"/>
          <w:color w:val="auto"/>
        </w:rPr>
        <w:t>The following table provides a reconciliation of the cash, cash equivalents, and restricted cash balances as of each of the periods shown above:</w:t>
      </w:r>
    </w:p>
    <w:p>
      <w:pPr>
        <w:sectPr>
          <w:pgSz w:w="11900" w:h="16838" w:orient="portrait"/>
          <w:cols w:equalWidth="0" w:num="1">
            <w:col w:w="11240"/>
          </w:cols>
          <w:pgMar w:left="320" w:top="1201" w:right="339" w:bottom="1440" w:gutter="0" w:footer="0" w:header="0"/>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109,966</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68,395</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7"/>
        </w:trPr>
        <w:tc>
          <w:tcPr>
            <w:tcW w:w="1140" w:type="dxa"/>
            <w:vAlign w:val="bottom"/>
          </w:tcPr>
          <w:p>
            <w:pPr>
              <w:spacing w:after="0"/>
              <w:rPr>
                <w:sz w:val="24"/>
                <w:szCs w:val="24"/>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115,777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74,525</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521"/>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F-8</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-864870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-847725</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-864870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-847725</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historical net losses and anticipates that it will continue to incur losses for the foreseeable future and had an accumulated deficit of $530.8 million as of December 31, 2023. The Company has funded these losses principally through issuance of preferred stock, convertible notes, common stock, including its initial public offering and concurrent private placement completed in August 2020, or the IPO, follow-on offering and concurrent private placement completed in July 2021, or Follow-on Offering, August 2022 Private Investment in Public Equity, or PIPE, offering, and from cash proceeds received in connection with the Company’s corporate collaboration agreements with Vertex Pharmaceuticals Incorporated, or Vertex, and Genzyme Corporation, or Sanofi, (see Note 5). The Company expects to continue to incur operating losses and negative operating cash flows until such time as it generates a level of revenue that is sufficient to support its cost structure.</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cash, cash equivalents and marketable securities of $436.3 million. The Company believes these cash, cash equivalents and marketable securities will be sufficient to fund its operations and capital expenditure requirements through at least twelve months from the issuance of these consolidated financial statements.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Follow-on Public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July 6, 2021, the Company completed a follow-on offering of its common stock and issued and sold 5,468,250 shares of common stock, including full exercise of the underwriters’ over-allotment option to purchase an additional 713,250 shares, at a public offering price of $47.00 per share. The aggregate gross proceeds before deducting underwriting discounts and commissions, and other estimated offering expenses payable by the Company were approximately $257.0 million. Concurrent with the follow-on offering, the Company issued and sold 49,928 shares of common stock at $47.00 per share in a private placement to Vertex and the aggregate proceeds were $2.3 million.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Investment in Public Equity "PIPE"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18, 2022, the Company and certain accredited investors entered into a securities purchase agreement pursuant to which the Company agreed to sell and issue to such investors in a private placement (i) an aggregate of 2,769,228 shares of the Company’s common stock at a purchase price of $26.00 per share, and (ii) 3,000,000 Pre-Funded Warrants to purchase common stock, at a purchase price of $25.9999 per pre-funded warrant, (the “Pre-Funded Warrants”). The Pre-Funded Warrants will have an exercise price of $0.0001 per share of common stock. The offering closed on August 22, 2022, resulting in net proceeds of $149.8 million after offering expenses.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of the number of shares of the Common Stock outstanding immediately after giving effect to such</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7" w:name="page138"/>
    <w:bookmarkEnd w:id="13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exercise. The holders of Pre-Funded Warrants may increase or decrease such percentages not in excess of 19.99% by providing at least 61 days’ prior notice to the Company.</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2023, no Pre-Funded Warrants were exercised. As of December 31, 2023, there were 3,000,000 pre-funded warrants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application of certain significant accounting policies as described in this note, and elsewhere in the accompanying consolidated financial statements and notes.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Kymera Securities Corporation. All intercompany transactions and balances have been eliminated in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or GAAP. Any reference in these notes to applicable guidance is meant to refer to the authoritative United States generally accepted accounting principles as found in the Accounting Standards Codification, or ASC and Accounting Standards Update, or ASU, of the Financial Accounting Standards Board, or FASB.</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judgments that affect the reported amounts of assets and liabilities and disclosure of contingencies at the date of the financial statements and the reported amounts of expenses during the reporting period. Management’s estimates and judgments are derived and continually evaluated based on available information, historical experience and various other assumptions that are believed to be reasonable under the circumstances. Because the use of estimates is inherent in the financial reporting process, actual results could differ from those estimates. In recording transactions and balances resulting from business operations, management makes estimates based on the best information available at the time the estimate is made. Significant estimates relied upon in preparing these financial statements include revenue recognized under our collaboration agreement with Sanofi and Vertex, accrual for research and development expenses, and equity-based compensation expense. As better information becomes available or actual amounts are determinable, the recorded estimates are revised. Consequently, operating results can be affected by revisions to prior estimates.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is the Chief Executive Officer. The Company views its operations and manages its business in one operating segment.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equivalents are highly liquid investments that are readily convertible into cash with original maturities of three months or less when purchased. These assets include investments in money market funds, U.S Treasury securities, U.S Government Agency securities, and corporate securities including commercial paper. The Company maintains its bank accounts at major financial institutions.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represents the cash held to secure letters of credit associated with the Company’s facility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marketable securities with a remaining maturity of greater than three months when purchased as available-for-sale. The Company classifies investments available to fund current operations as current assets on its balance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8" w:name="page139"/>
    <w:bookmarkEnd w:id="138"/>
    <w:p>
      <w:pPr>
        <w:jc w:val="both"/>
        <w:spacing w:after="0" w:line="258" w:lineRule="auto"/>
        <w:rPr>
          <w:sz w:val="20"/>
          <w:szCs w:val="20"/>
          <w:color w:val="auto"/>
        </w:rPr>
      </w:pPr>
      <w:r>
        <w:rPr>
          <w:rFonts w:ascii="Times New Roman" w:cs="Times New Roman" w:eastAsia="Times New Roman" w:hAnsi="Times New Roman"/>
          <w:sz w:val="18"/>
          <w:szCs w:val="18"/>
          <w:color w:val="auto"/>
        </w:rPr>
        <w:t>sheets. Marketable securities with a remaining maturity date greater than one year are classified as non-current. Available-for-sale securities are maintained by investment managers and consist of U.S. Treasury securities, U.S Government Agency securities, and corporate bonds.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(expense) income, net.</w:t>
      </w:r>
    </w:p>
    <w:p>
      <w:pPr>
        <w:spacing w:after="0" w:line="26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w:t>
      </w:r>
    </w:p>
    <w:p>
      <w:pPr>
        <w:spacing w:after="0" w:line="225"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 or other inputs that are observable or can be corroborated by observable market data.</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determining the fair value of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pricing models, discounted cash flow methodologies and similar techniques.</w:t>
      </w:r>
    </w:p>
    <w:p>
      <w:pPr>
        <w:spacing w:after="0" w:line="16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cash equivalents, prepaid expenses, accounts payable, and certain accruals approximate their fair value due to their short-term nature.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86"/>
        <w:spacing w:after="0" w:line="253"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Leases that are economically similar to the purchase of assets are generally classified as finance leases; otherwise the leases are classified as operating leases. The Company has elected not to recognize leases with an original term of one year or less on the balance sheet. Options to renew a lease are not included in the Company’s assessment unless there is reasonable certainty that the Company will renew. Leases with a term greater than one year are recognized on the balance sheet as right-of-use assets, lease liabilities and, if applicable, long-term lease liabilities. Lease liabilities and their corresponding right-of-use assets are recorded based on the present value of lease payments over the expected remaining lease term. However, certain adjustments to the right-of-use asset may be required for items such as incentives received. The Company has elected as an accounting policy to combine lease and non- lease components, such as common area maintenance, for all classes of underlying assets. The interest rate implicit in lease contracts has not historically been readily determinable. As a result, the Company utilizes its incremental borrowing rates, which are the rates incurred to borrow on a collateralized basis over a similar term an amount equal to the lease payments in a similar economic environment. To estimate its incremental borrowing rate, a credit rating applicable to the Company is estimated using synthetic credit rating analysis since the Company does not currently have a rating agency-based credit rating.</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Major additions and betterments are capitalized; maintenance and repairs, which do not improve or extend the life of the respective assets, are charged to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as incurred. Depreciation expense is recorded using the straight-line method over the estimated useful life of the related asset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87"/>
        </w:trPr>
        <w:tc>
          <w:tcPr>
            <w:tcW w:w="856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2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198"/>
        </w:trPr>
        <w:tc>
          <w:tcPr>
            <w:tcW w:w="85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68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Shorter of life of lease or remaining</w:t>
            </w:r>
          </w:p>
        </w:tc>
      </w:tr>
      <w:tr>
        <w:trPr>
          <w:trHeight w:val="248"/>
        </w:trPr>
        <w:tc>
          <w:tcPr>
            <w:tcW w:w="8560" w:type="dxa"/>
            <w:vAlign w:val="bottom"/>
            <w:shd w:val="clear" w:color="auto" w:fill="CFF0FC"/>
          </w:tcPr>
          <w:p>
            <w:pPr>
              <w:spacing w:after="0"/>
              <w:rPr>
                <w:sz w:val="21"/>
                <w:szCs w:val="21"/>
                <w:color w:val="auto"/>
              </w:rPr>
            </w:pP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lease term</w:t>
            </w:r>
          </w:p>
        </w:tc>
      </w:tr>
    </w:tbl>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and related accumulated depreciation of assets disposed of are removed from the accounts and any resulting gain or loss is included in loss from operations.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Construction-in-progress is stated at cost, which includes direct costs attributable to the setup or construction of the related asset. Depreciation expense is not recorded on construction-in-progress until the relevant assets are completed and put into use.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Long-lived assets (including right-of-use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The Company did not record any impairment losses on long-lived assets during the years ended December 31, 2023, 2022 and 2021.</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8"/>
          <w:szCs w:val="18"/>
          <w:i w:val="1"/>
          <w:iCs w:val="1"/>
          <w:color w:val="auto"/>
        </w:rPr>
        <w:t>Accounting for Certain Financial Instruments with Characteristics of Both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Equity</w:t>
      </w:r>
      <w:r>
        <w:rPr>
          <w:rFonts w:ascii="Times New Roman" w:cs="Times New Roman" w:eastAsia="Times New Roman" w:hAnsi="Times New Roman"/>
          <w:sz w:val="18"/>
          <w:szCs w:val="18"/>
          <w:color w:val="auto"/>
        </w:rPr>
        <w:t>, and then in accordance with ASC 815-40,</w:t>
      </w:r>
      <w:r>
        <w:rPr>
          <w:rFonts w:ascii="Times New Roman" w:cs="Times New Roman" w:eastAsia="Times New Roman" w:hAnsi="Times New Roman"/>
          <w:sz w:val="18"/>
          <w:szCs w:val="18"/>
          <w:i w:val="1"/>
          <w:iCs w:val="1"/>
          <w:color w:val="auto"/>
        </w:rPr>
        <w:t xml:space="preserve"> Accounting for Derivative Financial Instruments Indexed to, and Potentially Settled in, a Company’s Own Stock</w:t>
      </w:r>
      <w:r>
        <w:rPr>
          <w:rFonts w:ascii="Times New Roman" w:cs="Times New Roman" w:eastAsia="Times New Roman" w:hAnsi="Times New Roman"/>
          <w:sz w:val="18"/>
          <w:szCs w:val="18"/>
          <w:color w:val="auto"/>
        </w:rPr>
        <w:t>. Under ASC 480-10, warrants are considered liability classified if the warrants are mandatorily redeemable, obligate the issuer to settle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or the underlying shares by paying cash or other assets, or must or may require settlement by issuing variable number of shares.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Research and development costs consist primarily of costs incurred in connection with the discovery and development of targeted protein degradation therapeutics, including those in the Company’s most advanced clinical stage programs. These research efforts and costs, which also support the development of, and enhancements to, the Company’s Pegasus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targeted protein degradation platform, include external research costs, personnel costs, supplies, license fees and facility related expenses. The Company expenses research and development costs as incurred.</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0" w:name="page141"/>
    <w:bookmarkEnd w:id="14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recoverability of the expenditure. Amounts incurred are classified as general and administrative expenses.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Costs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Costs incurred in connection with the issuance of equity units and shares are recorded as a reduction of proceeds to the equity carrying value. The Company capitalizes certain legal, professional accounting and other third-party fees that are directly associated with in-process financings as deferred offering costs until such financings are consummated. After consummation of the financing, these costs are recorded as a reduction of the proceeds received from the financing. If a planned financing is abandoned, the deferred offering costs are expensed immediately as a charge to operating expenses in the consolidated statement of operations and comprehensive loss. There was no deferred offering costs on the Company’s consolidated balance sheet at December 31, 2023 and December 31, 2022.</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Under ASC 606, Topic 606, </w:t>
      </w:r>
      <w:r>
        <w:rPr>
          <w:rFonts w:ascii="Times New Roman" w:cs="Times New Roman" w:eastAsia="Times New Roman" w:hAnsi="Times New Roman"/>
          <w:sz w:val="18"/>
          <w:szCs w:val="18"/>
          <w:i w:val="1"/>
          <w:iCs w:val="1"/>
          <w:color w:val="auto"/>
        </w:rPr>
        <w:t>Revenue from Contracts with Customers, or ASC 606</w:t>
      </w:r>
      <w:r>
        <w:rPr>
          <w:rFonts w:ascii="Times New Roman" w:cs="Times New Roman" w:eastAsia="Times New Roman" w:hAnsi="Times New Roman"/>
          <w:sz w:val="18"/>
          <w:szCs w:val="18"/>
          <w:color w:val="auto"/>
        </w:rPr>
        <w:t>, the Company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prices, the Company evaluates whether changes in the key assumptions used to determine its estimated stand-alone selling prices will have a significant effect on the allocation of arrangement consideration between performance obligations.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of consideration the Company expects to be received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 The Company utilizes either the most likely amount method or expected value method to estimate the transaction price based on which method better predicts the amount of consideration expected to be received. If it is probable that a significant revenue reversal would not occur, the variable consideration is included in the transaction price.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stage of development of the underlying intellectual property, the capabilities of the customer to develop the intellectual property on their own and whether the required expertise is readily available.</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performance obligations which consist of licenses and other promises, the Company utilizes judgment to assess the nature of the combined performance obligation in order to determine whether the combined performance obligation is satisfied over time or at a point in time. The Company receives payments from customers based on billing schedules established in each contract. Up-front payments and fees are recorded as deferred revenue upon receipt or when due until the Company performs its obligations under these arrangements.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Amounts are recorded as accounts receivable when the Company’s right to consideration is unconditional. Amounts recognized as revenue, but not yet received or invoiced are generally recognized as contract assets.</w:t>
      </w:r>
    </w:p>
    <w:p>
      <w:pPr>
        <w:spacing w:after="0" w:line="19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Exclusive Licenses</w:t>
      </w:r>
      <w:r>
        <w:rPr>
          <w:rFonts w:ascii="Times New Roman" w:cs="Times New Roman" w:eastAsia="Times New Roman" w:hAnsi="Times New Roman"/>
          <w:sz w:val="18"/>
          <w:szCs w:val="18"/>
          <w:color w:val="auto"/>
        </w:rPr>
        <w:t>—If the license granted in the arrangement is determined to be distinct from the other promises or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 whether the value of the license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based on estimated remaining research and development costs. The calculation of the total remaining estimated research and development costs includes forecasted costs associated with internal employee efforts, materials costs, and third-party contract costs, as well as the assumed timing and duration of these activities. The recognition of revenue pursuant to collaboration arrangements is subject to these judgments made and estimates developed by management and is sensitive to changes in these assumptions. Therefore, the measure of progress, and thereby periods over which revenue should be recognized, are subject to estimates by management and may change over the course of the arrangement.</w:t>
      </w:r>
    </w:p>
    <w:p>
      <w:pPr>
        <w:spacing w:after="0" w:line="19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Services</w:t>
      </w:r>
      <w:r>
        <w:rPr>
          <w:rFonts w:ascii="Times New Roman" w:cs="Times New Roman" w:eastAsia="Times New Roman" w:hAnsi="Times New Roman"/>
          <w:sz w:val="18"/>
          <w:szCs w:val="18"/>
          <w:color w:val="auto"/>
        </w:rPr>
        <w:t>—The promises under the Company’s collaboration and license agreements generally include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to be performed by the Company on behalf of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as described under Exclusive Licenses above. Reimbursements from the partner that are the result of a collaborative relationship with the partner, instead of a customer relationship, such as co-development activities, are generally recorded as a reduction to research and development expense.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Customer Options</w:t>
      </w:r>
      <w:r>
        <w:rPr>
          <w:rFonts w:ascii="Times New Roman" w:cs="Times New Roman" w:eastAsia="Times New Roman" w:hAnsi="Times New Roman"/>
          <w:sz w:val="18"/>
          <w:szCs w:val="18"/>
          <w:color w:val="auto"/>
        </w:rPr>
        <w:t>—The Company’s arrangements may provide a collaborator with the right to certain optional purchases, such as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a target either at the inception of the arrangement or within a pre-defined option period. Under these agreements, fees may be due to the Company at the inception of the arrangement as an upfront fee or payment or upon the exercise of an option to acquire a license.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5"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—At the inception of each arrangement that includes milestone payments based on certain events, the Company evaluates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 milestones are considered probable of being achieved and estimates the amount to be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2" w:name="page143"/>
    <w:bookmarkEnd w:id="142"/>
    <w:p>
      <w:pPr>
        <w:jc w:val="both"/>
        <w:spacing w:after="0" w:line="253" w:lineRule="auto"/>
        <w:rPr>
          <w:sz w:val="20"/>
          <w:szCs w:val="20"/>
          <w:color w:val="auto"/>
        </w:rPr>
      </w:pPr>
      <w:r>
        <w:rPr>
          <w:rFonts w:ascii="Times New Roman" w:cs="Times New Roman" w:eastAsia="Times New Roman" w:hAnsi="Times New Roman"/>
          <w:sz w:val="18"/>
          <w:szCs w:val="18"/>
          <w:color w:val="auto"/>
        </w:rPr>
        <w:t>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Collaboration revenue—</w:t>
      </w:r>
      <w:r>
        <w:rPr>
          <w:rFonts w:ascii="Times New Roman" w:cs="Times New Roman" w:eastAsia="Times New Roman" w:hAnsi="Times New Roman"/>
          <w:sz w:val="18"/>
          <w:szCs w:val="18"/>
          <w:color w:val="auto"/>
        </w:rPr>
        <w:t>The Company analyzes its collaboration arrangements to assess whether they are within the scope of ASC 808,</w:t>
      </w:r>
      <w:r>
        <w:rPr>
          <w:rFonts w:ascii="Times New Roman" w:cs="Times New Roman" w:eastAsia="Times New Roman" w:hAnsi="Times New Roman"/>
          <w:sz w:val="18"/>
          <w:szCs w:val="18"/>
          <w:i w:val="1"/>
          <w:iCs w:val="1"/>
          <w:color w:val="auto"/>
        </w:rPr>
        <w:t xml:space="preserve"> Collaborative Arrangements, or </w:t>
      </w:r>
      <w:r>
        <w:rPr>
          <w:rFonts w:ascii="Times New Roman" w:cs="Times New Roman" w:eastAsia="Times New Roman" w:hAnsi="Times New Roman"/>
          <w:sz w:val="18"/>
          <w:szCs w:val="18"/>
          <w:color w:val="auto"/>
        </w:rPr>
        <w:t>ASC 808, to determine whether such arrangements involve joint operating activities performed by parties that are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Topic 606. For elements of collaboration arrangements that are accounted for pursuant to ASC 808, an appropriate recognition method is determined and applied consistently, generally by analogy to Topic 606. For those elements of the arrangement that are accounted for pursuant to Topic 606, the Company applies the five-step model described above.</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License and Collaborative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Costs associated with licenses of technology acquired as part of collaborative arrangements are expensed as incurred and are generally included in research and development expense in the consolidated statements of operations.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extends credit to customers based on its evaluation of the customer’s financial condition. The Company records receivables for all billings when amounts are due under standard terms. Accounts receivable are stated at amounts due net of applicable prompt pay discounts and other contractual adjustments as well as an allowance for doubtful accounts. The Company assesses the need for an allowance for doubtful accounts by considering a number of factors, including the length of time trade accounts receivable are past due, the customer’s ability to pay its obligation and the condition of the general economy and the industry as a whole. The Company will write off accounts receivable when the Company determines that they are uncollectible. In general, the Company has experienced no significant collection issues with its customers</w:t>
      </w:r>
      <w:r>
        <w:rPr>
          <w:rFonts w:ascii="Arial" w:cs="Arial" w:eastAsia="Arial" w:hAnsi="Arial"/>
          <w:sz w:val="16"/>
          <w:szCs w:val="16"/>
          <w:color w:val="auto"/>
        </w:rPr>
        <w: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awards granted to employees, directors, and nonemployees based on their fair value on the date of the grant and recognize compensation expense for those awards over the requisite service period, which is generally the vesting period of the respective award. Stock-based payments include stock options and grants of common stock, including common stock subject to vesting. The measurement date for stock awards is the date of grant, and stock-based compensation costs are recognized as expense over the requisite service period, which is the vesting period, on a straight-line basis. The Company has issued stock options and restricted stock with performance-based vesting conditions and records the expense for these awards if the Company concludes that it is probable that the performance condition will be achieved. Stock-based compensation is classified in the accompanying consolidated statements of operations and comprehensive loss based on the function to which the related services are provided. The Company recognizes stock-based compensation expense for the portion of awards that have vested. Forfeitures are accounted for as they occur.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3" w:name="page144"/>
    <w:bookmarkEnd w:id="143"/>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options-pricing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Prior to the IPO, as there was no active market for the Company’s common stock, the Company estimated the fair value of common stock on the date of grant based on the then current facts and circumstances. Upon becoming a public company, the fair value of the underlying common shares equals the closing price of the Company’s stock on the date of grant. As the Company’s IPO was in 2020, the Company lacks a sufficient period of company-specific historical and implied volatility information. Therefore, it estimates its expected stock volatility based on the historical volatility of a publicly traded set of guideline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fair value of each restricted common stock award is estimated on the date of grant based on the fair value of the Company’s common stock on that same date.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Compensation expense for discounted purchases under the employee stock purchase plan is measured using the Black-Scholes model to compute the fair value of the lookback provision plus the purchase discount and is recognized as compensation expense over the offering period.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income taxes in accordance with FASB Accounting Standards Codification Topic 740, </w:t>
      </w:r>
      <w:r>
        <w:rPr>
          <w:rFonts w:ascii="Times New Roman" w:cs="Times New Roman" w:eastAsia="Times New Roman" w:hAnsi="Times New Roman"/>
          <w:sz w:val="18"/>
          <w:szCs w:val="18"/>
          <w:i w:val="1"/>
          <w:iCs w:val="1"/>
          <w:color w:val="auto"/>
        </w:rPr>
        <w:t>Income Taxes, or</w:t>
      </w:r>
      <w:r>
        <w:rPr>
          <w:rFonts w:ascii="Times New Roman" w:cs="Times New Roman" w:eastAsia="Times New Roman" w:hAnsi="Times New Roman"/>
          <w:sz w:val="18"/>
          <w:szCs w:val="18"/>
          <w:color w:val="auto"/>
        </w:rPr>
        <w:t xml:space="preserve"> ASC 740, which provides for deferred taxes using an asset and liability approach. Under this method, deferred income tax assets and liabilities are recognized based on future income tax consequences attributable to differences between the financial statement carrying amount of existing assets and liabilities, and their respective income tax basis. Deferred income tax assets and liabilities are measured using enacted income tax rates expected to apply to taxable income in the years in which those temporary differences are expected to be recovered or settled. The effect of changes in income tax rates on deferred income tax assets and liabilities is recognized as income or expense in the period that a valuation allowance for any income tax benefits of which future realization is not more likely than not.</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related to uncertain tax positions. The tax benefits recorded are based on a determination of whether and how much of a tax benefit taken by the Company in its tax filings or positions is “more likely than not” to be realized following resolution of any uncertainty related to the tax benefit, assuming that the matter in question will be raised by the tax authorities.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Risk and Concentration of Credit Risk</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a portion of its cash equivalents in money market funds that invest in U.S. Treasury securities and U.S. Agency obligations. Cash equivalents are also invested in individual U.S Treasury securities, U.S Government Agency securities, and corporate securities including commercial paper. The Company’s marketable securities primarily consist of corporate bonds, U.S. Agency bonds, U.S. Treasury securities,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unrealized gains and losses on marketable securities and other changes in stockholders’ equity (deficit) that result from transactions and economic events other than those with stockholders.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4" w:name="page145"/>
    <w:bookmarkEnd w:id="14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convertible preferred stock participates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shares of common stock outstanding for the period, including the pre-funded warrants given their nominal exercise price.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options to purchase common stock, unvested restricted stock awards, and shares of convertible preferred stock are considered potential dilutive common shares. The Company has generated a net loss in all periods presented, and therefore the basic and diluted net loss per share attributable to common stockholders are the same as the inclusion of the potentially dilutive securities would be anti-dilutive.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as of December 31, 2023 and 2022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17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0"/>
        </w:trPr>
        <w:tc>
          <w:tcPr>
            <w:tcW w:w="580" w:type="dxa"/>
            <w:vAlign w:val="bottom"/>
          </w:tcPr>
          <w:p>
            <w:pPr>
              <w:spacing w:after="0"/>
              <w:rPr>
                <w:sz w:val="23"/>
                <w:szCs w:val="23"/>
                <w:color w:val="auto"/>
              </w:rPr>
            </w:pPr>
          </w:p>
        </w:tc>
        <w:tc>
          <w:tcPr>
            <w:tcW w:w="368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CFF0FC"/>
              <w:bottom w:val="single" w:sz="8" w:color="CFF0FC"/>
            </w:tcBorders>
            <w:shd w:val="clear" w:color="auto" w:fill="CFF0FC"/>
          </w:tcPr>
          <w:p>
            <w:pPr>
              <w:spacing w:after="0"/>
              <w:rPr>
                <w:sz w:val="23"/>
                <w:szCs w:val="23"/>
                <w:color w:val="auto"/>
              </w:rPr>
            </w:pPr>
          </w:p>
        </w:tc>
        <w:tc>
          <w:tcPr>
            <w:tcW w:w="200" w:type="dxa"/>
            <w:vAlign w:val="bottom"/>
            <w:tcBorders>
              <w:top w:val="single" w:sz="8" w:color="CFF0FC"/>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136,056</w:t>
            </w:r>
          </w:p>
        </w:tc>
        <w:tc>
          <w:tcPr>
            <w:tcW w:w="240" w:type="dxa"/>
            <w:vAlign w:val="bottom"/>
            <w:tcBorders>
              <w:top w:val="single" w:sz="8" w:color="CFF0FC"/>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303,096</w:t>
            </w:r>
          </w:p>
        </w:tc>
        <w:tc>
          <w:tcPr>
            <w:tcW w:w="220" w:type="dxa"/>
            <w:vAlign w:val="bottom"/>
            <w:tcBorders>
              <w:top w:val="single" w:sz="8" w:color="CFF0FC"/>
              <w:bottom w:val="single" w:sz="8" w:color="CFF0FC"/>
            </w:tcBorders>
            <w:shd w:val="clear" w:color="auto" w:fill="CFF0FC"/>
          </w:tcPr>
          <w:p>
            <w:pPr>
              <w:spacing w:after="0"/>
              <w:rPr>
                <w:sz w:val="23"/>
                <w:szCs w:val="23"/>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23"/>
                <w:szCs w:val="23"/>
                <w:color w:val="auto"/>
              </w:rPr>
            </w:pPr>
          </w:p>
        </w:tc>
        <w:tc>
          <w:tcPr>
            <w:tcW w:w="240" w:type="dxa"/>
            <w:vAlign w:val="bottom"/>
            <w:tcBorders>
              <w:top w:val="single" w:sz="8" w:color="CFF0FC"/>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439,152</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r>
      <w:tr>
        <w:trPr>
          <w:trHeight w:val="520"/>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F-17</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-864870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-847725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-864870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-847725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-1028065</wp:posOffset>
            </wp:positionV>
            <wp:extent cx="603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-864870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-847725</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-1028065</wp:posOffset>
            </wp:positionV>
            <wp:extent cx="603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50,551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50,551</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74,045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74,045</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120,467</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120,467</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144,259</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144,259</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58,653</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58,653</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73,871</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73,871</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21"/>
                <w:szCs w:val="21"/>
                <w:color w:val="auto"/>
              </w:rPr>
            </w:pPr>
          </w:p>
        </w:tc>
      </w:tr>
      <w:tr>
        <w:trPr>
          <w:trHeight w:val="277"/>
        </w:trPr>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150,530</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397,250</w:t>
            </w:r>
          </w:p>
        </w:tc>
        <w:tc>
          <w:tcPr>
            <w:tcW w:w="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2023 and 2022, there were no transfers in or out of Level 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available-for-sale debt securities held at December 31, 2023 and 2022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(305 )</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142,691</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(306 )</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160,405</w:t>
            </w:r>
          </w:p>
        </w:tc>
        <w:tc>
          <w:tcPr>
            <w:tcW w:w="10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326,907</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326,349</w:t>
            </w:r>
          </w:p>
        </w:tc>
        <w:tc>
          <w:tcPr>
            <w:tcW w:w="100" w:type="dxa"/>
            <w:vAlign w:val="bottom"/>
            <w:shd w:val="clear" w:color="auto" w:fill="CFF0FC"/>
          </w:tcPr>
          <w:p>
            <w:pPr>
              <w:spacing w:after="0"/>
              <w:rPr>
                <w:sz w:val="24"/>
                <w:szCs w:val="24"/>
                <w:color w:val="auto"/>
              </w:rPr>
            </w:pPr>
          </w:p>
        </w:tc>
      </w:tr>
      <w:tr>
        <w:trPr>
          <w:trHeight w:val="361"/>
        </w:trPr>
        <w:tc>
          <w:tcPr>
            <w:tcW w:w="5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Borders>
              <w:top w:val="single" w:sz="8" w:color="CFF0FC"/>
            </w:tcBorders>
          </w:tcPr>
          <w:p>
            <w:pPr>
              <w:spacing w:after="0"/>
              <w:rPr>
                <w:sz w:val="24"/>
                <w:szCs w:val="24"/>
                <w:color w:val="auto"/>
              </w:rPr>
            </w:pPr>
          </w:p>
        </w:tc>
      </w:tr>
      <w:tr>
        <w:trPr>
          <w:trHeight w:val="187"/>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94,958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93,850</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180,967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(1,873 )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179,119</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220,119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(2,014 )</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218,130</w:t>
            </w:r>
          </w:p>
        </w:tc>
        <w:tc>
          <w:tcPr>
            <w:tcW w:w="10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496,044</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(4,998 )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491,099</w:t>
            </w:r>
          </w:p>
        </w:tc>
        <w:tc>
          <w:tcPr>
            <w:tcW w:w="100" w:type="dxa"/>
            <w:vAlign w:val="bottom"/>
            <w:shd w:val="clear" w:color="auto" w:fill="CFF0FC"/>
          </w:tcPr>
          <w:p>
            <w:pPr>
              <w:spacing w:after="0"/>
              <w:rPr>
                <w:sz w:val="22"/>
                <w:szCs w:val="22"/>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-1199515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-1182370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-1199515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-1182370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-1199515</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-1182370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-1199515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-1182370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held 109 securities that had been in an unrealized loss position for less than 12 months with an aggregate fair value of $229.7 million. As of December 31, 2022, the Company held 149 securities that had been in an unrealized loss position for less than 12 months with an aggregate fair value of $330.9 million. As of December 31, 2023, the Company held 16 securities that had been in an unrealized loss position for greater than 12 months with an aggregate fair value of $36.6 million. As of December 31, 2022, the Company held 36 securities that had been in an unrealized loss position for greater than 12 months with an aggregate fair value of $115.0 million.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124 securities with a fair value of $264.9 million with a contractual maturity of less than 12 months and 27 securities with a fair value of $61.4 million with a contractual maturity of greater than 12 months. As of December 31, 2022 the Company had 118 securities with a fair value of $338.8 million with a contractual maturity of less than 12 months and 81 securities with a fair value of $152.3 million with a contractual maturity of greater than 12 months.</w:t>
      </w:r>
    </w:p>
    <w:p>
      <w:pPr>
        <w:spacing w:after="0" w:line="2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46" w:name="page147"/>
    <w:bookmarkEnd w:id="146"/>
    <w:p>
      <w:pPr>
        <w:jc w:val="both"/>
        <w:spacing w:after="0" w:line="282" w:lineRule="auto"/>
        <w:rPr>
          <w:sz w:val="20"/>
          <w:szCs w:val="20"/>
          <w:color w:val="auto"/>
        </w:rPr>
      </w:pPr>
      <w:r>
        <w:rPr>
          <w:rFonts w:ascii="Times New Roman" w:cs="Times New Roman" w:eastAsia="Times New Roman" w:hAnsi="Times New Roman"/>
          <w:sz w:val="18"/>
          <w:szCs w:val="18"/>
          <w:color w:val="auto"/>
        </w:rPr>
        <w:t>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December 31, 2023 and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Collaboration Arrangement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the Company an exclusive option, or Opt-In Right, exercisable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the Company an upfront payment of $150.0 million. The Company will also be reimbursed for certain research activities for a certain backup degrader under the IRAK4 program as well as contract manufacturing costs for the lead KT-474 program, unless certain criteria are not met for an initial IRAK4 degrader. In addition to the upfront payment and the reimbursements, the Company is eligible to receive certain development milestone payments of up to $1.48 billion in the aggregate, of which more than $1.0 billion relates to the IRAK4 program, upon the achievement of certain developmental or regulatory events. The Company will be eligible to receive certain commercial milestone payments up to $700.0 million in the aggregate, of which $400 million relates to the IRAK4 program, which are payable upon the achievement of certain net sales thresholds. The Company will be eligible to receive tiered royalties for each program on net sales ranging from the high single digits to high teens, subject to low-single digits upward adjustments in certain circumstances.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7" w:name="page148"/>
    <w:bookmarkEnd w:id="14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As of December 31, 2023, the Company has received the $40.0 million milestone with the $15.0 million included within the accounts receivable on the consolidated balance sheet.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total transaction price to be $150.0 million, which consists solely of the upfront payment. All milestone payments and option payments were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1: $120.0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2: $30.0 million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8" w:name="page149"/>
    <w:bookmarkEnd w:id="14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allocation of the $150.0 million transaction price between Collaboration Target 1 and Collaboration Target 2 based on the value of the research and development for the programs from projected research and development costs for each collaboration target plus a developer’s profit and the total potential milestones for each collaboration target.</w:t>
      </w:r>
    </w:p>
    <w:p>
      <w:pPr>
        <w:spacing w:after="0" w:line="17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Milestone and reimbursement consideration added to the transaction price will be recognized as revenue with a cumulative catch-up upon becoming unconstrained. The performance obligation associated with Collaboration Target 1 has not been fully satisfied as of December 31, 2023. The performance obligation associated with Collaboration Target 2 was fully satisfied as of December 31, 2023. During the year ended December 31, 2023, the Company recognized $70.2 million in revenue under the Sanofi Agreement, of which $67.7 million was associated with Collaboration Target 1 and $2.5 million was associated with Collaboration Target 2. Of the $70.2 million of revenue recognized in the year ended December 31, 2023, $19.0 million was recognized from amounts that were recorded in deferred revenue as of December 31, 2022. The aggregate amount of the transaction price allocated to the Company’s unsatisfied performance obligations and recorded in deferred revenue at December 31, 2023 is $54.7 million. During the year ended December 31, 2022, the Company recognized $36.0 million in revenue under the Sanofi Agreement, of which $19.4 million was associated with Collaboration Target 1 and $16.6 million was associated with Collaboration Target 2. The aggregate amount of the transaction price allocated to the Company’s unsatisfied performance obligations and recorded in deferred revenue at December 31, 2022 was $54.9 million. During the year ended December 31, 2021, the Company recognized $54.3 million in revenue under the Sanofi Agreement, of which $45.5 million was associated with Collaboration Target 1 and $8.8 million was associated with Collaboration Target 2. During the years ended December 31, 2023 and 2022, the Company received $13.8 million and $6.7 million, respectively, in in cost reimbursement payments under the Sanofi Agreement. The Company recorded $3.8 million and $2.5 million of unbilled accounts receivable related to reimbursable research and development costs under the Sanofi Agreement as of December 31, 2023 and December 31, 2022, respectively. The Company will recognize the deferred revenue related to the performance obligations based on a cost input method, as described, over the remaining research term, which as a result of the amended agreement, is a maximum of approximately 3.0 years as of December 31, 2023.</w:t>
      </w:r>
    </w:p>
    <w:p>
      <w:pPr>
        <w:spacing w:after="0" w:line="20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consideration related to performance-based milestones will be recognized when the risk of probable reversal is resolved, at which point the Company shall adjust the transaction price determined for the agreement accordingly and recognize revenue on a cumulative-catch up basis, reallocating the revised arrangement consideration to the performance obligations. Any consideration related to sales milestone payments and royalties will be recognized when the related milestone events or sales occur and therefore are recognized at the later of when the related sales occur or the relevant performance obligation is satisfied. As part of its evaluation of constraining the milestones, the Company considered numerous factors, including the fact that the achievement of the research and development milestones are contingent upon the results of the underlying research and development activities and are thus outside of the control of the Company. 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resulting in a $40.3 million cumulative catch up recorded to revenue with the remaining $14.7 million recorded as deferred revenue as of December 31, 2023.</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Agreement</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9, 2019 (the “Effective Date”), the Company entered into a collaboration agreement (the “Vertex Agreement”) with Vertex to advance small molecule protein degraders against up to six targets. Under the Vertex Agreement, Vertex had the exclusive option to license the rights to the product candidates developed for the designated targets at which point Vertex would control development and commercialization. Pursuant to the Vertex Agreement, the Company was only responsible for discovery and preclinical research on the targets, and Vertex was responsible for development, manufacturing, and commercialization of the product candidates after it exercises its option to license. The initial research term of the collaboration was four (4) years, extendable for an additional one (1) year period upon mutual agreement by the parties and payment by Vertex of certain per-target fees.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was eligible to receive up to $170.0 million in payments per target, including development, regulatory and commercial milestones as well as option exercise payments. In addition, Vertex was obligated to pay the Company tiered royalties on future net sales on any products that may result from the Vertex Agreement. None of the payments under the Vertex Agreement are refundable.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9" w:name="page150"/>
    <w:bookmarkEnd w:id="149"/>
    <w:p>
      <w:pPr>
        <w:ind w:left="520"/>
        <w:spacing w:after="0"/>
        <w:rPr>
          <w:sz w:val="20"/>
          <w:szCs w:val="20"/>
          <w:color w:val="auto"/>
        </w:rPr>
      </w:pPr>
      <w:r>
        <w:rPr>
          <w:rFonts w:ascii="Times New Roman" w:cs="Times New Roman" w:eastAsia="Times New Roman" w:hAnsi="Times New Roman"/>
          <w:sz w:val="18"/>
          <w:szCs w:val="18"/>
          <w:color w:val="auto"/>
        </w:rPr>
        <w:t>The term of the Vertex Agreement began on the Effective Date and expired upon the completion of the initial research term on May 9, 2023.</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joint research activities required under the Vertex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 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its evaluation of constraining the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the commencement of the arrangement, two units of accounting were identified, the issuance of 3,059,695 shares of the Company’s Series B-1 and the research activities the Company will perform over the Research Term. The Company determined the total transaction price to be $55.9 million, which consists of $5.9 million attributed to the premium from the Series B-1 shares sold to Vertex and the $50.0 million upfront payment. To determine the fair value of the Series B-1 issued to Vertex, the Company performed a valuation of the shares of the Company’s common and preferred stock, which took into consideration recent financings, and the Company’s recent development and future exit strategies, as well as a discount for lack of marketability.</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Vertex collaboration agreement expired upon completion of the initial research term in May of 2023. Accordingly, the Company fully satisfied its performance obligation and recognized all remaining deferred revenue associated with the Vertex collaboration in May 2023. During the years ended December 31, 2023, 2022 and 2021, the Company recognized $8.4 million, $10.8 million, $18.5 million, respectively, in revenue under the Vertex Agreement. All $8.4 million revenue recognized during the year ended December 31, 2023 was recognized from amounts that were recorded in deferred revenue as of December 31, 2022. There were no unsatisfied performance obligations as of December 31, 2023. The aggregate amount of the transaction price allocated to the Company’s unsatisfied performance obligation and recorded in deferred revenue at December 31, 2023 and 2022 is zero and $8.4 million, respectively.</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accounts receivable, contract assets and liabilities for the year ended December 31, 2023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9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Billed receivables – Sanofi</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(53,757 )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Unbilled receivables – Sanofi</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(13,757 )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and contract assets</w:t>
            </w:r>
          </w:p>
        </w:tc>
        <w:tc>
          <w:tcPr>
            <w:tcW w:w="94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83,739</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(67,514 )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Vertex</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(8,399 )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Sanofi</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54,861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(70,193 )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94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69,983</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(78,592 )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9"/>
              </w:rPr>
              <w:t>F-22</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-1679575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-1679575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-1679575</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-1679575</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-1028065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-1028065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-1028065</wp:posOffset>
            </wp:positionV>
            <wp:extent cx="603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-1028065</wp:posOffset>
            </wp:positionV>
            <wp:extent cx="603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consists of the following as of December 31, 2023 and 2022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office equipment under finance right-of-use asset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80" w:type="dxa"/>
            <w:vAlign w:val="bottom"/>
            <w:shd w:val="clear" w:color="auto" w:fill="CFF0FC"/>
          </w:tcPr>
          <w:p>
            <w:pPr>
              <w:spacing w:after="0"/>
              <w:rPr>
                <w:sz w:val="20"/>
                <w:szCs w:val="20"/>
                <w:color w:val="auto"/>
              </w:rPr>
            </w:pPr>
          </w:p>
        </w:tc>
      </w:tr>
      <w:tr>
        <w:trPr>
          <w:trHeight w:val="23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tcPr>
          <w:p>
            <w:pPr>
              <w:spacing w:after="0"/>
              <w:rPr>
                <w:sz w:val="20"/>
                <w:szCs w:val="20"/>
                <w:color w:val="auto"/>
              </w:rPr>
            </w:pPr>
          </w:p>
        </w:tc>
      </w:tr>
      <w:tr>
        <w:trPr>
          <w:trHeight w:val="247"/>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FF0FC"/>
          </w:tcPr>
          <w:p>
            <w:pPr>
              <w:spacing w:after="0"/>
              <w:rPr>
                <w:sz w:val="21"/>
                <w:szCs w:val="21"/>
                <w:color w:val="auto"/>
              </w:rPr>
            </w:pPr>
          </w:p>
        </w:tc>
      </w:tr>
      <w:tr>
        <w:trPr>
          <w:trHeight w:val="23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tcPr>
          <w:p>
            <w:pPr>
              <w:spacing w:after="0"/>
              <w:rPr>
                <w:sz w:val="20"/>
                <w:szCs w:val="20"/>
                <w:color w:val="auto"/>
              </w:rPr>
            </w:pPr>
          </w:p>
        </w:tc>
      </w:tr>
      <w:tr>
        <w:trPr>
          <w:trHeight w:val="247"/>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80" w:type="dxa"/>
            <w:vAlign w:val="bottom"/>
            <w:shd w:val="clear" w:color="auto" w:fill="CFF0FC"/>
          </w:tcPr>
          <w:p>
            <w:pPr>
              <w:spacing w:after="0"/>
              <w:rPr>
                <w:sz w:val="21"/>
                <w:szCs w:val="21"/>
                <w:color w:val="auto"/>
              </w:rPr>
            </w:pPr>
          </w:p>
        </w:tc>
      </w:tr>
      <w:tr>
        <w:trPr>
          <w:trHeight w:val="23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Assets not yet in service</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Pr>
          <w:p>
            <w:pPr>
              <w:spacing w:after="0"/>
              <w:rPr>
                <w:sz w:val="20"/>
                <w:szCs w:val="20"/>
                <w:color w:val="auto"/>
              </w:rPr>
            </w:pPr>
          </w:p>
        </w:tc>
      </w:tr>
      <w:tr>
        <w:trPr>
          <w:trHeight w:val="241"/>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20,227</w:t>
            </w:r>
          </w:p>
        </w:tc>
        <w:tc>
          <w:tcPr>
            <w:tcW w:w="80" w:type="dxa"/>
            <w:vAlign w:val="bottom"/>
            <w:shd w:val="clear" w:color="auto" w:fill="CFF0FC"/>
          </w:tcPr>
          <w:p>
            <w:pPr>
              <w:spacing w:after="0"/>
              <w:rPr>
                <w:sz w:val="20"/>
                <w:szCs w:val="20"/>
                <w:color w:val="auto"/>
              </w:rPr>
            </w:pPr>
          </w:p>
        </w:tc>
      </w:tr>
      <w:tr>
        <w:trPr>
          <w:trHeight w:val="23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(10,440 )</w:t>
            </w: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(6,893 )</w:t>
            </w:r>
          </w:p>
        </w:tc>
      </w:tr>
      <w:tr>
        <w:trPr>
          <w:trHeight w:val="277"/>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48,134</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2022 and 2021 was $3.6 million, $3.0 million and $2.4 million, respectively.</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Included in property and equipment is lab and office equipment right-of-use assets under financing leases with a cost basis of $6.7 million and $5.5 million and accumulated amortization expense of $4.1 million and $2.7 million as of December 31, 2023 and 2022,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right-of-use assets was $1.5 million, $1.2 million and $0.9 million the years ended December 31, 2023, 2022 and 2021 and is included in depreciation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October 2019, the Company entered into a noncancelable facility lease agreement (the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The Company received a tenant incentive allowance of $5.5 million in 2020 as the tenant improvements were completed all of which has been collected from its landlord as of December 31, 2022. In accordance with the lease agreement, the Company is required to maintain a security deposit and provided a letter of credit to the landlord, which is recorded in restricted cash as of December 31, 2023 and December 31, 2022. The letter of credit totaled $1.3 million and $1.6 million as of December 31, 2023 and December 31, 2022, respectively.</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December 31, 2023 and December 31, 2022. The Company also paid first month’s rent of $0.8 million upon execution of the 2021 Lease in December 2021 which is classified as other current assets and other non-current assets as of December 31, 2023 and December 31, 2022 respectively.</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1" w:name="page152"/>
    <w:bookmarkEnd w:id="151"/>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the improvements paid for by the landlord in connection with the tenant improvement allowance represent lessee assets and therefore recorded $16.1 million of leasehold improvements in property and equipment. The Company recorded an additional $11.1 million of leasehold improvements in excess of the tenant improvement allowance, all of which were not placed in service as of December 31, 2023.</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financing lease obligations consist of certain property and equipment financed through capital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lease costs for the years ended December 31, 2023 and 2022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88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16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costs:</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right-to-use assets, financing</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9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for financing lease liabilities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8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11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relating to the Company’s leases for the years ended December 31, 2023 and 2022 were as follows (in thousands):</w:t>
      </w:r>
    </w:p>
    <w:p>
      <w:pPr>
        <w:spacing w:after="0" w:line="19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16510</wp:posOffset>
            </wp:positionV>
            <wp:extent cx="15170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9" w:lineRule="exact"/>
        <w:rPr>
          <w:sz w:val="20"/>
          <w:szCs w:val="20"/>
          <w:color w:val="auto"/>
        </w:rPr>
      </w:pPr>
    </w:p>
    <w:p>
      <w:pPr>
        <w:ind w:left="7500"/>
        <w:spacing w:after="0"/>
        <w:tabs>
          <w:tab w:leader="none" w:pos="87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5" w:lineRule="exact"/>
        <w:rPr>
          <w:sz w:val="20"/>
          <w:szCs w:val="20"/>
          <w:color w:val="auto"/>
        </w:rPr>
      </w:pPr>
    </w:p>
    <w:tbl>
      <w:tblPr>
        <w:tblLayout w:type="fixed"/>
        <w:tblInd w:w="1700" w:type="dxa"/>
        <w:tblCellMar>
          <w:top w:w="0" w:type="dxa"/>
          <w:left w:w="0" w:type="dxa"/>
          <w:bottom w:w="0" w:type="dxa"/>
          <w:right w:w="0" w:type="dxa"/>
        </w:tblCellMar>
      </w:tblPr>
      <w:tr>
        <w:trPr>
          <w:trHeight w:val="205"/>
        </w:trPr>
        <w:tc>
          <w:tcPr>
            <w:tcW w:w="54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3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48"/>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shd w:val="clear" w:color="auto" w:fill="CFF0FC"/>
          </w:tcPr>
          <w:p>
            <w:pPr>
              <w:spacing w:after="0"/>
              <w:rPr>
                <w:sz w:val="21"/>
                <w:szCs w:val="21"/>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0"/>
                <w:szCs w:val="20"/>
                <w:color w:val="auto"/>
              </w:rPr>
            </w:pPr>
          </w:p>
        </w:tc>
      </w:tr>
    </w:tbl>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as of December 31, 2023 and 2022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1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1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26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2660" w:type="dxa"/>
            <w:vAlign w:val="bottom"/>
          </w:tcPr>
          <w:p>
            <w:pPr>
              <w:spacing w:after="0"/>
              <w:rPr>
                <w:sz w:val="20"/>
                <w:szCs w:val="20"/>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10.4 years</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 years</w:t>
            </w:r>
          </w:p>
        </w:tc>
        <w:tc>
          <w:tcPr>
            <w:tcW w:w="168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2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Financing lease</w:t>
            </w:r>
          </w:p>
        </w:tc>
        <w:tc>
          <w:tcPr>
            <w:tcW w:w="26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2.4 Years</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 Years</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8"/>
        </w:trPr>
        <w:tc>
          <w:tcPr>
            <w:tcW w:w="1700" w:type="dxa"/>
            <w:vAlign w:val="bottom"/>
          </w:tcPr>
          <w:p>
            <w:pPr>
              <w:spacing w:after="0"/>
              <w:rPr>
                <w:sz w:val="20"/>
                <w:szCs w:val="20"/>
                <w:color w:val="auto"/>
              </w:rPr>
            </w:pP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3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88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10.5 %</w:t>
            </w:r>
          </w:p>
        </w:tc>
      </w:tr>
      <w:tr>
        <w:trPr>
          <w:trHeight w:val="243"/>
        </w:trPr>
        <w:tc>
          <w:tcPr>
            <w:tcW w:w="1700" w:type="dxa"/>
            <w:vAlign w:val="bottom"/>
          </w:tcPr>
          <w:p>
            <w:pPr>
              <w:spacing w:after="0"/>
              <w:rPr>
                <w:sz w:val="21"/>
                <w:szCs w:val="21"/>
                <w:color w:val="auto"/>
              </w:rPr>
            </w:pP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w:t>
            </w:r>
          </w:p>
        </w:tc>
        <w:tc>
          <w:tcPr>
            <w:tcW w:w="3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88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8.5 %</w:t>
            </w:r>
          </w:p>
        </w:tc>
      </w:tr>
      <w:tr>
        <w:trPr>
          <w:trHeight w:val="797"/>
        </w:trPr>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960" w:type="dxa"/>
            <w:vAlign w:val="bottom"/>
            <w:gridSpan w:val="3"/>
          </w:tcPr>
          <w:p>
            <w:pPr>
              <w:jc w:val="right"/>
              <w:ind w:right="2560"/>
              <w:spacing w:after="0"/>
              <w:rPr>
                <w:sz w:val="20"/>
                <w:szCs w:val="20"/>
                <w:color w:val="auto"/>
              </w:rPr>
            </w:pPr>
            <w:r>
              <w:rPr>
                <w:rFonts w:ascii="Times New Roman" w:cs="Times New Roman" w:eastAsia="Times New Roman" w:hAnsi="Times New Roman"/>
                <w:sz w:val="18"/>
                <w:szCs w:val="18"/>
                <w:color w:val="auto"/>
              </w:rPr>
              <w:t>F-24</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-1302385</wp:posOffset>
            </wp:positionV>
            <wp:extent cx="4989195"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2" w:name="page153"/>
    <w:bookmarkEnd w:id="152"/>
    <w:p>
      <w:pPr>
        <w:ind w:left="520"/>
        <w:spacing w:after="0"/>
        <w:rPr>
          <w:sz w:val="20"/>
          <w:szCs w:val="20"/>
          <w:color w:val="auto"/>
        </w:rPr>
      </w:pPr>
      <w:r>
        <w:rPr>
          <w:rFonts w:ascii="Times New Roman" w:cs="Times New Roman" w:eastAsia="Times New Roman" w:hAnsi="Times New Roman"/>
          <w:sz w:val="18"/>
          <w:szCs w:val="18"/>
          <w:color w:val="auto"/>
        </w:rPr>
        <w:t>The undiscounted future lease payments for operating and finance leases as of December 31, 2023, were as follows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Financing</w:t>
            </w:r>
          </w:p>
        </w:tc>
      </w:tr>
      <w:tr>
        <w:trPr>
          <w:trHeight w:val="180"/>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43"/>
        </w:trPr>
        <w:tc>
          <w:tcPr>
            <w:tcW w:w="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7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shd w:val="clear" w:color="auto" w:fill="CFF0FC"/>
          </w:tcPr>
          <w:p>
            <w:pPr>
              <w:spacing w:after="0"/>
              <w:rPr>
                <w:sz w:val="21"/>
                <w:szCs w:val="21"/>
                <w:color w:val="auto"/>
              </w:rPr>
            </w:pPr>
          </w:p>
        </w:tc>
      </w:tr>
      <w:tr>
        <w:trPr>
          <w:trHeight w:val="23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20"/>
                <w:szCs w:val="20"/>
                <w:color w:val="auto"/>
              </w:rPr>
            </w:pPr>
          </w:p>
        </w:tc>
      </w:tr>
      <w:tr>
        <w:trPr>
          <w:trHeight w:val="247"/>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FF0FC"/>
          </w:tcPr>
          <w:p>
            <w:pPr>
              <w:spacing w:after="0"/>
              <w:rPr>
                <w:sz w:val="21"/>
                <w:szCs w:val="21"/>
                <w:color w:val="auto"/>
              </w:rPr>
            </w:pPr>
          </w:p>
        </w:tc>
      </w:tr>
      <w:tr>
        <w:trPr>
          <w:trHeight w:val="23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r>
      <w:tr>
        <w:trPr>
          <w:trHeight w:val="247"/>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130,441</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 or imputed interest</w:t>
            </w: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(48,345 )</w:t>
            </w: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77"/>
        </w:trPr>
        <w:tc>
          <w:tcPr>
            <w:tcW w:w="5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82,096</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3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undiscounted future lease payments in 2024 includes approximately $4.0 million of future reimbursements related to landlord funded tenant improvements in connection with the 2021 Lease.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 as of December 31, 2023 and 2022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5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0"/>
                <w:szCs w:val="20"/>
                <w:color w:val="auto"/>
              </w:rPr>
            </w:pPr>
          </w:p>
        </w:tc>
      </w:tr>
      <w:tr>
        <w:trPr>
          <w:trHeight w:val="23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Commitments and Contingencies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December 31, 2023, 2022 or 2021.</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Grant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has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As of December 31, 2023, there were an aggregate of 3,797,548 shares remaining available for future grants.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Employee Stock Purchase Plan (the “2020 ESPP”), which became effective August 20, 2020. The 2020 ESPP initially reserves and authorizes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lessor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December 31, 2023, there were an aggregate of 1,582,495 shares remaining available for future grants.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2020 Plan during the year ended December 31, 2023, is as follows (in thousands except share and per share data):</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Strike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6,757,289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2,597,265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(441,759 )</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(799,631 )</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8,113,164</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4,886,843</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during the years ended December 31, 2023, 2022 and 2021 was $9.1 million, $15.8 million and $67.6 million, respectively.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years ended December 31, 2023, 2022 and 2021 was $17.91, $20.18 and $29.95 per share,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total unrecognized stock-based compensation expense for unvested stock options was $55.2 million, which is expected to be recognized over 2.0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equity-based compensation expense for stock options for the years ended December 31, 2023, 2022 and 2021:</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r>
      <w:tr>
        <w:trPr>
          <w:trHeight w:val="23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18,525</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11,161</w:t>
            </w:r>
          </w:p>
        </w:tc>
        <w:tc>
          <w:tcPr>
            <w:tcW w:w="240" w:type="dxa"/>
            <w:vAlign w:val="bottom"/>
            <w:shd w:val="clear" w:color="auto" w:fill="CFF0FC"/>
          </w:tcPr>
          <w:p>
            <w:pPr>
              <w:spacing w:after="0"/>
              <w:rPr>
                <w:sz w:val="20"/>
                <w:szCs w:val="20"/>
                <w:color w:val="auto"/>
              </w:rPr>
            </w:pPr>
          </w:p>
        </w:tc>
      </w:tr>
      <w:tr>
        <w:trPr>
          <w:trHeight w:val="23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240" w:type="dxa"/>
            <w:vAlign w:val="bottom"/>
          </w:tcPr>
          <w:p>
            <w:pPr>
              <w:spacing w:after="0"/>
              <w:rPr>
                <w:sz w:val="20"/>
                <w:szCs w:val="20"/>
                <w:color w:val="auto"/>
              </w:rPr>
            </w:pPr>
          </w:p>
        </w:tc>
      </w:tr>
      <w:tr>
        <w:trPr>
          <w:trHeight w:val="237"/>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33,329</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2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in the Black-Scholes option pricing model to determine the grant date fair value of stock options granted to employees and non-employees for the years ended December 31, 2023, 2022 and 2021:</w:t>
      </w:r>
    </w:p>
    <w:p>
      <w:pPr>
        <w:spacing w:after="0" w:line="19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7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7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5.87</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5.86</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62 %</w:t>
            </w:r>
          </w:p>
        </w:tc>
        <w:tc>
          <w:tcPr>
            <w:tcW w:w="6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3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4.1 %</w:t>
            </w:r>
          </w:p>
        </w:tc>
        <w:tc>
          <w:tcPr>
            <w:tcW w:w="6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43"/>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6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shares of restricted stock units with service-based and performance-based vesting conditions. A summary of restricted stock activity during the year ended December 31, 2023, is as follows: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8"/>
        </w:trPr>
        <w:tc>
          <w:tcPr>
            <w:tcW w:w="536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7"/>
        </w:trPr>
        <w:tc>
          <w:tcPr>
            <w:tcW w:w="536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281,843</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404,844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(39,511 )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(54,036 )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Pr>
          <w:p>
            <w:pPr>
              <w:spacing w:after="0"/>
              <w:rPr>
                <w:sz w:val="20"/>
                <w:szCs w:val="20"/>
                <w:color w:val="auto"/>
              </w:rPr>
            </w:pPr>
          </w:p>
        </w:tc>
      </w:tr>
      <w:tr>
        <w:trPr>
          <w:trHeight w:val="237"/>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593,140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granted 404,844 , 295,892 , and 12,500 shares of restricted stock during the years ended December 31, 2023, December 31, 2022, and December 31 2021, respectively. The Company granted no shares of restricted stock to consultants for the year ended December 31, 2023, granted no shares of restricted stock to consultants for the year ended December 31, 2022 and granted 12,500 shares of restricted stock to consultants for the year ended December 31, 2021. All shares of restricted stock granted to consultants in 2023, 2022, and 2021 were fully vested as of December 31, 2023.</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total unrecognized stock-based compensation expense for unvested restricted stock was $11.2 million, which is expected to be recognized over 2.4 years.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stock-based compensation expense for restricted stock of $3.8 million, $1.4 million and $0.9 million, respectively. During the years ended December 31, 2023, 2022 and 2021, the Company recorded stock-based compensation expense related to restricted stock of $2.5 million, $1.1 million and $0.3 million, respectively, within research and development. During the years ended December 31, 2023, 2022 and 2021, the Company recorded stock-based compensation expense related to restricted stock of $1.3 million, $0.3 million, and $0.6 million, respectively, within general and administrative.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5" w:name="page156"/>
    <w:bookmarkEnd w:id="15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recorded as research and development and general and administrative expenses for employees, directors, and non-employees during the years ended December 31, 2023, 2022 and 2021 is as follows (in thousands):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r>
      <w:tr>
        <w:trPr>
          <w:trHeight w:val="237"/>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240" w:type="dxa"/>
            <w:vAlign w:val="bottom"/>
            <w:shd w:val="clear" w:color="auto" w:fill="CFF0FC"/>
          </w:tcPr>
          <w:p>
            <w:pPr>
              <w:spacing w:after="0"/>
              <w:rPr>
                <w:sz w:val="20"/>
                <w:szCs w:val="20"/>
                <w:color w:val="auto"/>
              </w:rPr>
            </w:pPr>
          </w:p>
        </w:tc>
      </w:tr>
      <w:tr>
        <w:trPr>
          <w:trHeight w:val="23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240" w:type="dxa"/>
            <w:vAlign w:val="bottom"/>
          </w:tcPr>
          <w:p>
            <w:pPr>
              <w:spacing w:after="0"/>
              <w:rPr>
                <w:sz w:val="20"/>
                <w:szCs w:val="20"/>
                <w:color w:val="auto"/>
              </w:rPr>
            </w:pPr>
          </w:p>
        </w:tc>
      </w:tr>
      <w:tr>
        <w:trPr>
          <w:trHeight w:val="236"/>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43,118</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35,480</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24,972</w:t>
            </w:r>
          </w:p>
        </w:tc>
        <w:tc>
          <w:tcPr>
            <w:tcW w:w="2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-8255</wp:posOffset>
            </wp:positionV>
            <wp:extent cx="603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03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-8255</wp:posOffset>
            </wp:positionV>
            <wp:extent cx="603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Related-Party Transactions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than the collaborations discussed in Note 5, the Company had no related party transactions for the periods presented in the accompanying consolidated financial statements, which have not otherwise been discussed in these notes to the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records income tax expense related to profits realized by its U.S. operating subsidiaries. For the years ended December 31, 2023, 2022 and 2021, immaterial income tax expense was recorded due the group’s net operating loss (“NOL”) and full valuation allowance.</w:t>
      </w:r>
    </w:p>
    <w:p>
      <w:pPr>
        <w:spacing w:after="0" w:line="162"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The rate reconciliation of the U.S. statutory income tax rate to the Company’s effective tax rate for the years ended December 31, 2023, 2022 and 2021 are as follows:</w:t>
      </w:r>
    </w:p>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5380" w:type="dxa"/>
            <w:vAlign w:val="bottom"/>
          </w:tcPr>
          <w:p>
            <w:pPr>
              <w:spacing w:after="0"/>
              <w:rPr>
                <w:sz w:val="17"/>
                <w:szCs w:val="17"/>
                <w:color w:val="auto"/>
              </w:rPr>
            </w:pP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7"/>
                <w:szCs w:val="17"/>
                <w:color w:val="auto"/>
              </w:rPr>
            </w:pPr>
          </w:p>
        </w:tc>
      </w:tr>
      <w:tr>
        <w:trPr>
          <w:trHeight w:val="237"/>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 at statutory rate</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21.0 %</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3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0"/>
                <w:szCs w:val="20"/>
                <w:color w:val="auto"/>
              </w:rPr>
            </w:pPr>
          </w:p>
        </w:tc>
      </w:tr>
      <w:tr>
        <w:trPr>
          <w:trHeight w:val="247"/>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FF0FC"/>
          </w:tcPr>
          <w:p>
            <w:pPr>
              <w:spacing w:after="0"/>
              <w:rPr>
                <w:sz w:val="21"/>
                <w:szCs w:val="21"/>
                <w:color w:val="auto"/>
              </w:rPr>
            </w:pPr>
          </w:p>
        </w:tc>
      </w:tr>
      <w:tr>
        <w:trPr>
          <w:trHeight w:val="23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20"/>
                <w:szCs w:val="20"/>
                <w:color w:val="auto"/>
              </w:rPr>
            </w:pPr>
          </w:p>
        </w:tc>
      </w:tr>
      <w:tr>
        <w:trPr>
          <w:trHeight w:val="247"/>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FF0FC"/>
          </w:tcPr>
          <w:p>
            <w:pPr>
              <w:spacing w:after="0"/>
              <w:rPr>
                <w:sz w:val="21"/>
                <w:szCs w:val="21"/>
                <w:color w:val="auto"/>
              </w:rPr>
            </w:pPr>
          </w:p>
        </w:tc>
      </w:tr>
      <w:tr>
        <w:trPr>
          <w:trHeight w:val="23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0"/>
                <w:szCs w:val="20"/>
                <w:color w:val="auto"/>
              </w:rPr>
            </w:pP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tcBorders>
              <w:bottom w:val="single" w:sz="8" w:color="CFF0FC"/>
            </w:tcBorders>
            <w:shd w:val="clear" w:color="auto" w:fill="CFF0FC"/>
          </w:tcPr>
          <w:p>
            <w:pPr>
              <w:spacing w:after="0"/>
              <w:rPr>
                <w:sz w:val="20"/>
                <w:szCs w:val="20"/>
                <w:color w:val="auto"/>
              </w:rPr>
            </w:pPr>
          </w:p>
        </w:tc>
      </w:tr>
      <w:tr>
        <w:trPr>
          <w:trHeight w:val="23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0.0 %</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5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-187960</wp:posOffset>
            </wp:positionV>
            <wp:extent cx="939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12001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-187960</wp:posOffset>
            </wp:positionV>
            <wp:extent cx="12001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312"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 of assets and liabilities for financial reporting purposes and the amounts used for income tax purposes. Significant components of the Company’s net deferred income taxes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Deferred Tax Assets:</w:t>
            </w:r>
          </w:p>
        </w:tc>
        <w:tc>
          <w:tcPr>
            <w:tcW w:w="1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1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32,320</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2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2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Accruals and reserves, stock and other</w:t>
            </w:r>
          </w:p>
        </w:tc>
        <w:tc>
          <w:tcPr>
            <w:tcW w:w="1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184,103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125,847</w:t>
            </w:r>
          </w:p>
        </w:tc>
        <w:tc>
          <w:tcPr>
            <w:tcW w:w="2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(162,375 )</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(120,096 )</w:t>
            </w:r>
          </w:p>
        </w:tc>
        <w:tc>
          <w:tcPr>
            <w:tcW w:w="168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7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2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Fixed and intangible assets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(1,884 )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(2,187 )</w:t>
            </w: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(19,844 )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(3,564 )</w:t>
            </w: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7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25"/>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6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F-28</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-1028065</wp:posOffset>
            </wp:positionV>
            <wp:extent cx="514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-1028065</wp:posOffset>
            </wp:positionV>
            <wp:extent cx="431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had no income tax expense due to operating losses incurred since inception. ASC 740 requires a valuation allowance to reduce the deferred tax assets reported if, based on the weight of the evidence, it is more-likely-than-not that some portion or all the deferred tax assets will not be realized. The Company has evaluated the positive and negative evidence bearing upon the realizability of its deferred tax assets. Based on this, the Company has provided a valuation allowance for the full amount of the net deferred tax assets as the realization of the deferred tax assets is not determined to be more likely than not. During 2023, the valuation allowance increased by $42 million primarily due to the increase in the Company's book loss reported in the period and the generation of additional research and development credits.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Beginning in 2022, Tax Cuts and Jobs Act (TCJA) amended Section 174 and now requires U.S.-based and non-U.S-based research and experimental (R&amp;E) expenditures to be capitalized and amortized over a period of five or 15 years, respectively, for amounts paid in tax years starting after December 31, 2021. Prior to the TCJA amendment, Section 174 allowed taxpayers to immediately deduct R&amp;E expenditures in the year paid or incurred. The Company has applied this required change in accounting method beginning in 2022 and the computation may be adjusted pending future IRS guidance.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approximately $160.5 million and $161.3 million of Federal &amp; State operating loss carryforwards respectively. Of the Federal net operating loss carryovers, $151 million are not subject to expiration and the remaining Federal and state NOLs begin to expire in 2036. These loss carryforwards are available to reduce future federal taxable income, if any.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also has federal and state research and development credit carryforwards and orphan drug credit carryforwards of approximately $19.5 million and $8.1 million respectively, which can be used to offset future income taxes. These credits will begin to expire beginning in December 2031. These loss carryforwards are subject to review and possible adjustment by the appropriate taxing authorities. The amount of loss carryforwards that may be utilized in any future period may be limited based upon changes in the ownership of the company's ultimate parent.</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follows the provisions of ASC 740-10, Accounting for Uncertainty in Income Taxes, which specifies how tax benefits for uncertain tax positions are to be recognized, measured, and recorded in financial statements; requires certain disclosures of uncertain tax matters; specifies how reserves for uncertain tax positions should be classified on the balance sheet; and provides transition and interim period guidance, among other provisions. As of December 31, 2023, and 2022, the Company has not recorded tax reserves associated with any unrecognized tax benefits. The Company’s policy is to recognize interest and penalties accrued on any uncertain tax positions as a component of income tax expense, if any, in its statements of income. As of December 31, 2023, and 2022, the Company had no reserves for uncertain tax positions. For the years ended December 31, 2023 and 2022, no estimated interest or penalties were recognized on uncertain tax positions.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federal and Massachusetts income tax returns for the years ended December 31, 2020 to December 31, 2023 remain open and are subject to examination by the Internal Revenue Service and state taxing authorities. In addition, the Company’s tax carryover attributes such as net operating losses or credits from earlier period are also subject to examination.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shares outstanding for the period, including the pre-funded warrants given their nominal exercise price (in thousands, except for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(146,962 )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(154,808 )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(100,217 )</w:t>
            </w: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58,365,499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53,933,229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47,989,023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1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90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(2.87 )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525"/>
        </w:trPr>
        <w:tc>
          <w:tcPr>
            <w:tcW w:w="4640" w:type="dxa"/>
            <w:vAlign w:val="bottom"/>
            <w:tcBorders>
              <w:top w:val="single" w:sz="8" w:color="CFF0FC"/>
            </w:tcBorders>
          </w:tcPr>
          <w:p>
            <w:pPr>
              <w:spacing w:after="0"/>
              <w:rPr>
                <w:sz w:val="24"/>
                <w:szCs w:val="24"/>
                <w:color w:val="auto"/>
              </w:rPr>
            </w:pPr>
          </w:p>
        </w:tc>
        <w:tc>
          <w:tcPr>
            <w:tcW w:w="1900" w:type="dxa"/>
            <w:vAlign w:val="bottom"/>
            <w:tcBorders>
              <w:top w:val="single" w:sz="8" w:color="CFF0FC"/>
            </w:tcBorders>
          </w:tcPr>
          <w:p>
            <w:pPr>
              <w:ind w:left="820"/>
              <w:spacing w:after="0"/>
              <w:rPr>
                <w:sz w:val="20"/>
                <w:szCs w:val="20"/>
                <w:color w:val="auto"/>
              </w:rPr>
            </w:pPr>
            <w:r>
              <w:rPr>
                <w:rFonts w:ascii="Times New Roman" w:cs="Times New Roman" w:eastAsia="Times New Roman" w:hAnsi="Times New Roman"/>
                <w:sz w:val="18"/>
                <w:szCs w:val="18"/>
                <w:color w:val="auto"/>
              </w:rPr>
              <w:t>F-29</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-864870</wp:posOffset>
            </wp:positionV>
            <wp:extent cx="768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-847725</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-864870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-847725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-864870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-847725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7" w:name="page158"/>
    <w:bookmarkEnd w:id="15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December 31, 2023, 2022 and 2021 because including them would have had an anti-dilutive effect: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3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r>
      <w:tr>
        <w:trPr>
          <w:trHeight w:val="23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593,140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281,843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37,745</w:t>
            </w:r>
          </w:p>
        </w:tc>
        <w:tc>
          <w:tcPr>
            <w:tcW w:w="260" w:type="dxa"/>
            <w:vAlign w:val="bottom"/>
            <w:shd w:val="clear" w:color="auto" w:fill="CFF0FC"/>
          </w:tcPr>
          <w:p>
            <w:pPr>
              <w:spacing w:after="0"/>
              <w:rPr>
                <w:sz w:val="20"/>
                <w:szCs w:val="20"/>
                <w:color w:val="auto"/>
              </w:rPr>
            </w:pP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8,113,164</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6,757,289</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6,239,182</w:t>
            </w:r>
          </w:p>
        </w:tc>
        <w:tc>
          <w:tcPr>
            <w:tcW w:w="260" w:type="dxa"/>
            <w:vAlign w:val="bottom"/>
          </w:tcPr>
          <w:p>
            <w:pPr>
              <w:spacing w:after="0"/>
              <w:rPr>
                <w:sz w:val="20"/>
                <w:szCs w:val="20"/>
                <w:color w:val="auto"/>
              </w:rPr>
            </w:pPr>
          </w:p>
        </w:tc>
      </w:tr>
      <w:tr>
        <w:trPr>
          <w:trHeight w:val="237"/>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8,706,304</w:t>
            </w:r>
          </w:p>
        </w:tc>
        <w:tc>
          <w:tcPr>
            <w:tcW w:w="2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7,039,132</w:t>
            </w:r>
          </w:p>
        </w:tc>
        <w:tc>
          <w:tcPr>
            <w:tcW w:w="2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6,276,927</w:t>
            </w:r>
          </w:p>
        </w:tc>
        <w:tc>
          <w:tcPr>
            <w:tcW w:w="2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-7620</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9, 2024, the Company completed a follow-on offering of its common stock and, in lieu of common stock to certain investors, pre-funded warrants to purchase shares of its common stock. The Company issued and sold 3,884,158 shares of common stock, including full exercise of the underwriters’ over-allotment option to purchase an additional 1,633,663 shares, at a public offering price of $25.25 per share. Additionally, in lieu of common stock to certain investors, the Company issued and sold pre-funded warrants to purchase 8,640,594 shares of its common stock at a public offering price of $25.2499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$316.2 million.</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February 7, 2024, pursuant to its sales agreement with Cowen and Company, LLC, the Company completed the sale of 1,519,453 common shares to an institutional investor at an offering price of $32.90 resulting in net proceeds of approximately $48.7 million.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December 31, 2023, the end of the period covered by this Annual Report on Form 10-K. Based upon such evaluation, our chief executive officer and chief financial officer have concluded that our disclosure controls and procedures were effective at the reasonable assurance level as of such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102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2023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2023.</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of our internal control over financial reporting. This report appears below.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9" w:name="page160"/>
    <w:bookmarkEnd w:id="159"/>
    <w:p>
      <w:pPr>
        <w:ind w:left="3480"/>
        <w:spacing w:after="0"/>
        <w:rPr>
          <w:sz w:val="20"/>
          <w:szCs w:val="20"/>
          <w:color w:val="auto"/>
        </w:rPr>
      </w:pPr>
      <w:r>
        <w:rPr>
          <w:rFonts w:ascii="Times New Roman" w:cs="Times New Roman" w:eastAsia="Times New Roman" w:hAnsi="Times New Roman"/>
          <w:sz w:val="17"/>
          <w:szCs w:val="17"/>
          <w:b w:val="1"/>
          <w:bCs w:val="1"/>
          <w:color w:val="auto"/>
        </w:rPr>
        <w:t xml:space="preserve">Report of </w:t>
      </w:r>
      <w:r>
        <w:rPr>
          <w:rFonts w:ascii="Times New Roman" w:cs="Times New Roman" w:eastAsia="Times New Roman" w:hAnsi="Times New Roman"/>
          <w:sz w:val="17"/>
          <w:szCs w:val="17"/>
          <w:b w:val="1"/>
          <w:bCs w:val="1"/>
          <w:color w:val="333333"/>
        </w:rPr>
        <w:t>Independent Registered Public Accounting Firm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Kymera Therapeutics,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audited Kymera Therapeutics, Inc. internal control over financial reporting as of December 31, 2023, based on criteria established in Internal Control—Integrated Framework issued by the Committee of Sponsoring Organizations of the Treadway Commission (2013 framework) (the COSO criteria). In our opinion, Kymera Therapeutics, Inc (the Company) maintained, in all material respects, effective internal control over financial reporting as of December 31, 2023, based on the COSO criteria.</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and comprehensive loss, stockholders’ equity and cash flows for each of the three years in the period ended December 31, 2023, and the related notes and our report dated February 22, 2024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twelve months ended December 31, 2023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Securities Exchange Act of 1934, as amended) or director who entered into, modified or terminated a Rule 10b5-1 trading arrangement or non-Rule 10b5-1 trading arrangement (as such terms are defined in Item 408 of Regulation S-K) during the three months ended December 31, 2023:</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900" w:type="dxa"/>
            <w:vAlign w:val="bottom"/>
            <w:tcBorders>
              <w:top w:val="single" w:sz="8" w:color="auto"/>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Action Taken (Date</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 or End</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2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Description of Trading</w:t>
            </w:r>
          </w:p>
        </w:tc>
      </w:tr>
      <w:tr>
        <w:trPr>
          <w:trHeight w:val="238"/>
        </w:trPr>
        <w:tc>
          <w:tcPr>
            <w:tcW w:w="1900" w:type="dxa"/>
            <w:vAlign w:val="bottom"/>
            <w:tcBorders>
              <w:left w:val="single" w:sz="8" w:color="auto"/>
              <w:right w:val="single" w:sz="8" w:color="auto"/>
            </w:tcBorders>
          </w:tcPr>
          <w:p>
            <w:pPr>
              <w:spacing w:after="0"/>
              <w:rPr>
                <w:sz w:val="20"/>
                <w:szCs w:val="20"/>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Action)</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Sold</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r>
      <w:tr>
        <w:trPr>
          <w:trHeight w:val="64"/>
        </w:trPr>
        <w:tc>
          <w:tcPr>
            <w:tcW w:w="1900" w:type="dxa"/>
            <w:vAlign w:val="bottom"/>
            <w:tcBorders>
              <w:left w:val="single" w:sz="8" w:color="auto"/>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r>
      <w:tr>
        <w:trPr>
          <w:trHeight w:val="152"/>
        </w:trPr>
        <w:tc>
          <w:tcPr>
            <w:tcW w:w="1900" w:type="dxa"/>
            <w:vAlign w:val="bottom"/>
            <w:tcBorders>
              <w:left w:val="single" w:sz="8" w:color="auto"/>
              <w:right w:val="single" w:sz="8" w:color="auto"/>
            </w:tcBorders>
          </w:tcPr>
          <w:p>
            <w:pPr>
              <w:ind w:left="40"/>
              <w:spacing w:after="0" w:line="153" w:lineRule="exact"/>
              <w:rPr>
                <w:sz w:val="20"/>
                <w:szCs w:val="20"/>
                <w:color w:val="auto"/>
              </w:rPr>
            </w:pPr>
            <w:r>
              <w:rPr>
                <w:rFonts w:ascii="Times New Roman" w:cs="Times New Roman" w:eastAsia="Times New Roman" w:hAnsi="Times New Roman"/>
                <w:sz w:val="17"/>
                <w:szCs w:val="17"/>
                <w:color w:val="auto"/>
              </w:rPr>
              <w:t>Nello Mainolfi</w:t>
            </w:r>
          </w:p>
        </w:tc>
        <w:tc>
          <w:tcPr>
            <w:tcW w:w="18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color w:val="auto"/>
              </w:rPr>
              <w:t>Trading plan intended to</w:t>
            </w:r>
          </w:p>
        </w:tc>
        <w:tc>
          <w:tcPr>
            <w:tcW w:w="17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color w:val="auto"/>
              </w:rPr>
              <w:t>Termination</w:t>
            </w:r>
          </w:p>
        </w:tc>
        <w:tc>
          <w:tcPr>
            <w:tcW w:w="134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color w:val="auto"/>
              </w:rPr>
              <w:t>N/A</w:t>
            </w:r>
          </w:p>
        </w:tc>
        <w:tc>
          <w:tcPr>
            <w:tcW w:w="214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color w:val="auto"/>
              </w:rPr>
              <w:t>N/A</w:t>
            </w:r>
          </w:p>
        </w:tc>
        <w:tc>
          <w:tcPr>
            <w:tcW w:w="23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color w:val="auto"/>
              </w:rPr>
              <w:t>Termination of previously</w:t>
            </w:r>
          </w:p>
        </w:tc>
      </w:tr>
      <w:tr>
        <w:trPr>
          <w:trHeight w:val="216"/>
        </w:trPr>
        <w:tc>
          <w:tcPr>
            <w:tcW w:w="1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Founder, President,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satisfy the affirmative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(December 20, 2023)</w:t>
            </w:r>
          </w:p>
        </w:tc>
        <w:tc>
          <w:tcPr>
            <w:tcW w:w="13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adopted trading plan</w:t>
            </w:r>
          </w:p>
        </w:tc>
      </w:tr>
      <w:tr>
        <w:trPr>
          <w:trHeight w:val="218"/>
        </w:trPr>
        <w:tc>
          <w:tcPr>
            <w:tcW w:w="1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defense conditions of</w:t>
            </w:r>
          </w:p>
        </w:tc>
        <w:tc>
          <w:tcPr>
            <w:tcW w:w="17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Exchange Act</w:t>
            </w:r>
          </w:p>
        </w:tc>
        <w:tc>
          <w:tcPr>
            <w:tcW w:w="17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r>
      <w:tr>
        <w:trPr>
          <w:trHeight w:val="241"/>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10b5- 1(c)</w:t>
            </w:r>
          </w:p>
        </w:tc>
        <w:tc>
          <w:tcPr>
            <w:tcW w:w="17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r>
        <w:trPr>
          <w:trHeight w:val="196"/>
        </w:trPr>
        <w:tc>
          <w:tcPr>
            <w:tcW w:w="1900" w:type="dxa"/>
            <w:vAlign w:val="bottom"/>
            <w:tcBorders>
              <w:left w:val="single" w:sz="8" w:color="auto"/>
              <w:right w:val="single" w:sz="8" w:color="auto"/>
            </w:tcBorders>
          </w:tcPr>
          <w:p>
            <w:pPr>
              <w:ind w:left="40"/>
              <w:spacing w:after="0" w:line="195" w:lineRule="exact"/>
              <w:rPr>
                <w:sz w:val="20"/>
                <w:szCs w:val="20"/>
                <w:color w:val="auto"/>
              </w:rPr>
            </w:pPr>
            <w:r>
              <w:rPr>
                <w:rFonts w:ascii="Times New Roman" w:cs="Times New Roman" w:eastAsia="Times New Roman" w:hAnsi="Times New Roman"/>
                <w:sz w:val="18"/>
                <w:szCs w:val="18"/>
                <w:color w:val="auto"/>
              </w:rPr>
              <w:t>Bruce Jacobs</w:t>
            </w:r>
          </w:p>
        </w:tc>
        <w:tc>
          <w:tcPr>
            <w:tcW w:w="186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Trading plan intended to</w:t>
            </w:r>
          </w:p>
        </w:tc>
        <w:tc>
          <w:tcPr>
            <w:tcW w:w="17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Termination</w:t>
            </w:r>
          </w:p>
        </w:tc>
        <w:tc>
          <w:tcPr>
            <w:tcW w:w="13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N/A</w:t>
            </w:r>
          </w:p>
        </w:tc>
        <w:tc>
          <w:tcPr>
            <w:tcW w:w="214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N/A</w:t>
            </w:r>
          </w:p>
        </w:tc>
        <w:tc>
          <w:tcPr>
            <w:tcW w:w="23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Termination of previously</w:t>
            </w:r>
          </w:p>
        </w:tc>
      </w:tr>
      <w:tr>
        <w:trPr>
          <w:trHeight w:val="218"/>
        </w:trPr>
        <w:tc>
          <w:tcPr>
            <w:tcW w:w="1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satisfy the affirmative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(December 22, 2023)</w:t>
            </w:r>
          </w:p>
        </w:tc>
        <w:tc>
          <w:tcPr>
            <w:tcW w:w="13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adopted trading plan</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defense conditions of</w:t>
            </w:r>
          </w:p>
        </w:tc>
        <w:tc>
          <w:tcPr>
            <w:tcW w:w="17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Exchange Act</w:t>
            </w:r>
          </w:p>
        </w:tc>
        <w:tc>
          <w:tcPr>
            <w:tcW w:w="17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r>
      <w:tr>
        <w:trPr>
          <w:trHeight w:val="241"/>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10b5- 1(c)</w:t>
            </w:r>
          </w:p>
        </w:tc>
        <w:tc>
          <w:tcPr>
            <w:tcW w:w="17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(excluding the information under the heading “Pay Versus Performance”)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2024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2024 Annual Meeting of Stockholders and is incorporated herein by reference.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a list of the consolidated financial statements included herein, see Index to the Consolidated Financial Statements on page F-1 of this Annual Report on Form 10-K, which is incorporated into this Item by reference.</w:t>
      </w:r>
    </w:p>
    <w:p>
      <w:pPr>
        <w:spacing w:after="0" w:line="268"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gridSpan w:val="2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60" w:type="dxa"/>
            <w:vAlign w:val="bottom"/>
            <w:tcBorders>
              <w:bottom w:val="single" w:sz="8" w:color="auto"/>
            </w:tcBorders>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Fourth Amended and Restated Certificate of Incorporation of Kymera Therapeutics, Inc. (Incorporated by reference to Exhibit 3.1 to the</w:t>
              </w:r>
            </w:hyperlink>
          </w:p>
        </w:tc>
        <w:tc>
          <w:tcPr>
            <w:tcW w:w="2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Registrant’s Current Report on Form 8-K (File No, 001-39460) filed with the Securities and Exchange Commission on August 25,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408">
              <w:r>
                <w:rPr>
                  <w:rFonts w:ascii="Times New Roman" w:cs="Times New Roman" w:eastAsia="Times New Roman" w:hAnsi="Times New Roman"/>
                  <w:sz w:val="18"/>
                  <w:szCs w:val="18"/>
                  <w:color w:val="0000FF"/>
                  <w:w w:val="99"/>
                </w:rPr>
                <w:t>Second Amended and Restated Bylaws of Kymera Therapeutics, Inc. (Incorporated by reference to Exhibit 3.2 to the Registrant’s Current</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408">
              <w:r>
                <w:rPr>
                  <w:rFonts w:ascii="Times New Roman" w:cs="Times New Roman" w:eastAsia="Times New Roman" w:hAnsi="Times New Roman"/>
                  <w:sz w:val="18"/>
                  <w:szCs w:val="18"/>
                  <w:color w:val="0000FF"/>
                  <w:w w:val="99"/>
                </w:rPr>
                <w:t>Report on Form 8-K (File No. 001-39460) filed with the Securities and Exchange Commission on August 25, 2020).</w:t>
              </w:r>
            </w:hyperlink>
          </w:p>
        </w:tc>
        <w:tc>
          <w:tcPr>
            <w:tcW w:w="20" w:type="dxa"/>
            <w:vAlign w:val="bottom"/>
            <w:tcBorders>
              <w:bottom w:val="single" w:sz="8" w:color="0000EE"/>
            </w:tcBorders>
          </w:tcPr>
          <w:p>
            <w:pPr>
              <w:spacing w:after="0"/>
              <w:rPr>
                <w:sz w:val="17"/>
                <w:szCs w:val="17"/>
                <w:color w:val="auto"/>
              </w:rPr>
            </w:pPr>
          </w:p>
        </w:tc>
        <w:tc>
          <w:tcPr>
            <w:tcW w:w="17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09">
              <w:r>
                <w:rPr>
                  <w:rFonts w:ascii="Times New Roman" w:cs="Times New Roman" w:eastAsia="Times New Roman" w:hAnsi="Times New Roman"/>
                  <w:sz w:val="18"/>
                  <w:szCs w:val="18"/>
                  <w:color w:val="0000FF"/>
                  <w:w w:val="99"/>
                </w:rPr>
                <w:t>Specimen Common Stock Certificate (Incorporated by reference to Exhibit 4.1 to the Registrant’s Registration Statement on Form S-1/A</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(File No. 333-240264) filed with the Securities and Exchange Commission on August 17,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Second Amended and Restated Investors’ Rights Agreement among the Registrant and certain of its stockholders, effective as of March 11,</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2020 (Incorporated by reference to Exhibit 4.2 to the Registrant’s Registration Statement on Form S-1 (File No. 333-240264) filed with the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Securities and Exchange Commission on July 31,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Description of Securities (Incorporated by reference to Exhibit 4.3 to the Registrant’s Annual Report on Form 10-K (File No. 001-39460)</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filed with the Securities and Exchange Commission on March 11, 2021).</w:t>
              </w:r>
            </w:hyperlink>
          </w:p>
        </w:tc>
        <w:tc>
          <w:tcPr>
            <w:tcW w:w="20" w:type="dxa"/>
            <w:vAlign w:val="bottom"/>
            <w:tcBorders>
              <w:bottom w:val="single" w:sz="8" w:color="0000EE"/>
            </w:tcBorders>
          </w:tcPr>
          <w:p>
            <w:pPr>
              <w:spacing w:after="0"/>
              <w:rPr>
                <w:sz w:val="17"/>
                <w:szCs w:val="17"/>
                <w:color w:val="auto"/>
              </w:rPr>
            </w:pPr>
          </w:p>
        </w:tc>
        <w:tc>
          <w:tcPr>
            <w:tcW w:w="48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4.4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412">
              <w:r>
                <w:rPr>
                  <w:rFonts w:ascii="Times New Roman" w:cs="Times New Roman" w:eastAsia="Times New Roman" w:hAnsi="Times New Roman"/>
                  <w:sz w:val="18"/>
                  <w:szCs w:val="18"/>
                  <w:color w:val="0000FF"/>
                  <w:w w:val="99"/>
                </w:rPr>
                <w:t>Form of Pre-Funded Warrant (Incorporated by reference to Exhibit 4.1 to the Registrant’s Current Report on Form 8-K (File No. 001-</w:t>
              </w:r>
            </w:hyperlink>
          </w:p>
        </w:tc>
        <w:tc>
          <w:tcPr>
            <w:tcW w:w="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39460) filed with the Securities and Exchange Commission on August 19, 2022).</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4.5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Form of Pre-Funded Warrant (Incorporated by reference to Exhibit 4.1 to the Registrant’s Current Report on Form 8-K filed with the</w:t>
              </w:r>
            </w:hyperlink>
          </w:p>
        </w:tc>
        <w:tc>
          <w:tcPr>
            <w:tcW w:w="5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Securities and Exchange Commission on January 5, 2024).</w:t>
              </w:r>
            </w:hyperlink>
          </w:p>
        </w:tc>
        <w:tc>
          <w:tcPr>
            <w:tcW w:w="20" w:type="dxa"/>
            <w:vAlign w:val="bottom"/>
            <w:tcBorders>
              <w:bottom w:val="single" w:sz="8" w:color="0000EE"/>
            </w:tcBorders>
          </w:tcPr>
          <w:p>
            <w:pPr>
              <w:spacing w:after="0"/>
              <w:rPr>
                <w:sz w:val="17"/>
                <w:szCs w:val="17"/>
                <w:color w:val="auto"/>
              </w:rPr>
            </w:pPr>
          </w:p>
        </w:tc>
        <w:tc>
          <w:tcPr>
            <w:tcW w:w="58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2018 Stock Option and Grant Plan, and form of award agreements thereunder (Incorporated by reference to Exhibit 10.1 to the Registrant’s</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Registration Statement on Form S-1 (File No. 333-240264) filed with the Securities and Exchange Commission on July 31, 2020).</w:t>
              </w:r>
            </w:hyperlink>
          </w:p>
        </w:tc>
        <w:tc>
          <w:tcPr>
            <w:tcW w:w="0" w:type="dxa"/>
            <w:vAlign w:val="bottom"/>
          </w:tcPr>
          <w:p>
            <w:pPr>
              <w:spacing w:after="0"/>
              <w:rPr>
                <w:sz w:val="1"/>
                <w:szCs w:val="1"/>
                <w:color w:val="auto"/>
              </w:rPr>
            </w:pPr>
          </w:p>
        </w:tc>
      </w:tr>
      <w:tr>
        <w:trPr>
          <w:trHeight w:val="304"/>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10.2#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top w:val="single" w:sz="8" w:color="0000FF"/>
              <w:bottom w:val="single" w:sz="8" w:color="0000FF"/>
            </w:tcBorders>
            <w:gridSpan w:val="18"/>
          </w:tcPr>
          <w:p>
            <w:pPr>
              <w:spacing w:after="0"/>
              <w:rPr>
                <w:rFonts w:ascii="Times New Roman" w:cs="Times New Roman" w:eastAsia="Times New Roman" w:hAnsi="Times New Roman"/>
                <w:sz w:val="18"/>
                <w:szCs w:val="18"/>
                <w:color w:val="0000FF"/>
                <w:w w:val="99"/>
              </w:rPr>
            </w:pPr>
            <w:hyperlink r:id="rId415">
              <w:r>
                <w:rPr>
                  <w:rFonts w:ascii="Times New Roman" w:cs="Times New Roman" w:eastAsia="Times New Roman" w:hAnsi="Times New Roman"/>
                  <w:sz w:val="18"/>
                  <w:szCs w:val="18"/>
                  <w:color w:val="0000FF"/>
                  <w:w w:val="99"/>
                </w:rPr>
                <w:t>2020 Stock Option and Incentive Plan, and form of award agreements thereunder (Incorporated by reference to Exhibit 10.2 to the</w:t>
              </w:r>
            </w:hyperlink>
          </w:p>
        </w:tc>
        <w:tc>
          <w:tcPr>
            <w:tcW w:w="40" w:type="dxa"/>
            <w:vAlign w:val="bottom"/>
            <w:tcBorders>
              <w:bottom w:val="single" w:sz="8" w:color="0000FF"/>
            </w:tcBorders>
          </w:tcPr>
          <w:p>
            <w:pPr>
              <w:spacing w:after="0"/>
              <w:rPr>
                <w:sz w:val="24"/>
                <w:szCs w:val="24"/>
                <w:color w:val="auto"/>
              </w:rPr>
            </w:pPr>
          </w:p>
        </w:tc>
        <w:tc>
          <w:tcPr>
            <w:tcW w:w="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Registrant’s Registration Statement on Form S-1/A (File No. 333-240264) filed with the Securities and Exchange Commission on August</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660" w:type="dxa"/>
            <w:vAlign w:val="bottom"/>
            <w:gridSpan w:val="5"/>
          </w:tcPr>
          <w:p>
            <w:pPr>
              <w:ind w:left="180"/>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17, 2020).</w:t>
              </w:r>
            </w:hyperlink>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10.3#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Amended and Restated Non-Employee Director Compensation Policy dated January 17, 2022.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20" w:type="dxa"/>
            <w:vAlign w:val="bottom"/>
            <w:tcBorders>
              <w:right w:val="single" w:sz="8" w:color="0000EE"/>
            </w:tcBorders>
            <w:gridSpan w:val="7"/>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Senior Executive Cash Incentive Bonus Plan (Incorporated by reference to Exhibit 10.4 to the Registrant’s Registration Statement on Form</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S-1/A (File No. 333-240264) filed with the Securities and Exchange Commission on August 13, 2020).</w:t>
              </w:r>
            </w:hyperlink>
          </w:p>
        </w:tc>
        <w:tc>
          <w:tcPr>
            <w:tcW w:w="26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10.5#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417">
              <w:r>
                <w:rPr>
                  <w:rFonts w:ascii="Times New Roman" w:cs="Times New Roman" w:eastAsia="Times New Roman" w:hAnsi="Times New Roman"/>
                  <w:sz w:val="18"/>
                  <w:szCs w:val="18"/>
                  <w:color w:val="0000FF"/>
                  <w:w w:val="99"/>
                </w:rPr>
                <w:t>Amended and Restated 2020 Employee Stock Purchase Plan (Incorporated by reference to Exhibit 10.1 to the Registrant’s Quarterly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417">
              <w:r>
                <w:rPr>
                  <w:rFonts w:ascii="Times New Roman" w:cs="Times New Roman" w:eastAsia="Times New Roman" w:hAnsi="Times New Roman"/>
                  <w:sz w:val="18"/>
                  <w:szCs w:val="18"/>
                  <w:color w:val="0000FF"/>
                  <w:w w:val="99"/>
                </w:rPr>
                <w:t>on Form 10-Q (File No. 001-39460) filed with the Securities and Exchange Commission on November 5, 2020).</w:t>
              </w:r>
            </w:hyperlink>
          </w:p>
        </w:tc>
        <w:tc>
          <w:tcPr>
            <w:tcW w:w="20" w:type="dxa"/>
            <w:vAlign w:val="bottom"/>
            <w:tcBorders>
              <w:bottom w:val="single" w:sz="8" w:color="0000EE"/>
            </w:tcBorders>
          </w:tcPr>
          <w:p>
            <w:pPr>
              <w:spacing w:after="0"/>
              <w:rPr>
                <w:sz w:val="17"/>
                <w:szCs w:val="17"/>
                <w:color w:val="auto"/>
              </w:rPr>
            </w:pPr>
          </w:p>
        </w:tc>
        <w:tc>
          <w:tcPr>
            <w:tcW w:w="20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18">
              <w:r>
                <w:rPr>
                  <w:rFonts w:ascii="Times New Roman" w:cs="Times New Roman" w:eastAsia="Times New Roman" w:hAnsi="Times New Roman"/>
                  <w:sz w:val="18"/>
                  <w:szCs w:val="18"/>
                  <w:color w:val="0000FF"/>
                  <w:w w:val="99"/>
                </w:rPr>
                <w:t>Form of Indemnification Agreement between the Registrant and each of its directors and executive officers (Incorporated by reference to</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Exhibit 10.6 to the Registrant’s Registration Statement on Form S-1/A (File No. 333-240264) filed with the Securities and Exchange</w:t>
              </w:r>
            </w:hyperlink>
          </w:p>
        </w:tc>
        <w:tc>
          <w:tcPr>
            <w:tcW w:w="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18">
              <w:r>
                <w:rPr>
                  <w:rFonts w:ascii="Times New Roman" w:cs="Times New Roman" w:eastAsia="Times New Roman" w:hAnsi="Times New Roman"/>
                  <w:sz w:val="18"/>
                  <w:szCs w:val="18"/>
                  <w:color w:val="0000FF"/>
                  <w:w w:val="99"/>
                </w:rPr>
                <w:t>Commission on August 17, 2020).</w:t>
              </w:r>
            </w:hyperlink>
          </w:p>
        </w:tc>
        <w:tc>
          <w:tcPr>
            <w:tcW w:w="20" w:type="dxa"/>
            <w:vAlign w:val="bottom"/>
            <w:tcBorders>
              <w:bottom w:val="single" w:sz="8" w:color="0000EE"/>
            </w:tcBorders>
          </w:tcPr>
          <w:p>
            <w:pPr>
              <w:spacing w:after="0"/>
              <w:rPr>
                <w:sz w:val="17"/>
                <w:szCs w:val="17"/>
                <w:color w:val="auto"/>
              </w:rPr>
            </w:pPr>
          </w:p>
        </w:tc>
        <w:tc>
          <w:tcPr>
            <w:tcW w:w="76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Lease between the Registrant and Arsenal Yards Holding LLC, dated as of August 15, 2019 (Incorporated by reference to Exhibit 10.8 to</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419">
              <w:r>
                <w:rPr>
                  <w:rFonts w:ascii="Times New Roman" w:cs="Times New Roman" w:eastAsia="Times New Roman" w:hAnsi="Times New Roman"/>
                  <w:sz w:val="18"/>
                  <w:szCs w:val="18"/>
                  <w:color w:val="0000FF"/>
                  <w:w w:val="99"/>
                </w:rPr>
                <w:t>the Registrant’s Registration Statement on Form S-1 (File No. 333-240264) filed with the Securities and Exchange Commission on July 31,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900" w:type="dxa"/>
            <w:vAlign w:val="bottom"/>
            <w:gridSpan w:val="4"/>
          </w:tcPr>
          <w:p>
            <w:pPr>
              <w:ind w:left="180"/>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2020).</w:t>
              </w:r>
            </w:hyperlink>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780" w:type="dxa"/>
            <w:vAlign w:val="bottom"/>
            <w:gridSpan w:val="7"/>
          </w:tcPr>
          <w:p>
            <w:pPr>
              <w:jc w:val="right"/>
              <w:ind w:right="528"/>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3" w:name="page164"/>
    <w:bookmarkEnd w:id="163"/>
    <w:tbl>
      <w:tblPr>
        <w:tblLayout w:type="fixed"/>
        <w:tblInd w:w="2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w:t>
            </w:r>
          </w:p>
        </w:tc>
        <w:tc>
          <w:tcPr>
            <w:tcW w:w="95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Form of Amended and Restated Employment Agreement (Incorporated by reference to Exhibit 10.9 to the Registrant’s Registration</w:t>
              </w:r>
            </w:hyperlink>
          </w:p>
        </w:tc>
        <w:tc>
          <w:tcPr>
            <w:tcW w:w="560" w:type="dxa"/>
            <w:vAlign w:val="bottom"/>
            <w:gridSpan w:val="10"/>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Statement on Form S-1/A (File No. 333-240264) filed with the Securities and Exchange Commission on August 13, 2020).</w:t>
              </w:r>
            </w:hyperlink>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10.9†</w:t>
            </w:r>
          </w:p>
        </w:tc>
        <w:tc>
          <w:tcPr>
            <w:tcW w:w="99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Master Collaboration Agreement between the Registrant and Vertex Pharmaceuticals Incorporated, dated as of May 9, 2019 (Incorporated</w:t>
              </w:r>
            </w:hyperlink>
          </w:p>
        </w:tc>
        <w:tc>
          <w:tcPr>
            <w:tcW w:w="100" w:type="dxa"/>
            <w:vAlign w:val="bottom"/>
            <w:gridSpan w:val="3"/>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423">
              <w:r>
                <w:rPr>
                  <w:rFonts w:ascii="Times New Roman" w:cs="Times New Roman" w:eastAsia="Times New Roman" w:hAnsi="Times New Roman"/>
                  <w:sz w:val="18"/>
                  <w:szCs w:val="18"/>
                  <w:color w:val="0000FF"/>
                  <w:w w:val="99"/>
                </w:rPr>
                <w:t>by reference to Exhibit 10.11 to the Registrant’s Registration Statement on Form S-1 (File No. 333-240264) filed with the Securities and</w:t>
              </w:r>
            </w:hyperlink>
          </w:p>
        </w:tc>
        <w:tc>
          <w:tcPr>
            <w:tcW w:w="220" w:type="dxa"/>
            <w:vAlign w:val="bottom"/>
            <w:gridSpan w:val="4"/>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Exchange Commission on July 31, 2020).</w:t>
              </w:r>
            </w:hyperlink>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1008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Amended and Restated Collaboration and License Agreement between the Registrant and Genzyme Corporation, dated as of November 15,</w:t>
            </w: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2022.</w:t>
            </w:r>
          </w:p>
        </w:tc>
        <w:tc>
          <w:tcPr>
            <w:tcW w:w="20" w:type="dxa"/>
            <w:vAlign w:val="bottom"/>
            <w:tcBorders>
              <w:bottom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100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First Amendment to Master Collaboration Agreement between the Registrant and Vertex Pharmaceuticals Incorporated, dated as of August</w:t>
              </w:r>
            </w:hyperlink>
          </w:p>
        </w:tc>
        <w:tc>
          <w:tcPr>
            <w:tcW w:w="2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27, 2020 (Incorporated by reference to Exhibit 10.3 to the Registrant’s Quarterly Report on Form 10-Q filed with the Securities and</w:t>
              </w:r>
            </w:hyperlink>
          </w:p>
        </w:tc>
        <w:tc>
          <w:tcPr>
            <w:tcW w:w="560" w:type="dxa"/>
            <w:vAlign w:val="bottom"/>
            <w:gridSpan w:val="10"/>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424">
              <w:r>
                <w:rPr>
                  <w:rFonts w:ascii="Times New Roman" w:cs="Times New Roman" w:eastAsia="Times New Roman" w:hAnsi="Times New Roman"/>
                  <w:sz w:val="18"/>
                  <w:szCs w:val="18"/>
                  <w:color w:val="0000FF"/>
                  <w:w w:val="99"/>
                </w:rPr>
                <w:t>Exchange Commission on November 5, 2020).</w:t>
              </w:r>
            </w:hyperlink>
          </w:p>
        </w:tc>
        <w:tc>
          <w:tcPr>
            <w:tcW w:w="20" w:type="dxa"/>
            <w:vAlign w:val="bottom"/>
            <w:tcBorders>
              <w:bottom w:val="single" w:sz="8" w:color="0000EE"/>
            </w:tcBorders>
          </w:tcPr>
          <w:p>
            <w:pPr>
              <w:spacing w:after="0"/>
              <w:rPr>
                <w:sz w:val="17"/>
                <w:szCs w:val="17"/>
                <w:color w:val="auto"/>
              </w:rPr>
            </w:pPr>
          </w:p>
        </w:tc>
        <w:tc>
          <w:tcPr>
            <w:tcW w:w="6680" w:type="dxa"/>
            <w:vAlign w:val="bottom"/>
            <w:gridSpan w:val="18"/>
          </w:tcPr>
          <w:p>
            <w:pPr>
              <w:spacing w:after="0"/>
              <w:rPr>
                <w:sz w:val="17"/>
                <w:szCs w:val="17"/>
                <w:color w:val="auto"/>
              </w:rPr>
            </w:pPr>
          </w:p>
        </w:tc>
      </w:tr>
      <w:tr>
        <w:trPr>
          <w:trHeight w:val="30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6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Second Amendment to Master Collaboration Agreement between the Registrant and Vertex Pharmaceuticals Incorporated, dated as of</w:t>
            </w:r>
          </w:p>
        </w:tc>
        <w:tc>
          <w:tcPr>
            <w:tcW w:w="400" w:type="dxa"/>
            <w:vAlign w:val="bottom"/>
            <w:gridSpan w:val="6"/>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October 21, 2021.</w:t>
            </w:r>
          </w:p>
        </w:tc>
        <w:tc>
          <w:tcPr>
            <w:tcW w:w="20" w:type="dxa"/>
            <w:vAlign w:val="bottom"/>
            <w:tcBorders>
              <w:bottom w:val="single" w:sz="8" w:color="0000EE"/>
            </w:tcBorders>
          </w:tcPr>
          <w:p>
            <w:pPr>
              <w:spacing w:after="0"/>
              <w:rPr>
                <w:sz w:val="17"/>
                <w:szCs w:val="17"/>
                <w:color w:val="auto"/>
              </w:rPr>
            </w:pPr>
          </w:p>
        </w:tc>
        <w:tc>
          <w:tcPr>
            <w:tcW w:w="8760" w:type="dxa"/>
            <w:vAlign w:val="bottom"/>
            <w:gridSpan w:val="27"/>
          </w:tcPr>
          <w:p>
            <w:pPr>
              <w:spacing w:after="0"/>
              <w:rPr>
                <w:sz w:val="17"/>
                <w:szCs w:val="17"/>
                <w:color w:val="auto"/>
              </w:rPr>
            </w:pPr>
          </w:p>
        </w:tc>
      </w:tr>
      <w:tr>
        <w:trPr>
          <w:trHeight w:val="30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Lease between the Registrant and ARE-MA REGION NO. 75, LLC dated as of December 20, 2021.</w:t>
            </w: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5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Securities Purchase Agreement, dated August 18, 2022, by and among the Registrant and the persons party thereto (Incorporated by</w:t>
              </w:r>
            </w:hyperlink>
          </w:p>
        </w:tc>
        <w:tc>
          <w:tcPr>
            <w:tcW w:w="540" w:type="dxa"/>
            <w:vAlign w:val="bottom"/>
            <w:gridSpan w:val="9"/>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425">
              <w:r>
                <w:rPr>
                  <w:rFonts w:ascii="Times New Roman" w:cs="Times New Roman" w:eastAsia="Times New Roman" w:hAnsi="Times New Roman"/>
                  <w:sz w:val="18"/>
                  <w:szCs w:val="18"/>
                  <w:color w:val="0000FF"/>
                  <w:w w:val="99"/>
                </w:rPr>
                <w:t>reference to Exhibit 10.1 to the Registrant’s Current Report on form 8-K filed with the Securities and Exchange Commission on August 19,</w:t>
              </w:r>
            </w:hyperlink>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4"/>
              </w:rPr>
            </w:pPr>
            <w:hyperlink r:id="rId425">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5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Registration Rights Agreement, dated August 18, 2022, by and among the Registrant and the persons party thereto (Incorporated by</w:t>
              </w:r>
            </w:hyperlink>
          </w:p>
        </w:tc>
        <w:tc>
          <w:tcPr>
            <w:tcW w:w="560" w:type="dxa"/>
            <w:vAlign w:val="bottom"/>
            <w:gridSpan w:val="10"/>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reference to Exhibit 10.2 to the Registrant’s Current Report on Form 8-K (File No. 001-39460) filed with the Securities and Exchange</w:t>
              </w:r>
            </w:hyperlink>
          </w:p>
        </w:tc>
        <w:tc>
          <w:tcPr>
            <w:tcW w:w="380" w:type="dxa"/>
            <w:vAlign w:val="bottom"/>
            <w:gridSpan w:val="5"/>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26">
              <w:r>
                <w:rPr>
                  <w:rFonts w:ascii="Times New Roman" w:cs="Times New Roman" w:eastAsia="Times New Roman" w:hAnsi="Times New Roman"/>
                  <w:sz w:val="18"/>
                  <w:szCs w:val="18"/>
                  <w:color w:val="0000FF"/>
                  <w:w w:val="99"/>
                </w:rPr>
                <w:t>Commission on August 19, 2022).</w:t>
              </w:r>
            </w:hyperlink>
          </w:p>
        </w:tc>
        <w:tc>
          <w:tcPr>
            <w:tcW w:w="20" w:type="dxa"/>
            <w:vAlign w:val="bottom"/>
            <w:tcBorders>
              <w:bottom w:val="single" w:sz="8" w:color="0000EE"/>
            </w:tcBorders>
          </w:tcPr>
          <w:p>
            <w:pPr>
              <w:spacing w:after="0"/>
              <w:rPr>
                <w:sz w:val="17"/>
                <w:szCs w:val="17"/>
                <w:color w:val="auto"/>
              </w:rPr>
            </w:pPr>
          </w:p>
        </w:tc>
        <w:tc>
          <w:tcPr>
            <w:tcW w:w="7580" w:type="dxa"/>
            <w:vAlign w:val="bottom"/>
            <w:gridSpan w:val="21"/>
          </w:tcPr>
          <w:p>
            <w:pPr>
              <w:spacing w:after="0"/>
              <w:rPr>
                <w:sz w:val="17"/>
                <w:szCs w:val="17"/>
                <w:color w:val="auto"/>
              </w:rPr>
            </w:pPr>
          </w:p>
        </w:tc>
      </w:tr>
      <w:tr>
        <w:trPr>
          <w:trHeight w:val="30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Letter between the Registrant and Genzyme Corporation, dated as of November 14, 2023.</w:t>
            </w:r>
          </w:p>
        </w:tc>
      </w:tr>
      <w:tr>
        <w:trPr>
          <w:trHeight w:val="304"/>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720" w:type="dxa"/>
            <w:vAlign w:val="bottom"/>
          </w:tcPr>
          <w:p>
            <w:pPr>
              <w:spacing w:after="0"/>
              <w:rPr>
                <w:sz w:val="24"/>
                <w:szCs w:val="24"/>
                <w:color w:val="auto"/>
              </w:rPr>
            </w:pPr>
          </w:p>
        </w:tc>
        <w:tc>
          <w:tcPr>
            <w:tcW w:w="24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List of Subsidiaries of Registrant.</w:t>
            </w:r>
          </w:p>
        </w:tc>
        <w:tc>
          <w:tcPr>
            <w:tcW w:w="20" w:type="dxa"/>
            <w:vAlign w:val="bottom"/>
            <w:tcBorders>
              <w:top w:val="single" w:sz="8" w:color="0000FF"/>
              <w:bottom w:val="single" w:sz="8" w:color="0000EE"/>
            </w:tcBorders>
          </w:tcPr>
          <w:p>
            <w:pPr>
              <w:spacing w:after="0"/>
              <w:rPr>
                <w:sz w:val="24"/>
                <w:szCs w:val="24"/>
                <w:color w:val="auto"/>
              </w:rPr>
            </w:pPr>
          </w:p>
        </w:tc>
        <w:tc>
          <w:tcPr>
            <w:tcW w:w="4020" w:type="dxa"/>
            <w:vAlign w:val="bottom"/>
            <w:tcBorders>
              <w:top w:val="single" w:sz="8" w:color="0000FF"/>
            </w:tcBorders>
            <w:gridSpan w:val="10"/>
          </w:tcPr>
          <w:p>
            <w:pPr>
              <w:spacing w:after="0"/>
              <w:rPr>
                <w:sz w:val="24"/>
                <w:szCs w:val="24"/>
                <w:color w:val="auto"/>
              </w:rPr>
            </w:pPr>
          </w:p>
        </w:tc>
        <w:tc>
          <w:tcPr>
            <w:tcW w:w="3620" w:type="dxa"/>
            <w:vAlign w:val="bottom"/>
            <w:gridSpan w:val="13"/>
          </w:tcPr>
          <w:p>
            <w:pPr>
              <w:spacing w:after="0"/>
              <w:rPr>
                <w:sz w:val="24"/>
                <w:szCs w:val="24"/>
                <w:color w:val="auto"/>
              </w:rPr>
            </w:pPr>
          </w:p>
        </w:tc>
      </w:tr>
      <w:tr>
        <w:trPr>
          <w:trHeight w:val="304"/>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720" w:type="dxa"/>
            <w:vAlign w:val="bottom"/>
          </w:tcPr>
          <w:p>
            <w:pPr>
              <w:spacing w:after="0"/>
              <w:rPr>
                <w:sz w:val="24"/>
                <w:szCs w:val="24"/>
                <w:color w:val="auto"/>
              </w:rPr>
            </w:pP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720" w:type="dxa"/>
            <w:vAlign w:val="bottom"/>
          </w:tcPr>
          <w:p>
            <w:pPr>
              <w:spacing w:after="0"/>
              <w:rPr>
                <w:sz w:val="24"/>
                <w:szCs w:val="24"/>
                <w:color w:val="auto"/>
              </w:rPr>
            </w:pPr>
          </w:p>
        </w:tc>
        <w:tc>
          <w:tcPr>
            <w:tcW w:w="61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 to this Annual Report on Form 10-K).</w:t>
            </w:r>
          </w:p>
        </w:tc>
        <w:tc>
          <w:tcPr>
            <w:tcW w:w="3920" w:type="dxa"/>
            <w:vAlign w:val="bottom"/>
            <w:gridSpan w:val="14"/>
          </w:tcPr>
          <w:p>
            <w:pPr>
              <w:spacing w:after="0"/>
              <w:rPr>
                <w:sz w:val="24"/>
                <w:szCs w:val="24"/>
                <w:color w:val="auto"/>
              </w:rPr>
            </w:pPr>
          </w:p>
        </w:tc>
      </w:tr>
      <w:tr>
        <w:trPr>
          <w:trHeight w:val="304"/>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24"/>
                <w:szCs w:val="24"/>
                <w:color w:val="auto"/>
              </w:rPr>
            </w:pPr>
          </w:p>
        </w:tc>
        <w:tc>
          <w:tcPr>
            <w:tcW w:w="96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20" w:type="dxa"/>
            <w:vAlign w:val="bottom"/>
            <w:gridSpan w:val="7"/>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9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80" w:type="dxa"/>
            <w:vAlign w:val="bottom"/>
            <w:gridSpan w:val="16"/>
          </w:tcPr>
          <w:p>
            <w:pPr>
              <w:spacing w:after="0"/>
              <w:rPr>
                <w:sz w:val="17"/>
                <w:szCs w:val="17"/>
                <w:color w:val="auto"/>
              </w:rPr>
            </w:pPr>
          </w:p>
        </w:tc>
      </w:tr>
      <w:tr>
        <w:trPr>
          <w:trHeight w:val="304"/>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tcPr>
          <w:p>
            <w:pPr>
              <w:spacing w:after="0"/>
              <w:rPr>
                <w:sz w:val="24"/>
                <w:szCs w:val="24"/>
                <w:color w:val="auto"/>
              </w:rPr>
            </w:pPr>
          </w:p>
        </w:tc>
        <w:tc>
          <w:tcPr>
            <w:tcW w:w="96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480" w:type="dxa"/>
            <w:vAlign w:val="bottom"/>
            <w:gridSpan w:val="8"/>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9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80" w:type="dxa"/>
            <w:vAlign w:val="bottom"/>
            <w:gridSpan w:val="16"/>
          </w:tcPr>
          <w:p>
            <w:pPr>
              <w:spacing w:after="0"/>
              <w:rPr>
                <w:sz w:val="17"/>
                <w:szCs w:val="17"/>
                <w:color w:val="auto"/>
              </w:rPr>
            </w:pPr>
          </w:p>
        </w:tc>
      </w:tr>
      <w:tr>
        <w:trPr>
          <w:trHeight w:val="30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32.1</w:t>
            </w:r>
          </w:p>
        </w:tc>
        <w:tc>
          <w:tcPr>
            <w:tcW w:w="60" w:type="dxa"/>
            <w:vAlign w:val="bottom"/>
          </w:tcPr>
          <w:p>
            <w:pPr>
              <w:jc w:val="center"/>
              <w:spacing w:after="0"/>
              <w:rPr>
                <w:sz w:val="20"/>
                <w:szCs w:val="20"/>
                <w:color w:val="auto"/>
              </w:rPr>
            </w:pPr>
            <w:r>
              <w:rPr>
                <w:rFonts w:ascii="Times New Roman" w:cs="Times New Roman" w:eastAsia="Times New Roman" w:hAnsi="Times New Roman"/>
                <w:sz w:val="12"/>
                <w:szCs w:val="12"/>
                <w:color w:val="auto"/>
                <w:strike w:val="1"/>
                <w:w w:val="87"/>
              </w:rPr>
              <w:t>+</w:t>
            </w:r>
          </w:p>
        </w:tc>
        <w:tc>
          <w:tcPr>
            <w:tcW w:w="720" w:type="dxa"/>
            <w:vAlign w:val="bottom"/>
          </w:tcPr>
          <w:p>
            <w:pPr>
              <w:spacing w:after="0"/>
              <w:rPr>
                <w:sz w:val="24"/>
                <w:szCs w:val="24"/>
                <w:color w:val="auto"/>
              </w:rPr>
            </w:pPr>
          </w:p>
        </w:tc>
        <w:tc>
          <w:tcPr>
            <w:tcW w:w="1008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160" w:type="dxa"/>
            <w:vAlign w:val="bottom"/>
            <w:gridSpan w:val="29"/>
          </w:tcPr>
          <w:p>
            <w:pPr>
              <w:spacing w:after="0"/>
              <w:rPr>
                <w:sz w:val="17"/>
                <w:szCs w:val="17"/>
                <w:color w:val="auto"/>
              </w:rPr>
            </w:pPr>
          </w:p>
        </w:tc>
      </w:tr>
      <w:tr>
        <w:trPr>
          <w:trHeight w:val="30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32.2</w:t>
            </w:r>
          </w:p>
        </w:tc>
        <w:tc>
          <w:tcPr>
            <w:tcW w:w="60" w:type="dxa"/>
            <w:vAlign w:val="bottom"/>
          </w:tcPr>
          <w:p>
            <w:pPr>
              <w:jc w:val="center"/>
              <w:spacing w:after="0"/>
              <w:rPr>
                <w:sz w:val="20"/>
                <w:szCs w:val="20"/>
                <w:color w:val="auto"/>
              </w:rPr>
            </w:pPr>
            <w:r>
              <w:rPr>
                <w:rFonts w:ascii="Times New Roman" w:cs="Times New Roman" w:eastAsia="Times New Roman" w:hAnsi="Times New Roman"/>
                <w:sz w:val="12"/>
                <w:szCs w:val="12"/>
                <w:color w:val="auto"/>
                <w:strike w:val="1"/>
                <w:w w:val="87"/>
              </w:rPr>
              <w:t>+</w:t>
            </w:r>
          </w:p>
        </w:tc>
        <w:tc>
          <w:tcPr>
            <w:tcW w:w="720" w:type="dxa"/>
            <w:vAlign w:val="bottom"/>
          </w:tcPr>
          <w:p>
            <w:pPr>
              <w:spacing w:after="0"/>
              <w:rPr>
                <w:sz w:val="24"/>
                <w:szCs w:val="24"/>
                <w:color w:val="auto"/>
              </w:rPr>
            </w:pPr>
          </w:p>
        </w:tc>
        <w:tc>
          <w:tcPr>
            <w:tcW w:w="100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4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160" w:type="dxa"/>
            <w:vAlign w:val="bottom"/>
            <w:gridSpan w:val="29"/>
          </w:tcPr>
          <w:p>
            <w:pPr>
              <w:spacing w:after="0"/>
              <w:rPr>
                <w:sz w:val="17"/>
                <w:szCs w:val="17"/>
                <w:color w:val="auto"/>
              </w:rPr>
            </w:pPr>
          </w:p>
        </w:tc>
      </w:tr>
      <w:tr>
        <w:trPr>
          <w:trHeight w:val="30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Compensation Recovery Policy</w:t>
            </w:r>
          </w:p>
        </w:tc>
        <w:tc>
          <w:tcPr>
            <w:tcW w:w="20" w:type="dxa"/>
            <w:vAlign w:val="bottom"/>
            <w:tcBorders>
              <w:bottom w:val="single" w:sz="8" w:color="0000EE"/>
            </w:tcBorders>
          </w:tcPr>
          <w:p>
            <w:pPr>
              <w:spacing w:after="0"/>
              <w:rPr>
                <w:sz w:val="24"/>
                <w:szCs w:val="24"/>
                <w:color w:val="auto"/>
              </w:rPr>
            </w:pPr>
          </w:p>
        </w:tc>
        <w:tc>
          <w:tcPr>
            <w:tcW w:w="7780" w:type="dxa"/>
            <w:vAlign w:val="bottom"/>
            <w:gridSpan w:val="25"/>
          </w:tcPr>
          <w:p>
            <w:pPr>
              <w:spacing w:after="0"/>
              <w:rPr>
                <w:sz w:val="24"/>
                <w:szCs w:val="24"/>
                <w:color w:val="auto"/>
              </w:rPr>
            </w:pPr>
          </w:p>
        </w:tc>
      </w:tr>
      <w:tr>
        <w:trPr>
          <w:trHeight w:val="345"/>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11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101.SCH</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101.PRE</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1120" w:hanging="1099"/>
        <w:spacing w:after="0"/>
        <w:tabs>
          <w:tab w:leader="none" w:pos="11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346" w:lineRule="exact"/>
        <w:rPr>
          <w:rFonts w:ascii="Times New Roman" w:cs="Times New Roman" w:eastAsia="Times New Roman" w:hAnsi="Times New Roman"/>
          <w:sz w:val="18"/>
          <w:szCs w:val="18"/>
          <w:color w:val="auto"/>
        </w:rPr>
      </w:pPr>
    </w:p>
    <w:p>
      <w:pPr>
        <w:jc w:val="both"/>
        <w:ind w:firstLine="8"/>
        <w:spacing w:after="0" w:line="245" w:lineRule="auto"/>
        <w:tabs>
          <w:tab w:leader="none" w:pos="98"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19"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36"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Portions of this exhibit (indicated by asterisks) were omitted in accordance with the rules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19030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164" w:name="page165"/>
    <w:bookmarkEnd w:id="164"/>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All schedules to the consolidated financial statements are omitted as the required information is either inapplicable or presented in the consolidated financial statements.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17" w:right="117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Kymera Therapeutics, Inc.</w:t>
      </w:r>
    </w:p>
    <w:p>
      <w:pPr>
        <w:spacing w:after="0" w:line="266" w:lineRule="exact"/>
        <w:rPr>
          <w:sz w:val="20"/>
          <w:szCs w:val="20"/>
          <w:color w:val="auto"/>
        </w:rPr>
      </w:pPr>
    </w:p>
    <w:p>
      <w:pPr>
        <w:ind w:left="20"/>
        <w:spacing w:after="0"/>
        <w:tabs>
          <w:tab w:leader="none" w:pos="5760" w:val="left"/>
          <w:tab w:leader="none" w:pos="792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26035</wp:posOffset>
            </wp:positionV>
            <wp:extent cx="306006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6"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constitutes and appoints Nello Mainolfi, Ph.D. and Bruce Jacobs, CFA, MBA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5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8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38"/>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Nello Mainolfi, Ph.D.</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Nello Mainolfi, Ph.D.</w:t>
            </w:r>
          </w:p>
        </w:tc>
        <w:tc>
          <w:tcPr>
            <w:tcW w:w="120" w:type="dxa"/>
            <w:vAlign w:val="bottom"/>
          </w:tcPr>
          <w:p>
            <w:pPr>
              <w:spacing w:after="0"/>
              <w:rPr>
                <w:sz w:val="20"/>
                <w:szCs w:val="20"/>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5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Jacobs, CFA, MBA</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Jacobs, CFA, MBA</w:t>
            </w:r>
          </w:p>
        </w:tc>
        <w:tc>
          <w:tcPr>
            <w:tcW w:w="120" w:type="dxa"/>
            <w:vAlign w:val="bottom"/>
          </w:tcPr>
          <w:p>
            <w:pPr>
              <w:spacing w:after="0"/>
              <w:rPr>
                <w:sz w:val="20"/>
                <w:szCs w:val="20"/>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35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Booth, DPhil</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Booth, DPhil</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5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 Albers, MBA</w:t>
            </w:r>
          </w:p>
        </w:tc>
        <w:tc>
          <w:tcPr>
            <w:tcW w:w="120" w:type="dxa"/>
            <w:vAlign w:val="bottom"/>
          </w:tcPr>
          <w:p>
            <w:pPr>
              <w:spacing w:after="0"/>
              <w:rPr>
                <w:sz w:val="24"/>
                <w:szCs w:val="2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 Albers, MBA</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5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Pamela Esposito, PhD</w:t>
            </w:r>
          </w:p>
        </w:tc>
        <w:tc>
          <w:tcPr>
            <w:tcW w:w="120" w:type="dxa"/>
            <w:vAlign w:val="bottom"/>
          </w:tcPr>
          <w:p>
            <w:pPr>
              <w:spacing w:after="0"/>
              <w:rPr>
                <w:sz w:val="24"/>
                <w:szCs w:val="2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Pamela Esposito, PhD</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5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Joanna Horobin, MB, ChB</w:t>
            </w:r>
          </w:p>
        </w:tc>
        <w:tc>
          <w:tcPr>
            <w:tcW w:w="120" w:type="dxa"/>
            <w:vAlign w:val="bottom"/>
          </w:tcPr>
          <w:p>
            <w:pPr>
              <w:spacing w:after="0"/>
              <w:rPr>
                <w:sz w:val="24"/>
                <w:szCs w:val="2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Joanna Horobin, MB, ChB</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5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Gorjan Hrustanovic, PhD</w:t>
            </w:r>
          </w:p>
        </w:tc>
        <w:tc>
          <w:tcPr>
            <w:tcW w:w="120" w:type="dxa"/>
            <w:vAlign w:val="bottom"/>
          </w:tcPr>
          <w:p>
            <w:pPr>
              <w:spacing w:after="0"/>
              <w:rPr>
                <w:sz w:val="24"/>
                <w:szCs w:val="2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Gorjan Hrustanovic, PhD</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5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M. Maraganore, PhD</w:t>
            </w:r>
          </w:p>
        </w:tc>
        <w:tc>
          <w:tcPr>
            <w:tcW w:w="120" w:type="dxa"/>
            <w:vAlign w:val="bottom"/>
          </w:tcPr>
          <w:p>
            <w:pPr>
              <w:spacing w:after="0"/>
              <w:rPr>
                <w:sz w:val="24"/>
                <w:szCs w:val="2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 Maraganore, PhD</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60"/>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Leigh Morgan</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Leigh Morgan</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35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Elena, Ridloff, CFA</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Elena Ridloff, CFA</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53"/>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Victor Sandor</w:t>
            </w:r>
          </w:p>
        </w:tc>
        <w:tc>
          <w:tcPr>
            <w:tcW w:w="120" w:type="dxa"/>
            <w:vAlign w:val="bottom"/>
          </w:tcPr>
          <w:p>
            <w:pPr>
              <w:spacing w:after="0"/>
              <w:rPr>
                <w:sz w:val="24"/>
                <w:szCs w:val="2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 Sandor</w:t>
            </w:r>
          </w:p>
        </w:tc>
        <w:tc>
          <w:tcPr>
            <w:tcW w:w="120" w:type="dxa"/>
            <w:vAlign w:val="bottom"/>
          </w:tcPr>
          <w:p>
            <w:pPr>
              <w:spacing w:after="0"/>
              <w:rPr>
                <w:sz w:val="20"/>
                <w:szCs w:val="20"/>
                <w:color w:val="auto"/>
              </w:rPr>
            </w:pPr>
          </w:p>
        </w:tc>
        <w:tc>
          <w:tcPr>
            <w:tcW w:w="4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16510</wp:posOffset>
            </wp:positionV>
            <wp:extent cx="153416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1">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475" w:lineRule="exact"/>
        <w:rPr>
          <w:sz w:val="20"/>
          <w:szCs w:val="20"/>
          <w:color w:val="auto"/>
        </w:rPr>
      </w:pPr>
    </w:p>
    <w:p>
      <w:pPr>
        <w:sectPr>
          <w:pgSz w:w="11900" w:h="16838" w:orient="portrait"/>
          <w:cols w:equalWidth="0" w:num="2">
            <w:col w:w="8720" w:space="120"/>
            <w:col w:w="2400"/>
          </w:cols>
          <w:pgMar w:left="320" w:top="1089" w:right="339" w:bottom="1440" w:gutter="0" w:footer="0" w:header="0"/>
          <w:type w:val="continuous"/>
        </w:sectPr>
      </w:pP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purpose of this Non-Employee Director Compensation Policy (the “Policy”) of Kymera Therapeutics, Inc. (the “Company”) is to provide a total compensation package that enables the Company to attract and retain, on a long-term basis, high-caliber directors who are not employees or officers of the Company or its subsidiary (“Outside Directors”). This Policy will become effective as of the effective time of the registration statement for the Company’s initial public offering of equity securities (the “Effective Date”). In furtherance of the purpose stated above, all Outside Directors shall be paid compensation for services provided to the Company as set forth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Retainers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Annual Retainer for Board Membership</w:t>
      </w:r>
      <w:r>
        <w:rPr>
          <w:rFonts w:ascii="Times New Roman" w:cs="Times New Roman" w:eastAsia="Times New Roman" w:hAnsi="Times New Roman"/>
          <w:sz w:val="18"/>
          <w:szCs w:val="18"/>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Annual Retainer for Chairperson of the Board:</w:t>
            </w:r>
          </w:p>
        </w:tc>
        <w:tc>
          <w:tcPr>
            <w:tcW w:w="3500" w:type="dxa"/>
            <w:vAlign w:val="bottom"/>
          </w:tcPr>
          <w:p>
            <w:pPr>
              <w:ind w:left="2920"/>
              <w:spacing w:after="0"/>
              <w:rPr>
                <w:sz w:val="20"/>
                <w:szCs w:val="20"/>
                <w:color w:val="auto"/>
              </w:rPr>
            </w:pPr>
            <w:r>
              <w:rPr>
                <w:rFonts w:ascii="Times New Roman" w:cs="Times New Roman" w:eastAsia="Times New Roman" w:hAnsi="Times New Roman"/>
                <w:sz w:val="18"/>
                <w:szCs w:val="18"/>
                <w:color w:val="auto"/>
                <w:w w:val="95"/>
              </w:rPr>
              <w:t>$30,000</w:t>
            </w:r>
          </w:p>
        </w:tc>
      </w:tr>
      <w:tr>
        <w:trPr>
          <w:trHeight w:val="20"/>
        </w:trPr>
        <w:tc>
          <w:tcPr>
            <w:tcW w:w="41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0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Annual Retainers for Committee Membership:</w:t>
            </w:r>
          </w:p>
        </w:tc>
        <w:tc>
          <w:tcPr>
            <w:tcW w:w="3500" w:type="dxa"/>
            <w:vAlign w:val="bottom"/>
          </w:tcPr>
          <w:p>
            <w:pPr>
              <w:spacing w:after="0"/>
              <w:rPr>
                <w:sz w:val="24"/>
                <w:szCs w:val="24"/>
                <w:color w:val="auto"/>
              </w:rPr>
            </w:pPr>
          </w:p>
        </w:tc>
      </w:tr>
      <w:tr>
        <w:trPr>
          <w:trHeight w:val="345"/>
        </w:trPr>
        <w:tc>
          <w:tcPr>
            <w:tcW w:w="4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3140" w:type="dxa"/>
            <w:vAlign w:val="bottom"/>
          </w:tcPr>
          <w:p>
            <w:pPr>
              <w:spacing w:after="0"/>
              <w:rPr>
                <w:sz w:val="24"/>
                <w:szCs w:val="24"/>
                <w:color w:val="auto"/>
              </w:rPr>
            </w:pPr>
          </w:p>
        </w:tc>
        <w:tc>
          <w:tcPr>
            <w:tcW w:w="3500" w:type="dxa"/>
            <w:vAlign w:val="bottom"/>
          </w:tcPr>
          <w:p>
            <w:pPr>
              <w:ind w:left="2920"/>
              <w:spacing w:after="0"/>
              <w:rPr>
                <w:sz w:val="20"/>
                <w:szCs w:val="20"/>
                <w:color w:val="auto"/>
              </w:rPr>
            </w:pPr>
            <w:r>
              <w:rPr>
                <w:rFonts w:ascii="Times New Roman" w:cs="Times New Roman" w:eastAsia="Times New Roman" w:hAnsi="Times New Roman"/>
                <w:sz w:val="18"/>
                <w:szCs w:val="18"/>
                <w:color w:val="auto"/>
                <w:w w:val="95"/>
              </w:rPr>
              <w:t>$15,000</w:t>
            </w:r>
          </w:p>
        </w:tc>
      </w:tr>
      <w:tr>
        <w:trPr>
          <w:trHeight w:val="32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350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$7,500</w:t>
            </w:r>
          </w:p>
        </w:tc>
      </w:tr>
      <w:tr>
        <w:trPr>
          <w:trHeight w:val="32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3500" w:type="dxa"/>
            <w:vAlign w:val="bottom"/>
          </w:tcPr>
          <w:p>
            <w:pPr>
              <w:ind w:left="2920"/>
              <w:spacing w:after="0"/>
              <w:rPr>
                <w:sz w:val="20"/>
                <w:szCs w:val="20"/>
                <w:color w:val="auto"/>
              </w:rPr>
            </w:pPr>
            <w:r>
              <w:rPr>
                <w:rFonts w:ascii="Times New Roman" w:cs="Times New Roman" w:eastAsia="Times New Roman" w:hAnsi="Times New Roman"/>
                <w:sz w:val="18"/>
                <w:szCs w:val="18"/>
                <w:color w:val="auto"/>
                <w:w w:val="95"/>
              </w:rPr>
              <w:t>$10,000</w:t>
            </w:r>
          </w:p>
        </w:tc>
      </w:tr>
      <w:tr>
        <w:trPr>
          <w:trHeight w:val="32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350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$5,000</w:t>
            </w:r>
          </w:p>
        </w:tc>
      </w:tr>
      <w:tr>
        <w:trPr>
          <w:trHeight w:val="32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3500" w:type="dxa"/>
            <w:vAlign w:val="bottom"/>
          </w:tcPr>
          <w:p>
            <w:pPr>
              <w:ind w:left="2920"/>
              <w:spacing w:after="0"/>
              <w:rPr>
                <w:sz w:val="20"/>
                <w:szCs w:val="20"/>
                <w:color w:val="auto"/>
              </w:rPr>
            </w:pPr>
            <w:r>
              <w:rPr>
                <w:rFonts w:ascii="Times New Roman" w:cs="Times New Roman" w:eastAsia="Times New Roman" w:hAnsi="Times New Roman"/>
                <w:sz w:val="18"/>
                <w:szCs w:val="18"/>
                <w:color w:val="auto"/>
                <w:w w:val="95"/>
              </w:rPr>
              <w:t>$10,000</w:t>
            </w:r>
          </w:p>
        </w:tc>
      </w:tr>
      <w:tr>
        <w:trPr>
          <w:trHeight w:val="32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350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98"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Chair and committee member retainers are in addition to retainers for members of the Board of Directors. No additional compensation will be paid for attending individual committee meetings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Retainers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An initial, one-time stock option award (the “Initial Award”) to purchase 24,000 shares will be granted to each new Outside Director upon his or her election to the Board of Directors, which shall vest in 36 equal monthly installments over three years from the date of grant, provided, however, that all vesting shall cease if the director resigns from the Board of Directors or otherwise ceases to serve as a director of the Company. The Initial Award shall expire ten years from the date of grant, and shall have a per share exercise price equal to the Fair Market Value (as defined in the Company’s 2020 Stock Option and Incentive Plan) of the Company’s common stock on the date of grant. This Initial Award applies only to Outside Directors who are first elected to the Board of Directors subsequent to the Effective Date.</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u w:val="single" w:color="auto"/>
          <w:color w:val="auto"/>
        </w:rPr>
        <w:t>Annual Award</w:t>
      </w:r>
      <w:r>
        <w:rPr>
          <w:rFonts w:ascii="Times New Roman" w:cs="Times New Roman" w:eastAsia="Times New Roman" w:hAnsi="Times New Roman"/>
          <w:sz w:val="18"/>
          <w:szCs w:val="18"/>
          <w:color w:val="auto"/>
        </w:rPr>
        <w:t>: On each date of each Annual Meeting of Stockholders of the Company following the Effective Date (the “Annual Meeting”), each continuing Outside Director, other than a director receiving an Initial Award, will receive an annual stock option award (the “Annual Award”) to purchase 12,000 shares, which shall vest in full upon the earlier of (i) the first anniversary of the date of grant or (ii) the date of the next Annual Meeting; provided, however, that all vesting shall cease if the director resigns from the Board of Directors or otherwise ceases to serve as a director, unless the Board of Directors determines that the circumstances warrant continuation of vesting. Such Annual Award shall expire ten years from the date of grant, and shall have a per share exercise price equal to the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ACTIVE/114548327.2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7" w:name="page168"/>
    <w:bookmarkEnd w:id="167"/>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(as defined in the Company’s 2020 Stock Option and Incentive Plan) of the Company’s common stock on the date of grant.</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For purposes of this Policy, “Value” means with respect to (i) any stock option award,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 and (ii) any award of restricted stock or restricted stock units the product of (A) the average closing market price on Nasdaq Global Market (or such other market on which the Company’s common stock is then principally listed) of one share of the Company’s common stock over the trailing 30-day period ending on the last day of the month immediately prior to the month of the grant date, and (B) the aggregate number of shares of common stock underlying such award.</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Sale Event Acceleration</w:t>
      </w:r>
      <w:r>
        <w:rPr>
          <w:rFonts w:ascii="Times New Roman" w:cs="Times New Roman" w:eastAsia="Times New Roman" w:hAnsi="Times New Roman"/>
          <w:sz w:val="18"/>
          <w:szCs w:val="18"/>
          <w:color w:val="auto"/>
        </w:rPr>
        <w:t>: All outstanding Initial Awards and Annual Awards held by an Outside Director shall become fully vested and exercisable upon a Sale Event (as defined in the Company’s 2020 Stock Option and Incentive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will reimburse all reasonable out-of-pocket expenses incurred by non-employee directors in attending meetings of the Board of Directors or any committee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Maximum Annual Compensation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by the Company to any Outside Director in a calendar year for services as an Outside Director period shall not exceed $750,000; provided, however, that such amount shall be $1,000,000 for the calendar year in which the applicable Outside Director is initially elected or appointed to the Board of Directors; (or such other limits as may be set forth in Section 3(b) of the Company’s 2020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August 11, 2020, subject to the effectiveness of the Company’s Registration Statement on Form S-1.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on January 17, 2022.</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ACTIVE/114548327.2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GENZYME CORPORATION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KYMERA THERAPEUTICS,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1475105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tc>
      </w:tr>
      <w:tr>
        <w:trPr>
          <w:trHeight w:val="687"/>
        </w:trPr>
        <w:tc>
          <w:tcPr>
            <w:tcW w:w="8600" w:type="dxa"/>
            <w:vAlign w:val="bottom"/>
          </w:tcPr>
          <w:p>
            <w:pPr>
              <w:ind w:left="44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620" w:type="dxa"/>
            <w:vAlign w:val="bottom"/>
          </w:tcPr>
          <w:p>
            <w:pPr>
              <w:spacing w:after="0"/>
              <w:rPr>
                <w:sz w:val="24"/>
                <w:szCs w:val="24"/>
                <w:color w:val="auto"/>
              </w:rPr>
            </w:pPr>
          </w:p>
        </w:tc>
      </w:tr>
      <w:tr>
        <w:trPr>
          <w:trHeight w:val="594"/>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1 DEFINITIONS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64"/>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2 RESEARCH</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65"/>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3 EARLY DEVELOPMENT</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64"/>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4 SANOFI PARTICIPATION ELECTION RIGHT</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365"/>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5 DEVELOPMENT AFTER SANOFI PARTICIPATION ELECTION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64"/>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6 COMMERCIALIZATION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364"/>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7 REGULATORY MATTERS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365"/>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8 MANUFACTURING</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364"/>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9 GOVERNANCE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364"/>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10 LICENSE GRANTS; EXCLUSIVITY</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r>
        <w:trPr>
          <w:trHeight w:val="365"/>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11 FINANCIAL PROVISIONS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364"/>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12 INTELLECTUAL PROPERTY</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w:t>
            </w:r>
          </w:p>
        </w:tc>
      </w:tr>
      <w:tr>
        <w:trPr>
          <w:trHeight w:val="365"/>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13 REPRESENTATIONS AND WARRANTIES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w:t>
            </w:r>
          </w:p>
        </w:tc>
      </w:tr>
      <w:tr>
        <w:trPr>
          <w:trHeight w:val="364"/>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14 INDEMNIFICATION; INSURANCE; LIMITATIONS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r>
      <w:tr>
        <w:trPr>
          <w:trHeight w:val="364"/>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15 TERM; TERMINATION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w:t>
            </w:r>
          </w:p>
        </w:tc>
      </w:tr>
      <w:tr>
        <w:trPr>
          <w:trHeight w:val="365"/>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16 CONFIDENTIALITY</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w:t>
            </w:r>
          </w:p>
        </w:tc>
      </w:tr>
      <w:tr>
        <w:trPr>
          <w:trHeight w:val="365"/>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17 GOVERNMENTAL APPROVALS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w:t>
            </w:r>
          </w:p>
        </w:tc>
      </w:tr>
      <w:tr>
        <w:trPr>
          <w:trHeight w:val="365"/>
        </w:trPr>
        <w:tc>
          <w:tcPr>
            <w:tcW w:w="8600" w:type="dxa"/>
            <w:vAlign w:val="bottom"/>
          </w:tcPr>
          <w:p>
            <w:pPr>
              <w:spacing w:after="0"/>
              <w:rPr>
                <w:sz w:val="20"/>
                <w:szCs w:val="20"/>
                <w:color w:val="auto"/>
              </w:rPr>
            </w:pPr>
            <w:r>
              <w:rPr>
                <w:rFonts w:ascii="Times New Roman" w:cs="Times New Roman" w:eastAsia="Times New Roman" w:hAnsi="Times New Roman"/>
                <w:sz w:val="22"/>
                <w:szCs w:val="22"/>
                <w:color w:val="auto"/>
              </w:rPr>
              <w:t>ARTICLE 18 MISCELLANEOUS</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2688590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5" w:right="339" w:bottom="1440" w:gutter="0" w:footer="0" w:header="0"/>
        </w:sectPr>
      </w:pPr>
    </w:p>
    <w:bookmarkStart w:id="170" w:name="page171"/>
    <w:bookmarkEnd w:id="170"/>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20" w:type="dxa"/>
            <w:vAlign w:val="bottom"/>
          </w:tcPr>
          <w:p>
            <w:pPr>
              <w:ind w:left="2140"/>
              <w:spacing w:after="0"/>
              <w:rPr>
                <w:sz w:val="20"/>
                <w:szCs w:val="20"/>
                <w:color w:val="auto"/>
              </w:rPr>
            </w:pPr>
            <w:r>
              <w:rPr>
                <w:rFonts w:ascii="Times New Roman" w:cs="Times New Roman" w:eastAsia="Times New Roman" w:hAnsi="Times New Roman"/>
                <w:sz w:val="22"/>
                <w:szCs w:val="22"/>
                <w:b w:val="1"/>
                <w:bCs w:val="1"/>
                <w:color w:val="auto"/>
              </w:rPr>
              <w:t>SCHEDULES AND EXHIBITS</w:t>
            </w:r>
          </w:p>
        </w:tc>
        <w:tc>
          <w:tcPr>
            <w:tcW w:w="0" w:type="dxa"/>
            <w:vAlign w:val="bottom"/>
          </w:tcPr>
          <w:p>
            <w:pPr>
              <w:spacing w:after="0"/>
              <w:rPr>
                <w:sz w:val="1"/>
                <w:szCs w:val="1"/>
                <w:color w:val="auto"/>
              </w:rPr>
            </w:pPr>
          </w:p>
        </w:tc>
      </w:tr>
      <w:tr>
        <w:trPr>
          <w:trHeight w:val="623"/>
        </w:trPr>
        <w:tc>
          <w:tcPr>
            <w:tcW w:w="13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Schedules</w:t>
            </w:r>
          </w:p>
        </w:tc>
        <w:tc>
          <w:tcPr>
            <w:tcW w:w="720" w:type="dxa"/>
            <w:vAlign w:val="bottom"/>
          </w:tcPr>
          <w:p>
            <w:pPr>
              <w:spacing w:after="0"/>
              <w:rPr>
                <w:sz w:val="24"/>
                <w:szCs w:val="24"/>
                <w:color w:val="auto"/>
              </w:rPr>
            </w:pPr>
          </w:p>
        </w:tc>
        <w:tc>
          <w:tcPr>
            <w:tcW w:w="9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Approved Third Party Contractors</w:t>
            </w:r>
          </w:p>
        </w:tc>
        <w:tc>
          <w:tcPr>
            <w:tcW w:w="0" w:type="dxa"/>
            <w:vAlign w:val="bottom"/>
          </w:tcPr>
          <w:p>
            <w:pPr>
              <w:spacing w:after="0"/>
              <w:rPr>
                <w:sz w:val="1"/>
                <w:szCs w:val="1"/>
                <w:color w:val="auto"/>
              </w:rPr>
            </w:pPr>
          </w:p>
        </w:tc>
      </w:tr>
      <w:tr>
        <w:trPr>
          <w:trHeight w:val="236"/>
        </w:trPr>
        <w:tc>
          <w:tcPr>
            <w:tcW w:w="92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Schedule</w:t>
            </w:r>
          </w:p>
        </w:tc>
        <w:tc>
          <w:tcPr>
            <w:tcW w:w="380" w:type="dxa"/>
            <w:vAlign w:val="bottom"/>
          </w:tcPr>
          <w:p>
            <w:pPr>
              <w:jc w:val="right"/>
              <w:spacing w:after="0" w:line="236" w:lineRule="exact"/>
              <w:rPr>
                <w:sz w:val="20"/>
                <w:szCs w:val="20"/>
                <w:color w:val="auto"/>
              </w:rPr>
            </w:pPr>
            <w:r>
              <w:rPr>
                <w:rFonts w:ascii="Times New Roman" w:cs="Times New Roman" w:eastAsia="Times New Roman" w:hAnsi="Times New Roman"/>
                <w:sz w:val="22"/>
                <w:szCs w:val="22"/>
                <w:color w:val="auto"/>
                <w:w w:val="77"/>
              </w:rPr>
              <w:t>1.16</w:t>
            </w:r>
          </w:p>
        </w:tc>
        <w:tc>
          <w:tcPr>
            <w:tcW w:w="720" w:type="dxa"/>
            <w:vAlign w:val="bottom"/>
          </w:tcPr>
          <w:p>
            <w:pPr>
              <w:spacing w:after="0"/>
              <w:rPr>
                <w:sz w:val="20"/>
                <w:szCs w:val="20"/>
                <w:color w:val="auto"/>
              </w:rPr>
            </w:pPr>
          </w:p>
        </w:tc>
        <w:tc>
          <w:tcPr>
            <w:tcW w:w="9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1.157</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1.167</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Initial Collaboration Target 1 Degrader</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1.187</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1.188</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1.189</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1.193</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1.214</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1.229</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M2 Criteria</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1.259</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Opt-In Data Package</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1.268</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Participation Data Package</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1.275</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Patent Resolution Procedures</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1.286</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Phase 1 Patient Data Package</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1.287</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Phase 1 Ready Criteria</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1.294</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Phase 2 Ready Criteria</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1.318</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Qualified Third Parties</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1.367</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Screening Criteria</w:t>
            </w:r>
          </w:p>
        </w:tc>
        <w:tc>
          <w:tcPr>
            <w:tcW w:w="0" w:type="dxa"/>
            <w:vAlign w:val="bottom"/>
          </w:tcPr>
          <w:p>
            <w:pPr>
              <w:spacing w:after="0"/>
              <w:rPr>
                <w:sz w:val="1"/>
                <w:szCs w:val="1"/>
                <w:color w:val="auto"/>
              </w:rPr>
            </w:pPr>
          </w:p>
        </w:tc>
      </w:tr>
      <w:tr>
        <w:trPr>
          <w:trHeight w:val="243"/>
        </w:trPr>
        <w:tc>
          <w:tcPr>
            <w:tcW w:w="13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w w:val="98"/>
              </w:rPr>
              <w:t>Schedule 2.3.1</w:t>
            </w:r>
          </w:p>
        </w:tc>
        <w:tc>
          <w:tcPr>
            <w:tcW w:w="720" w:type="dxa"/>
            <w:vAlign w:val="bottom"/>
          </w:tcPr>
          <w:p>
            <w:pPr>
              <w:spacing w:after="0"/>
              <w:rPr>
                <w:sz w:val="21"/>
                <w:szCs w:val="21"/>
                <w:color w:val="auto"/>
              </w:rPr>
            </w:pP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Research Plan</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3.1.1(d)</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13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w w:val="98"/>
              </w:rPr>
              <w:t>Schedule 3.2.1</w:t>
            </w:r>
          </w:p>
        </w:tc>
        <w:tc>
          <w:tcPr>
            <w:tcW w:w="720" w:type="dxa"/>
            <w:vAlign w:val="bottom"/>
          </w:tcPr>
          <w:p>
            <w:pPr>
              <w:spacing w:after="0"/>
              <w:rPr>
                <w:sz w:val="21"/>
                <w:szCs w:val="21"/>
                <w:color w:val="auto"/>
              </w:rPr>
            </w:pP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Early Development Plan</w:t>
            </w:r>
          </w:p>
        </w:tc>
        <w:tc>
          <w:tcPr>
            <w:tcW w:w="0" w:type="dxa"/>
            <w:vAlign w:val="bottom"/>
          </w:tcPr>
          <w:p>
            <w:pPr>
              <w:spacing w:after="0"/>
              <w:rPr>
                <w:sz w:val="1"/>
                <w:szCs w:val="1"/>
                <w:color w:val="auto"/>
              </w:rPr>
            </w:pPr>
          </w:p>
        </w:tc>
      </w:tr>
      <w:tr>
        <w:trPr>
          <w:trHeight w:val="243"/>
        </w:trPr>
        <w:tc>
          <w:tcPr>
            <w:tcW w:w="13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w w:val="98"/>
              </w:rPr>
              <w:t>Schedule 5.3.1</w:t>
            </w:r>
          </w:p>
        </w:tc>
        <w:tc>
          <w:tcPr>
            <w:tcW w:w="720" w:type="dxa"/>
            <w:vAlign w:val="bottom"/>
          </w:tcPr>
          <w:p>
            <w:pPr>
              <w:spacing w:after="0"/>
              <w:rPr>
                <w:sz w:val="21"/>
                <w:szCs w:val="21"/>
                <w:color w:val="auto"/>
              </w:rPr>
            </w:pP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Late Development Plan</w:t>
            </w:r>
          </w:p>
        </w:tc>
        <w:tc>
          <w:tcPr>
            <w:tcW w:w="0" w:type="dxa"/>
            <w:vAlign w:val="bottom"/>
          </w:tcPr>
          <w:p>
            <w:pPr>
              <w:spacing w:after="0"/>
              <w:rPr>
                <w:sz w:val="1"/>
                <w:szCs w:val="1"/>
                <w:color w:val="auto"/>
              </w:rPr>
            </w:pPr>
          </w:p>
        </w:tc>
      </w:tr>
      <w:tr>
        <w:trPr>
          <w:trHeight w:val="243"/>
        </w:trPr>
        <w:tc>
          <w:tcPr>
            <w:tcW w:w="13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8.4</w:t>
            </w:r>
          </w:p>
        </w:tc>
        <w:tc>
          <w:tcPr>
            <w:tcW w:w="720" w:type="dxa"/>
            <w:vAlign w:val="bottom"/>
          </w:tcPr>
          <w:p>
            <w:pPr>
              <w:spacing w:after="0"/>
              <w:rPr>
                <w:sz w:val="21"/>
                <w:szCs w:val="21"/>
                <w:color w:val="auto"/>
              </w:rPr>
            </w:pP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CMOs</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9.9.2(b)(iii)</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Expert Disputes</w:t>
            </w:r>
          </w:p>
        </w:tc>
        <w:tc>
          <w:tcPr>
            <w:tcW w:w="0" w:type="dxa"/>
            <w:vAlign w:val="bottom"/>
          </w:tcPr>
          <w:p>
            <w:pPr>
              <w:spacing w:after="0"/>
              <w:rPr>
                <w:sz w:val="1"/>
                <w:szCs w:val="1"/>
                <w:color w:val="auto"/>
              </w:rPr>
            </w:pPr>
          </w:p>
        </w:tc>
      </w:tr>
      <w:tr>
        <w:trPr>
          <w:trHeight w:val="243"/>
        </w:trPr>
        <w:tc>
          <w:tcPr>
            <w:tcW w:w="20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Schedule 9.9.2(b)(iv)</w:t>
            </w:r>
          </w:p>
        </w:tc>
        <w:tc>
          <w:tcPr>
            <w:tcW w:w="9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Arbitration</w:t>
            </w:r>
          </w:p>
        </w:tc>
        <w:tc>
          <w:tcPr>
            <w:tcW w:w="0" w:type="dxa"/>
            <w:vAlign w:val="bottom"/>
          </w:tcPr>
          <w:p>
            <w:pPr>
              <w:spacing w:after="0"/>
              <w:rPr>
                <w:sz w:val="1"/>
                <w:szCs w:val="1"/>
                <w:color w:val="auto"/>
              </w:rPr>
            </w:pPr>
          </w:p>
        </w:tc>
      </w:tr>
      <w:tr>
        <w:trPr>
          <w:trHeight w:val="282"/>
        </w:trPr>
        <w:tc>
          <w:tcPr>
            <w:tcW w:w="20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9.9.2(b)(v)</w:t>
            </w:r>
          </w:p>
        </w:tc>
        <w:tc>
          <w:tcPr>
            <w:tcW w:w="9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“Baseball” Arbitration</w:t>
            </w:r>
          </w:p>
        </w:tc>
        <w:tc>
          <w:tcPr>
            <w:tcW w:w="0" w:type="dxa"/>
            <w:vAlign w:val="bottom"/>
          </w:tcPr>
          <w:p>
            <w:pPr>
              <w:spacing w:after="0"/>
              <w:rPr>
                <w:sz w:val="1"/>
                <w:szCs w:val="1"/>
                <w:color w:val="auto"/>
              </w:rPr>
            </w:pPr>
          </w:p>
        </w:tc>
      </w:tr>
      <w:tr>
        <w:trPr>
          <w:trHeight w:val="406"/>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Exhibits</w:t>
            </w:r>
          </w:p>
        </w:tc>
        <w:tc>
          <w:tcPr>
            <w:tcW w:w="520" w:type="dxa"/>
            <w:vAlign w:val="bottom"/>
            <w:gridSpan w:val="2"/>
          </w:tcPr>
          <w:p>
            <w:pPr>
              <w:spacing w:after="0"/>
              <w:rPr>
                <w:sz w:val="24"/>
                <w:szCs w:val="24"/>
                <w:color w:val="auto"/>
              </w:rPr>
            </w:pPr>
          </w:p>
        </w:tc>
        <w:tc>
          <w:tcPr>
            <w:tcW w:w="99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Terms and Conditions of Development Cost Sharing</w:t>
            </w:r>
          </w:p>
        </w:tc>
        <w:tc>
          <w:tcPr>
            <w:tcW w:w="0" w:type="dxa"/>
            <w:vAlign w:val="bottom"/>
          </w:tcPr>
          <w:p>
            <w:pPr>
              <w:spacing w:after="0"/>
              <w:rPr>
                <w:sz w:val="1"/>
                <w:szCs w:val="1"/>
                <w:color w:val="auto"/>
              </w:rPr>
            </w:pPr>
          </w:p>
        </w:tc>
      </w:tr>
      <w:tr>
        <w:trPr>
          <w:trHeight w:val="236"/>
        </w:trPr>
        <w:tc>
          <w:tcPr>
            <w:tcW w:w="1300" w:type="dxa"/>
            <w:vAlign w:val="bottom"/>
            <w:gridSpan w:val="3"/>
          </w:tcPr>
          <w:p>
            <w:pPr>
              <w:spacing w:after="0" w:line="236" w:lineRule="exact"/>
              <w:rPr>
                <w:sz w:val="20"/>
                <w:szCs w:val="20"/>
                <w:color w:val="auto"/>
              </w:rPr>
            </w:pPr>
            <w:r>
              <w:rPr>
                <w:rFonts w:ascii="Times New Roman" w:cs="Times New Roman" w:eastAsia="Times New Roman" w:hAnsi="Times New Roman"/>
                <w:sz w:val="22"/>
                <w:szCs w:val="22"/>
                <w:color w:val="auto"/>
              </w:rPr>
              <w:t>Exhibit A</w:t>
            </w:r>
          </w:p>
        </w:tc>
        <w:tc>
          <w:tcPr>
            <w:tcW w:w="9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99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Terms and Conditions of Co-Promotion Agreement</w:t>
            </w:r>
          </w:p>
        </w:tc>
        <w:tc>
          <w:tcPr>
            <w:tcW w:w="0" w:type="dxa"/>
            <w:vAlign w:val="bottom"/>
          </w:tcPr>
          <w:p>
            <w:pPr>
              <w:spacing w:after="0"/>
              <w:rPr>
                <w:sz w:val="1"/>
                <w:szCs w:val="1"/>
                <w:color w:val="auto"/>
              </w:rPr>
            </w:pPr>
          </w:p>
        </w:tc>
      </w:tr>
      <w:tr>
        <w:trPr>
          <w:trHeight w:val="243"/>
        </w:trPr>
        <w:tc>
          <w:tcPr>
            <w:tcW w:w="13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99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Terms and Conditions of Cost/Profit Sharing Agreement</w:t>
            </w:r>
          </w:p>
        </w:tc>
        <w:tc>
          <w:tcPr>
            <w:tcW w:w="0" w:type="dxa"/>
            <w:vAlign w:val="bottom"/>
          </w:tcPr>
          <w:p>
            <w:pPr>
              <w:spacing w:after="0"/>
              <w:rPr>
                <w:sz w:val="1"/>
                <w:szCs w:val="1"/>
                <w:color w:val="auto"/>
              </w:rPr>
            </w:pPr>
          </w:p>
        </w:tc>
      </w:tr>
      <w:tr>
        <w:trPr>
          <w:trHeight w:val="243"/>
        </w:trPr>
        <w:tc>
          <w:tcPr>
            <w:tcW w:w="13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99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Kymera Press Release</w:t>
            </w:r>
          </w:p>
        </w:tc>
        <w:tc>
          <w:tcPr>
            <w:tcW w:w="0" w:type="dxa"/>
            <w:vAlign w:val="bottom"/>
          </w:tcPr>
          <w:p>
            <w:pPr>
              <w:spacing w:after="0"/>
              <w:rPr>
                <w:sz w:val="1"/>
                <w:szCs w:val="1"/>
                <w:color w:val="auto"/>
              </w:rPr>
            </w:pPr>
          </w:p>
        </w:tc>
      </w:tr>
      <w:tr>
        <w:trPr>
          <w:trHeight w:val="282"/>
        </w:trPr>
        <w:tc>
          <w:tcPr>
            <w:tcW w:w="13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E</w:t>
            </w:r>
          </w:p>
        </w:tc>
        <w:tc>
          <w:tcPr>
            <w:tcW w:w="9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Sanofi’s form of Phase 2 Election Notice</w:t>
            </w:r>
          </w:p>
        </w:tc>
        <w:tc>
          <w:tcPr>
            <w:tcW w:w="0" w:type="dxa"/>
            <w:vAlign w:val="bottom"/>
          </w:tcPr>
          <w:p>
            <w:pPr>
              <w:spacing w:after="0"/>
              <w:rPr>
                <w:sz w:val="1"/>
                <w:szCs w:val="1"/>
                <w:color w:val="auto"/>
              </w:rPr>
            </w:pPr>
          </w:p>
        </w:tc>
      </w:tr>
      <w:tr>
        <w:trPr>
          <w:trHeight w:val="1885"/>
        </w:trPr>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Amended and Restated Collaboration and License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executed as of November 15, 2022 (the “</w:t>
      </w:r>
      <w:r>
        <w:rPr>
          <w:rFonts w:ascii="Times New Roman" w:cs="Times New Roman" w:eastAsia="Times New Roman" w:hAnsi="Times New Roman"/>
          <w:sz w:val="22"/>
          <w:szCs w:val="22"/>
          <w:b w:val="1"/>
          <w:bCs w:val="1"/>
          <w:color w:val="auto"/>
        </w:rPr>
        <w:t>Restatement Execution Date</w:t>
      </w:r>
      <w:r>
        <w:rPr>
          <w:rFonts w:ascii="Times New Roman" w:cs="Times New Roman" w:eastAsia="Times New Roman" w:hAnsi="Times New Roman"/>
          <w:sz w:val="22"/>
          <w:szCs w:val="22"/>
          <w:color w:val="auto"/>
        </w:rPr>
        <w:t>”) and is by and between Genzyme Corporation, a corporation organized under the laws of the Commonwealth of Massachusetts (“</w:t>
      </w:r>
      <w:r>
        <w:rPr>
          <w:rFonts w:ascii="Times New Roman" w:cs="Times New Roman" w:eastAsia="Times New Roman" w:hAnsi="Times New Roman"/>
          <w:sz w:val="22"/>
          <w:szCs w:val="22"/>
          <w:b w:val="1"/>
          <w:bCs w:val="1"/>
          <w:color w:val="auto"/>
        </w:rPr>
        <w:t>Sanofi</w:t>
      </w:r>
      <w:r>
        <w:rPr>
          <w:rFonts w:ascii="Times New Roman" w:cs="Times New Roman" w:eastAsia="Times New Roman" w:hAnsi="Times New Roman"/>
          <w:sz w:val="22"/>
          <w:szCs w:val="22"/>
          <w:color w:val="auto"/>
        </w:rPr>
        <w:t>”), and Kymera Therapeutics, Inc., a corporation organized under the laws of the State of Delaware (“</w:t>
      </w:r>
      <w:r>
        <w:rPr>
          <w:rFonts w:ascii="Times New Roman" w:cs="Times New Roman" w:eastAsia="Times New Roman" w:hAnsi="Times New Roman"/>
          <w:sz w:val="22"/>
          <w:szCs w:val="22"/>
          <w:b w:val="1"/>
          <w:bCs w:val="1"/>
          <w:color w:val="auto"/>
        </w:rPr>
        <w:t>Kymera</w:t>
      </w:r>
      <w:r>
        <w:rPr>
          <w:rFonts w:ascii="Times New Roman" w:cs="Times New Roman" w:eastAsia="Times New Roman" w:hAnsi="Times New Roman"/>
          <w:sz w:val="22"/>
          <w:szCs w:val="22"/>
          <w:color w:val="auto"/>
        </w:rPr>
        <w:t>”). Sanofi and Kymera each may be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Kymera controls certain Patents and Know-How, technology and expertise relating to ubiquitin-mediated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protein degradation therapeutics;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Sanofi is a global biopharmaceutical company that has expertise in the development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commercialization of pharmaceutical products;</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entered into that certain Collaboration and License Agreement dated as of Original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Execution Date (the “</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pursuant to which the Parties established a strategic collaboration focused on the research, development and commercialization of ubiquitin-mediated protein degradation therapeutics Directed Against the Collaboration Targets for use in the applicable Field; and</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now desire to amend and restate the Original Agreement in its entirety and replace the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with this Agreement.</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respective covenants, representations, warranties and agreements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purposes of this Agreement, the following capitalized terms will have the following meanings: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color w:val="auto"/>
        </w:rPr>
        <w:t>A&amp;R FAD Research 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0"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1.2 “ </w:t>
      </w:r>
      <w:r>
        <w:rPr>
          <w:rFonts w:ascii="Times New Roman" w:cs="Times New Roman" w:eastAsia="Times New Roman" w:hAnsi="Times New Roman"/>
          <w:sz w:val="22"/>
          <w:szCs w:val="22"/>
          <w:b w:val="1"/>
          <w:bCs w:val="1"/>
          <w:color w:val="auto"/>
        </w:rPr>
        <w:t>Accounting Standards</w:t>
      </w:r>
      <w:r>
        <w:rPr>
          <w:rFonts w:ascii="Times New Roman" w:cs="Times New Roman" w:eastAsia="Times New Roman" w:hAnsi="Times New Roman"/>
          <w:sz w:val="22"/>
          <w:szCs w:val="22"/>
          <w:color w:val="auto"/>
        </w:rPr>
        <w:t>” means, with respect to a Party or its Affiliate or Sublicensee, GAAP or IFRS, as such Party, Affiliate or Sublicensee uses for its financial reporting obligations, in each case, consistently applied.</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b w:val="1"/>
          <w:bCs w:val="1"/>
          <w:color w:val="auto"/>
        </w:rPr>
        <w:t>Acquired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10.8.1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color w:val="auto"/>
        </w:rPr>
        <w:t>Acquirer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1.44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Acquiring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10.8.2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b w:val="1"/>
          <w:bCs w:val="1"/>
          <w:color w:val="auto"/>
        </w:rPr>
        <w:t>Acquisition Transaction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10.7.1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color w:val="auto"/>
        </w:rPr>
        <w:t>Actions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18.11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as of any point in time and for so long as such relationship continues to exist with respect to any Person, any other Person that controls, is controlled by or is under common control with such Person. A Person will be regarded as in control of another Person if it (a) owns or controls, directly or indirectly, more than fifty percent (50%) of the equity securities of the subject Person entitled to vote in the election of directors (or, in the case of a Person that is not a corporation, for the election of the corresponding managing authority), or (b) possesses, directly or indirectly, the power to direct or cause the direction of the management or policies of such Person (whether through ownership of securities or other ownership interests, by contract or otherwise).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b w:val="1"/>
          <w:bCs w:val="1"/>
          <w:color w:val="auto"/>
        </w:rPr>
        <w:t>Alliance Manager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b w:val="1"/>
          <w:bCs w:val="1"/>
          <w:color w:val="auto"/>
        </w:rPr>
        <w:t>Allocation Methodology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color w:val="auto"/>
        </w:rPr>
        <w:t>Allowable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b w:val="1"/>
          <w:bCs w:val="1"/>
          <w:color w:val="auto"/>
        </w:rPr>
        <w:t>Annual Net Sales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1.14 “ </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applicable laws, statutes, rules, regulations and other pronouncements having the effect of law of any federal, national, multinational, state, provincial, county, city or other political subdivision, agency or other body, domestic or foreign, including any applicable rules, regulations, guidelines, or other requirements of the Regulatory Authorities that may be in effect from time to time, including the United States Federal Food, Drug, and Cosmetic Act, as amended, GCP, GLP and GMP, anti-bribery laws, such as the United States Anti-Kickback Statute, Foreign Corrupt Practices Act and UK Bribery Act, as well as all applicable data protection and privacy laws, rules and regulations, including the United States Department of Health and Human Services privacy rules under the Health Insurance Portability and Accountability Act, as amended, and the Health Information Technology for Economic and Clinical Health Act and the EU General Data Protection Regulation 2016/679 of the European Parliament and of the Council of 27 April 2016 on the protection of natural persons with regard to the processing of personal data and on the free movement of such data, and repealing Directive 95/46/EC, along with other country-level data protection laws, as may be applicable.</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b w:val="1"/>
          <w:bCs w:val="1"/>
          <w:color w:val="auto"/>
        </w:rPr>
        <w:t>Approval Application</w:t>
      </w:r>
      <w:r>
        <w:rPr>
          <w:rFonts w:ascii="Times New Roman" w:cs="Times New Roman" w:eastAsia="Times New Roman" w:hAnsi="Times New Roman"/>
          <w:sz w:val="22"/>
          <w:szCs w:val="22"/>
          <w:color w:val="auto"/>
        </w:rPr>
        <w:t>” means an NDA or similar application or submission for a pharmaceutical product to a Regulatory Authority in a country or group of countries to obtain Marketing Approval for such pharmaceutical product in that country or group of countries, including any amendment thereof.</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b w:val="1"/>
          <w:bCs w:val="1"/>
          <w:color w:val="auto"/>
        </w:rPr>
        <w:t>Approved Third Party Contractors</w:t>
      </w:r>
      <w:r>
        <w:rPr>
          <w:rFonts w:ascii="Times New Roman" w:cs="Times New Roman" w:eastAsia="Times New Roman" w:hAnsi="Times New Roman"/>
          <w:sz w:val="22"/>
          <w:szCs w:val="22"/>
          <w:color w:val="auto"/>
        </w:rPr>
        <w:t xml:space="preserve">” means (a) the Third Party contractors set forth on </w:t>
      </w:r>
      <w:r>
        <w:rPr>
          <w:rFonts w:ascii="Times New Roman" w:cs="Times New Roman" w:eastAsia="Times New Roman" w:hAnsi="Times New Roman"/>
          <w:sz w:val="22"/>
          <w:szCs w:val="22"/>
          <w:u w:val="single" w:color="auto"/>
          <w:color w:val="auto"/>
        </w:rPr>
        <w:t>Schedule 1.16</w:t>
      </w:r>
      <w:r>
        <w:rPr>
          <w:rFonts w:ascii="Times New Roman" w:cs="Times New Roman" w:eastAsia="Times New Roman" w:hAnsi="Times New Roman"/>
          <w:sz w:val="22"/>
          <w:szCs w:val="22"/>
          <w:color w:val="auto"/>
        </w:rPr>
        <w:t>, and (b) any Subcontractor approved by the JRDC (such approval not to be unreasonably withheld, conditioned or delayed by either Party’s representatives on the JRDC).</w:t>
      </w: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1.17 “ </w:t>
      </w:r>
      <w:r>
        <w:rPr>
          <w:rFonts w:ascii="Times New Roman" w:cs="Times New Roman" w:eastAsia="Times New Roman" w:hAnsi="Times New Roman"/>
          <w:sz w:val="22"/>
          <w:szCs w:val="22"/>
          <w:b w:val="1"/>
          <w:bCs w:val="1"/>
          <w:color w:val="auto"/>
        </w:rPr>
        <w:t>Arbitrator</w:t>
      </w:r>
      <w:r>
        <w:rPr>
          <w:rFonts w:ascii="Times New Roman" w:cs="Times New Roman" w:eastAsia="Times New Roman" w:hAnsi="Times New Roman"/>
          <w:sz w:val="22"/>
          <w:szCs w:val="22"/>
          <w:color w:val="auto"/>
        </w:rPr>
        <w:t xml:space="preserve">” means (a) with respect to </w:t>
      </w:r>
      <w:r>
        <w:rPr>
          <w:rFonts w:ascii="Times New Roman" w:cs="Times New Roman" w:eastAsia="Times New Roman" w:hAnsi="Times New Roman"/>
          <w:sz w:val="22"/>
          <w:szCs w:val="22"/>
          <w:u w:val="single" w:color="auto"/>
          <w:color w:val="auto"/>
        </w:rPr>
        <w:t>Schedule 9.9.2(b)(iv)</w:t>
      </w:r>
      <w:r>
        <w:rPr>
          <w:rFonts w:ascii="Times New Roman" w:cs="Times New Roman" w:eastAsia="Times New Roman" w:hAnsi="Times New Roman"/>
          <w:sz w:val="22"/>
          <w:szCs w:val="22"/>
          <w:color w:val="auto"/>
        </w:rPr>
        <w:t xml:space="preserve">, an individual who (i) is a qualified attorney in private practice or a retired judge, each admitted to practice law in the United States, with expertise in intellectual property matters in the pharmaceutical or biotechnology industry, (ii) is professionally fluent in English, (iii) is not from academia, (iv) has not worked for or been engaged by either Party or its Affiliates, or any other portfolio companies of its material investors, in the [***] period immediately prior to selection of such individual, or (v) does not own equity or debt in either Party or its Affiliates (other than equity or debt owned through a broad based mutual fund or exchange trade fund) and, (b) with respect to </w:t>
      </w:r>
      <w:r>
        <w:rPr>
          <w:rFonts w:ascii="Times New Roman" w:cs="Times New Roman" w:eastAsia="Times New Roman" w:hAnsi="Times New Roman"/>
          <w:sz w:val="22"/>
          <w:szCs w:val="22"/>
          <w:u w:val="single" w:color="auto"/>
          <w:color w:val="auto"/>
        </w:rPr>
        <w:t>Schedule 9.9.2(b)(v)</w:t>
      </w:r>
      <w:r>
        <w:rPr>
          <w:rFonts w:ascii="Times New Roman" w:cs="Times New Roman" w:eastAsia="Times New Roman" w:hAnsi="Times New Roman"/>
          <w:sz w:val="22"/>
          <w:szCs w:val="22"/>
          <w:color w:val="auto"/>
        </w:rPr>
        <w:t>, an individual who (i) is a qualified attorney in private practice or a retired judge, each admitted to practice law the United States, with relevant experience in financial disputes pertaining the pharmaceutical products, (ii) is professionally fluent in English, (iii) is not from academia, (iv) has not worked for or been engaged by either Party or its Affiliates, or any other portfolio companies of its material investors, in the [***] period immediately prior to selection of such individual, or (v) does not own equity or debt in either Party or its Affiliates (other than equity or debt owned through a broad based mutual fund or exchange trade fund).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b w:val="1"/>
          <w:bCs w:val="1"/>
          <w:color w:val="auto"/>
        </w:rPr>
        <w:t>Audited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b w:val="1"/>
          <w:bCs w:val="1"/>
          <w:color w:val="auto"/>
        </w:rPr>
        <w:t>Auditing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b w:val="1"/>
          <w:bCs w:val="1"/>
          <w:color w:val="auto"/>
        </w:rPr>
        <w:t>Authorized Generic</w:t>
      </w:r>
      <w:r>
        <w:rPr>
          <w:rFonts w:ascii="Times New Roman" w:cs="Times New Roman" w:eastAsia="Times New Roman" w:hAnsi="Times New Roman"/>
          <w:sz w:val="22"/>
          <w:szCs w:val="22"/>
          <w:color w:val="auto"/>
        </w:rPr>
        <w:t>” means an authorized generic version of a Licensed Product that is Manufactured by or on behalf of Sanofi, its Affiliate or its Sublicensee or a Third Party designated by Sanofi or its Affiliate or Sublicensee.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color w:val="auto"/>
        </w:rPr>
        <w:t>Backup Degrader Criteria</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1.22 “ </w:t>
      </w:r>
      <w:r>
        <w:rPr>
          <w:rFonts w:ascii="Times New Roman" w:cs="Times New Roman" w:eastAsia="Times New Roman" w:hAnsi="Times New Roman"/>
          <w:sz w:val="22"/>
          <w:szCs w:val="22"/>
          <w:b w:val="1"/>
          <w:bCs w:val="1"/>
          <w:color w:val="auto"/>
        </w:rPr>
        <w:t>Backup Degraders</w:t>
      </w:r>
      <w:r>
        <w:rPr>
          <w:rFonts w:ascii="Times New Roman" w:cs="Times New Roman" w:eastAsia="Times New Roman" w:hAnsi="Times New Roman"/>
          <w:sz w:val="22"/>
          <w:szCs w:val="22"/>
          <w:color w:val="auto"/>
        </w:rPr>
        <w:t>” means (a) for Collaboration Target 1, the Backup Degraders for CT1, and (b) for Collaboration Target 2, the Backup Degraders for CT2.</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color w:val="auto"/>
        </w:rPr>
        <w:t>Backup Degraders for CT1</w:t>
      </w:r>
      <w:r>
        <w:rPr>
          <w:rFonts w:ascii="Times New Roman" w:cs="Times New Roman" w:eastAsia="Times New Roman" w:hAnsi="Times New Roman"/>
          <w:sz w:val="22"/>
          <w:szCs w:val="22"/>
          <w:color w:val="auto"/>
        </w:rPr>
        <w:t>” means [***]. Notwithstanding the foregoing exclusion,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Backup Degraders for CT2</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Backup Research</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color w:val="auto"/>
        </w:rPr>
        <w:t>Backup Research Budget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color w:val="auto"/>
        </w:rPr>
        <w:t>Backup Research Budget Excession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Backup Research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b w:val="1"/>
          <w:bCs w:val="1"/>
          <w:color w:val="auto"/>
        </w:rPr>
        <w:t>Backup Research 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b w:val="1"/>
          <w:bCs w:val="1"/>
          <w:color w:val="auto"/>
        </w:rPr>
        <w:t>Balancing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Bankrupt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1.33 “ </w:t>
      </w:r>
      <w:r>
        <w:rPr>
          <w:rFonts w:ascii="Times New Roman" w:cs="Times New Roman" w:eastAsia="Times New Roman" w:hAnsi="Times New Roman"/>
          <w:sz w:val="22"/>
          <w:szCs w:val="22"/>
          <w:b w:val="1"/>
          <w:bCs w:val="1"/>
          <w:color w:val="auto"/>
        </w:rPr>
        <w:t>Blocking Third Party Intellectual Property</w:t>
      </w:r>
      <w:r>
        <w:rPr>
          <w:rFonts w:ascii="Times New Roman" w:cs="Times New Roman" w:eastAsia="Times New Roman" w:hAnsi="Times New Roman"/>
          <w:sz w:val="22"/>
          <w:szCs w:val="22"/>
          <w:color w:val="auto"/>
        </w:rPr>
        <w:t>” means, with respect to a Collaboration Candidate or Licensed Product in any country, Patents or Know-How in such country owned or controlled by a Third Party (but not then included in Licensed Technology) that [***].</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b w:val="1"/>
          <w:bCs w:val="1"/>
          <w:color w:val="auto"/>
        </w:rPr>
        <w:t>Blocking Third Party Intellectual Property Costs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b w:val="1"/>
          <w:bCs w:val="1"/>
          <w:color w:val="auto"/>
        </w:rPr>
        <w:t>Branding Strategy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1.36 “</w:t>
      </w:r>
      <w:r>
        <w:rPr>
          <w:rFonts w:ascii="Times New Roman" w:cs="Times New Roman" w:eastAsia="Times New Roman" w:hAnsi="Times New Roman"/>
          <w:sz w:val="21"/>
          <w:szCs w:val="21"/>
          <w:b w:val="1"/>
          <w:bCs w:val="1"/>
          <w:color w:val="auto"/>
        </w:rPr>
        <w:t>Breaching Party</w:t>
      </w:r>
      <w:r>
        <w:rPr>
          <w:rFonts w:ascii="Times New Roman" w:cs="Times New Roman" w:eastAsia="Times New Roman" w:hAnsi="Times New Roman"/>
          <w:sz w:val="21"/>
          <w:szCs w:val="21"/>
          <w:color w:val="auto"/>
        </w:rPr>
        <w:t>” means the Party that is believed by the other Party to be in material breach of this Agreement.</w:t>
      </w:r>
    </w:p>
    <w:p>
      <w:pPr>
        <w:spacing w:after="0" w:line="21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a Saturday or Sunday, on which national banks in each of the following locations are open for commercial banking business: Paris, France, Boston, Massachusetts, U.S. and Bridgewater, New Jersey, U.S.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Calendar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1.39 “</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respective periods of three (3) consecutive calendar months ending on March 31, June 30, September 30 or December 31, during the Term, or the applicable part thereof during the first or last calendar quarter of the Term.</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1.40 “ </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any year commencing on January 1 and ending on December 31, or the applicable part thereof during the first or last year of the Term.</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1.41 “ </w:t>
      </w:r>
      <w:r>
        <w:rPr>
          <w:rFonts w:ascii="Times New Roman" w:cs="Times New Roman" w:eastAsia="Times New Roman" w:hAnsi="Times New Roman"/>
          <w:sz w:val="22"/>
          <w:szCs w:val="22"/>
          <w:b w:val="1"/>
          <w:bCs w:val="1"/>
          <w:color w:val="auto"/>
        </w:rPr>
        <w:t>Calendar Year Net Sales</w:t>
      </w:r>
      <w:r>
        <w:rPr>
          <w:rFonts w:ascii="Times New Roman" w:cs="Times New Roman" w:eastAsia="Times New Roman" w:hAnsi="Times New Roman"/>
          <w:sz w:val="22"/>
          <w:szCs w:val="22"/>
          <w:color w:val="auto"/>
        </w:rPr>
        <w:t>” means, on a Licensed Product-by-Licensed Product basis, the total Net Sales by Sanofi, its Affiliates and Sublicensees in the Territory of such Licensed Product in a particular Calendar Year.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1.42 “</w:t>
      </w:r>
      <w:r>
        <w:rPr>
          <w:rFonts w:ascii="Times New Roman" w:cs="Times New Roman" w:eastAsia="Times New Roman" w:hAnsi="Times New Roman"/>
          <w:sz w:val="22"/>
          <w:szCs w:val="22"/>
          <w:b w:val="1"/>
          <w:bCs w:val="1"/>
          <w:color w:val="auto"/>
        </w:rPr>
        <w:t>CDA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1.76</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1.43 “[***]” means [***].</w:t>
      </w:r>
    </w:p>
    <w:p>
      <w:pPr>
        <w:spacing w:after="0" w:line="20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1.44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with respect to a Party, (a) a merger or consolidation of such Party with an Acquirer that results in the voting securities of such Party outstanding immediately prior thereto, or any securities into which such voting securities have been converted or exchanged, ceasing to represent more than fifty percent (50%) of the combined voting power of the surviving entity or the parent of the surviving entity immediately after such merger or consolidation, (b) a transaction or series of related transactions in which an Acquirer, together with its Affiliates, becomes the beneficial owner of more than fifty percent (50%) of the combined voting power of the outstanding securities of such Party, or (c) the sale or other transfer to an Acquirer of all or substantially all of such Party’s business to which the subject matter of this Agreement relates. Notwithstanding the foregoing, with respect to Kymera, the term “Change of Control” will not include any sale of shares of capital stock of Kymera, in a single transaction or series of related transactions in which Kymera issues new securities to institutional investors for cash or the cancellation or conversion of indebtedness or a combination thereof where such</w:t>
      </w:r>
    </w:p>
    <w:p>
      <w:pPr>
        <w:spacing w:after="0" w:line="200" w:lineRule="exact"/>
        <w:rPr>
          <w:sz w:val="20"/>
          <w:szCs w:val="20"/>
          <w:color w:val="auto"/>
        </w:rPr>
      </w:pPr>
    </w:p>
    <w:p>
      <w:pPr>
        <w:spacing w:after="0" w:line="3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transaction(s) are conducted primarily for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equity financing purposes. “</w:t>
      </w:r>
      <w:r>
        <w:rPr>
          <w:rFonts w:ascii="Times New Roman" w:cs="Times New Roman" w:eastAsia="Times New Roman" w:hAnsi="Times New Roman"/>
          <w:sz w:val="22"/>
          <w:szCs w:val="22"/>
          <w:b w:val="1"/>
          <w:bCs w:val="1"/>
          <w:color w:val="auto"/>
        </w:rPr>
        <w:t>Acquirer</w:t>
      </w:r>
      <w:r>
        <w:rPr>
          <w:rFonts w:ascii="Times New Roman" w:cs="Times New Roman" w:eastAsia="Times New Roman" w:hAnsi="Times New Roman"/>
          <w:sz w:val="22"/>
          <w:szCs w:val="22"/>
          <w:color w:val="auto"/>
        </w:rPr>
        <w:t>” means, in the context of a Change of Control, a Third Party or its Affiliates.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1.45 “</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 study in humans that is required to be conducted in accordance with GCP and is designed to generate data in support of an Approval Application.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1.46 “</w:t>
      </w:r>
      <w:r>
        <w:rPr>
          <w:rFonts w:ascii="Times New Roman" w:cs="Times New Roman" w:eastAsia="Times New Roman" w:hAnsi="Times New Roman"/>
          <w:sz w:val="22"/>
          <w:szCs w:val="22"/>
          <w:b w:val="1"/>
          <w:bCs w:val="1"/>
          <w:color w:val="auto"/>
        </w:rPr>
        <w:t>CMC</w:t>
      </w:r>
      <w:r>
        <w:rPr>
          <w:rFonts w:ascii="Times New Roman" w:cs="Times New Roman" w:eastAsia="Times New Roman" w:hAnsi="Times New Roman"/>
          <w:sz w:val="22"/>
          <w:szCs w:val="22"/>
          <w:color w:val="auto"/>
        </w:rPr>
        <w:t>” means chemistry, manufacturing and controls.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b w:val="1"/>
          <w:bCs w:val="1"/>
          <w:color w:val="auto"/>
        </w:rPr>
        <w:t>CMC Transfer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b w:val="1"/>
          <w:bCs w:val="1"/>
          <w:color w:val="auto"/>
        </w:rPr>
        <w:t>CMO</w:t>
      </w:r>
      <w:r>
        <w:rPr>
          <w:rFonts w:ascii="Times New Roman" w:cs="Times New Roman" w:eastAsia="Times New Roman" w:hAnsi="Times New Roman"/>
          <w:sz w:val="22"/>
          <w:szCs w:val="22"/>
          <w:color w:val="auto"/>
        </w:rPr>
        <w:t>” means any Third Party contract manufacturer.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1.49 “</w:t>
      </w:r>
      <w:r>
        <w:rPr>
          <w:rFonts w:ascii="Times New Roman" w:cs="Times New Roman" w:eastAsia="Times New Roman" w:hAnsi="Times New Roman"/>
          <w:sz w:val="22"/>
          <w:szCs w:val="22"/>
          <w:b w:val="1"/>
          <w:bCs w:val="1"/>
          <w:color w:val="auto"/>
        </w:rPr>
        <w:t>Co-Commercialization Budget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6.3.2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1.50 “ </w:t>
      </w:r>
      <w:r>
        <w:rPr>
          <w:rFonts w:ascii="Times New Roman" w:cs="Times New Roman" w:eastAsia="Times New Roman" w:hAnsi="Times New Roman"/>
          <w:sz w:val="22"/>
          <w:szCs w:val="22"/>
          <w:b w:val="1"/>
          <w:bCs w:val="1"/>
          <w:color w:val="auto"/>
        </w:rPr>
        <w:t>Co-Commercialization Plan</w:t>
      </w:r>
      <w:r>
        <w:rPr>
          <w:rFonts w:ascii="Times New Roman" w:cs="Times New Roman" w:eastAsia="Times New Roman" w:hAnsi="Times New Roman"/>
          <w:sz w:val="22"/>
          <w:szCs w:val="22"/>
          <w:color w:val="auto"/>
        </w:rPr>
        <w:t>” means, on a Collaboration Target-by-Collaboration Target basis, the [***] comprehensive plan for the Commercialization of the Opt-In Products Directed Against such Collaboration Target in [***], which will include the following:</w:t>
      </w:r>
    </w:p>
    <w:p>
      <w:pPr>
        <w:spacing w:after="0" w:line="171" w:lineRule="exact"/>
        <w:rPr>
          <w:sz w:val="20"/>
          <w:szCs w:val="20"/>
          <w:color w:val="auto"/>
        </w:rPr>
      </w:pPr>
    </w:p>
    <w:p>
      <w:pPr>
        <w:ind w:left="1900"/>
        <w:spacing w:after="0"/>
        <w:tabs>
          <w:tab w:leader="none" w:pos="2740" w:val="left"/>
        </w:tabs>
        <w:rPr>
          <w:sz w:val="20"/>
          <w:szCs w:val="20"/>
          <w:color w:val="auto"/>
        </w:rPr>
      </w:pPr>
      <w:r>
        <w:rPr>
          <w:rFonts w:ascii="Times New Roman" w:cs="Times New Roman" w:eastAsia="Times New Roman" w:hAnsi="Times New Roman"/>
          <w:sz w:val="22"/>
          <w:szCs w:val="22"/>
          <w:color w:val="auto"/>
        </w:rPr>
        <w:t>1.50.1</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00"/>
        <w:spacing w:after="0"/>
        <w:tabs>
          <w:tab w:leader="none" w:pos="2740" w:val="left"/>
        </w:tabs>
        <w:rPr>
          <w:sz w:val="20"/>
          <w:szCs w:val="20"/>
          <w:color w:val="auto"/>
        </w:rPr>
      </w:pPr>
      <w:r>
        <w:rPr>
          <w:rFonts w:ascii="Times New Roman" w:cs="Times New Roman" w:eastAsia="Times New Roman" w:hAnsi="Times New Roman"/>
          <w:sz w:val="22"/>
          <w:szCs w:val="22"/>
          <w:color w:val="auto"/>
        </w:rPr>
        <w:t>1.50.2</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00"/>
        <w:spacing w:after="0"/>
        <w:tabs>
          <w:tab w:leader="none" w:pos="2740" w:val="left"/>
        </w:tabs>
        <w:rPr>
          <w:sz w:val="20"/>
          <w:szCs w:val="20"/>
          <w:color w:val="auto"/>
        </w:rPr>
      </w:pPr>
      <w:r>
        <w:rPr>
          <w:rFonts w:ascii="Times New Roman" w:cs="Times New Roman" w:eastAsia="Times New Roman" w:hAnsi="Times New Roman"/>
          <w:sz w:val="22"/>
          <w:szCs w:val="22"/>
          <w:color w:val="auto"/>
        </w:rPr>
        <w:t>1.50.3</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00"/>
        <w:spacing w:after="0"/>
        <w:tabs>
          <w:tab w:leader="none" w:pos="2740" w:val="left"/>
        </w:tabs>
        <w:rPr>
          <w:sz w:val="20"/>
          <w:szCs w:val="20"/>
          <w:color w:val="auto"/>
        </w:rPr>
      </w:pPr>
      <w:r>
        <w:rPr>
          <w:rFonts w:ascii="Times New Roman" w:cs="Times New Roman" w:eastAsia="Times New Roman" w:hAnsi="Times New Roman"/>
          <w:sz w:val="22"/>
          <w:szCs w:val="22"/>
          <w:color w:val="auto"/>
        </w:rPr>
        <w:t>1.50.4</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00"/>
        <w:spacing w:after="0"/>
        <w:tabs>
          <w:tab w:leader="none" w:pos="2740" w:val="left"/>
        </w:tabs>
        <w:rPr>
          <w:sz w:val="20"/>
          <w:szCs w:val="20"/>
          <w:color w:val="auto"/>
        </w:rPr>
      </w:pPr>
      <w:r>
        <w:rPr>
          <w:rFonts w:ascii="Times New Roman" w:cs="Times New Roman" w:eastAsia="Times New Roman" w:hAnsi="Times New Roman"/>
          <w:sz w:val="22"/>
          <w:szCs w:val="22"/>
          <w:color w:val="auto"/>
        </w:rPr>
        <w:t>1.50.5</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1.51 “ </w:t>
      </w:r>
      <w:r>
        <w:rPr>
          <w:rFonts w:ascii="Times New Roman" w:cs="Times New Roman" w:eastAsia="Times New Roman" w:hAnsi="Times New Roman"/>
          <w:sz w:val="22"/>
          <w:szCs w:val="22"/>
          <w:b w:val="1"/>
          <w:bCs w:val="1"/>
          <w:color w:val="auto"/>
        </w:rPr>
        <w:t>Co-Promote</w:t>
      </w:r>
      <w:r>
        <w:rPr>
          <w:rFonts w:ascii="Times New Roman" w:cs="Times New Roman" w:eastAsia="Times New Roman" w:hAnsi="Times New Roman"/>
          <w:sz w:val="22"/>
          <w:szCs w:val="22"/>
          <w:color w:val="auto"/>
        </w:rPr>
        <w:t xml:space="preserve">” means, on a Collaboration Target-by-Collaboration Target basis, with respect to the Opt-In Products Directed Against such Collaboration Target for which Kymera exercises the Kymera Co-Promote Right for such Collaboration Target in accordance with </w:t>
      </w:r>
      <w:r>
        <w:rPr>
          <w:rFonts w:ascii="Times New Roman" w:cs="Times New Roman" w:eastAsia="Times New Roman" w:hAnsi="Times New Roman"/>
          <w:sz w:val="22"/>
          <w:szCs w:val="22"/>
          <w:u w:val="single" w:color="auto"/>
          <w:color w:val="auto"/>
        </w:rPr>
        <w:t>Section 9.2.2(i)</w:t>
      </w:r>
      <w:r>
        <w:rPr>
          <w:rFonts w:ascii="Times New Roman" w:cs="Times New Roman" w:eastAsia="Times New Roman" w:hAnsi="Times New Roman"/>
          <w:sz w:val="22"/>
          <w:szCs w:val="22"/>
          <w:color w:val="auto"/>
        </w:rPr>
        <w:t xml:space="preserve">, Detailing activities with respect to such Opt-In Products undertaken by or on behalf of either Party in the United States pursuant to the terms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Co-Promotion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Co-Promoting</w:t>
      </w:r>
      <w:r>
        <w:rPr>
          <w:rFonts w:ascii="Times New Roman" w:cs="Times New Roman" w:eastAsia="Times New Roman" w:hAnsi="Times New Roman"/>
          <w:sz w:val="22"/>
          <w:szCs w:val="22"/>
          <w:color w:val="auto"/>
        </w:rPr>
        <w:t>” will have a correlative meaning.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b w:val="1"/>
          <w:bCs w:val="1"/>
          <w:color w:val="auto"/>
        </w:rPr>
        <w:t>Co-Promote Opt-Out Right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b w:val="1"/>
          <w:bCs w:val="1"/>
          <w:color w:val="auto"/>
        </w:rPr>
        <w:t>Co-Promote Period</w:t>
      </w:r>
      <w:r>
        <w:rPr>
          <w:rFonts w:ascii="Times New Roman" w:cs="Times New Roman" w:eastAsia="Times New Roman" w:hAnsi="Times New Roman"/>
          <w:sz w:val="22"/>
          <w:szCs w:val="22"/>
          <w:color w:val="auto"/>
        </w:rPr>
        <w:t>” means, on a Collaboration Target-by-Collaboration Target basis, the period of time from the Kymera Co-Promote Effective Date (if any) until the termination or expiration of the Co-Promotion Agreement.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1.54 “</w:t>
      </w:r>
      <w:r>
        <w:rPr>
          <w:rFonts w:ascii="Times New Roman" w:cs="Times New Roman" w:eastAsia="Times New Roman" w:hAnsi="Times New Roman"/>
          <w:sz w:val="22"/>
          <w:szCs w:val="22"/>
          <w:b w:val="1"/>
          <w:bCs w:val="1"/>
          <w:color w:val="auto"/>
        </w:rPr>
        <w:t>Co-Promotion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1.55 “</w:t>
      </w:r>
      <w:r>
        <w:rPr>
          <w:rFonts w:ascii="Times New Roman" w:cs="Times New Roman" w:eastAsia="Times New Roman" w:hAnsi="Times New Roman"/>
          <w:sz w:val="22"/>
          <w:szCs w:val="22"/>
          <w:b w:val="1"/>
          <w:bCs w:val="1"/>
          <w:color w:val="auto"/>
        </w:rPr>
        <w:t>Co-Promotion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1.56 “</w:t>
      </w:r>
      <w:r>
        <w:rPr>
          <w:rFonts w:ascii="Times New Roman" w:cs="Times New Roman" w:eastAsia="Times New Roman" w:hAnsi="Times New Roman"/>
          <w:sz w:val="22"/>
          <w:szCs w:val="22"/>
          <w:b w:val="1"/>
          <w:bCs w:val="1"/>
          <w:color w:val="auto"/>
        </w:rPr>
        <w:t>Co-Promotion 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76" w:name="page177"/>
    <w:bookmarkEnd w:id="176"/>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1.57 “</w:t>
      </w:r>
      <w:r>
        <w:rPr>
          <w:rFonts w:ascii="Times New Roman" w:cs="Times New Roman" w:eastAsia="Times New Roman" w:hAnsi="Times New Roman"/>
          <w:sz w:val="22"/>
          <w:szCs w:val="22"/>
          <w:b w:val="1"/>
          <w:bCs w:val="1"/>
          <w:color w:val="auto"/>
        </w:rPr>
        <w:t>Co-Promotion Wind-Down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1.58 “</w:t>
      </w:r>
      <w:r>
        <w:rPr>
          <w:rFonts w:ascii="Times New Roman" w:cs="Times New Roman" w:eastAsia="Times New Roman" w:hAnsi="Times New Roman"/>
          <w:sz w:val="22"/>
          <w:szCs w:val="22"/>
          <w:b w:val="1"/>
          <w:bCs w:val="1"/>
          <w:color w:val="auto"/>
        </w:rPr>
        <w:t>Collaboration Candidates</w:t>
      </w:r>
      <w:r>
        <w:rPr>
          <w:rFonts w:ascii="Times New Roman" w:cs="Times New Roman" w:eastAsia="Times New Roman" w:hAnsi="Times New Roman"/>
          <w:sz w:val="22"/>
          <w:szCs w:val="22"/>
          <w:color w:val="auto"/>
        </w:rPr>
        <w:t>” means any [***].</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b w:val="1"/>
          <w:bCs w:val="1"/>
          <w:color w:val="auto"/>
        </w:rPr>
        <w:t>Collaboration Compounds</w:t>
      </w:r>
      <w:r>
        <w:rPr>
          <w:rFonts w:ascii="Times New Roman" w:cs="Times New Roman" w:eastAsia="Times New Roman" w:hAnsi="Times New Roman"/>
          <w:sz w:val="22"/>
          <w:szCs w:val="22"/>
          <w:color w:val="auto"/>
        </w:rPr>
        <w:t>” means, (a) for Collaboration Target 1, the Collaboration Target 1 Degraders, and (b) for Collaboration Target 2, the Collaboration Target 2 Degraders.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b w:val="1"/>
          <w:bCs w:val="1"/>
          <w:color w:val="auto"/>
        </w:rPr>
        <w:t>Collaboration In-License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11.5.1(b)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1.61 “</w:t>
      </w:r>
      <w:r>
        <w:rPr>
          <w:rFonts w:ascii="Times New Roman" w:cs="Times New Roman" w:eastAsia="Times New Roman" w:hAnsi="Times New Roman"/>
          <w:sz w:val="22"/>
          <w:szCs w:val="22"/>
          <w:b w:val="1"/>
          <w:bCs w:val="1"/>
          <w:color w:val="auto"/>
        </w:rPr>
        <w:t>Collaboration In-License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11.5.2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1.62 “</w:t>
      </w:r>
      <w:r>
        <w:rPr>
          <w:rFonts w:ascii="Times New Roman" w:cs="Times New Roman" w:eastAsia="Times New Roman" w:hAnsi="Times New Roman"/>
          <w:sz w:val="22"/>
          <w:szCs w:val="22"/>
          <w:b w:val="1"/>
          <w:bCs w:val="1"/>
          <w:color w:val="auto"/>
        </w:rPr>
        <w:t>Collaboration Target</w:t>
      </w:r>
      <w:r>
        <w:rPr>
          <w:rFonts w:ascii="Times New Roman" w:cs="Times New Roman" w:eastAsia="Times New Roman" w:hAnsi="Times New Roman"/>
          <w:sz w:val="22"/>
          <w:szCs w:val="22"/>
          <w:color w:val="auto"/>
        </w:rPr>
        <w:t>” means Collaboration Target 1 or Collaboration Target 2, as the context requires.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1.63 “</w:t>
      </w:r>
      <w:r>
        <w:rPr>
          <w:rFonts w:ascii="Times New Roman" w:cs="Times New Roman" w:eastAsia="Times New Roman" w:hAnsi="Times New Roman"/>
          <w:sz w:val="22"/>
          <w:szCs w:val="22"/>
          <w:b w:val="1"/>
          <w:bCs w:val="1"/>
          <w:color w:val="auto"/>
        </w:rPr>
        <w:t>Collaboration Target 1</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1.64 “ </w:t>
      </w:r>
      <w:r>
        <w:rPr>
          <w:rFonts w:ascii="Times New Roman" w:cs="Times New Roman" w:eastAsia="Times New Roman" w:hAnsi="Times New Roman"/>
          <w:sz w:val="22"/>
          <w:szCs w:val="22"/>
          <w:b w:val="1"/>
          <w:bCs w:val="1"/>
          <w:color w:val="auto"/>
        </w:rPr>
        <w:t>Collaboration Target 1 Degraders</w:t>
      </w:r>
      <w:r>
        <w:rPr>
          <w:rFonts w:ascii="Times New Roman" w:cs="Times New Roman" w:eastAsia="Times New Roman" w:hAnsi="Times New Roman"/>
          <w:sz w:val="22"/>
          <w:szCs w:val="22"/>
          <w:color w:val="auto"/>
        </w:rPr>
        <w:t>” means [***]. For clarity, the Collaboration Target 1 Degraders exclude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1.65 “</w:t>
      </w:r>
      <w:r>
        <w:rPr>
          <w:rFonts w:ascii="Times New Roman" w:cs="Times New Roman" w:eastAsia="Times New Roman" w:hAnsi="Times New Roman"/>
          <w:sz w:val="22"/>
          <w:szCs w:val="22"/>
          <w:b w:val="1"/>
          <w:bCs w:val="1"/>
          <w:color w:val="auto"/>
        </w:rPr>
        <w:t>Collaboration Target 2</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1.66 “</w:t>
      </w:r>
      <w:r>
        <w:rPr>
          <w:rFonts w:ascii="Times New Roman" w:cs="Times New Roman" w:eastAsia="Times New Roman" w:hAnsi="Times New Roman"/>
          <w:sz w:val="22"/>
          <w:szCs w:val="22"/>
          <w:b w:val="1"/>
          <w:bCs w:val="1"/>
          <w:color w:val="auto"/>
        </w:rPr>
        <w:t>Collaboration Target 2 Degraders</w:t>
      </w:r>
      <w:r>
        <w:rPr>
          <w:rFonts w:ascii="Times New Roman" w:cs="Times New Roman" w:eastAsia="Times New Roman" w:hAnsi="Times New Roman"/>
          <w:sz w:val="22"/>
          <w:szCs w:val="22"/>
          <w:color w:val="auto"/>
        </w:rPr>
        <w:t>” means (a) the Initial Collaboration Target 2 Degraders, and (b) the Backup Degraders for CT2.</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1.67 “</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1.250(j)</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1.68 “</w:t>
      </w:r>
      <w:r>
        <w:rPr>
          <w:rFonts w:ascii="Times New Roman" w:cs="Times New Roman" w:eastAsia="Times New Roman" w:hAnsi="Times New Roman"/>
          <w:sz w:val="22"/>
          <w:szCs w:val="22"/>
          <w:b w:val="1"/>
          <w:bCs w:val="1"/>
          <w:color w:val="auto"/>
        </w:rPr>
        <w:t>Commercial Milestone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1.69 “</w:t>
      </w:r>
      <w:r>
        <w:rPr>
          <w:rFonts w:ascii="Times New Roman" w:cs="Times New Roman" w:eastAsia="Times New Roman" w:hAnsi="Times New Roman"/>
          <w:sz w:val="22"/>
          <w:szCs w:val="22"/>
          <w:b w:val="1"/>
          <w:bCs w:val="1"/>
          <w:color w:val="auto"/>
        </w:rPr>
        <w:t>Commercial Milestone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1.70 “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Commercializing</w:t>
      </w:r>
      <w:r>
        <w:rPr>
          <w:rFonts w:ascii="Times New Roman" w:cs="Times New Roman" w:eastAsia="Times New Roman" w:hAnsi="Times New Roman"/>
          <w:sz w:val="22"/>
          <w:szCs w:val="22"/>
          <w:color w:val="auto"/>
        </w:rPr>
        <w:t>” means, in respect of a Licensed Product, to (a) market, advertise, promote, Detail, distribute, offer for sale, sell, have sold, import, have imported, export, have exported or otherwise exploit, (b) conduct activities, other than Research, Development and Manufacturing, in preparation for the foregoing activities, including obtaining Price Approval or (c) conduct post-Marketing Approval commitments or studies (including Phase 4 Clinical Trials). When used as a noun, “</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any activities involved in Commercializing.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1.71 “</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1.72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means each of the JSC and each Subcommittee.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1.73 “</w:t>
      </w:r>
      <w:r>
        <w:rPr>
          <w:rFonts w:ascii="Times New Roman" w:cs="Times New Roman" w:eastAsia="Times New Roman" w:hAnsi="Times New Roman"/>
          <w:sz w:val="22"/>
          <w:szCs w:val="22"/>
          <w:b w:val="1"/>
          <w:bCs w:val="1"/>
          <w:color w:val="auto"/>
        </w:rPr>
        <w:t>Competing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10.7.1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1.74 “</w:t>
      </w:r>
      <w:r>
        <w:rPr>
          <w:rFonts w:ascii="Times New Roman" w:cs="Times New Roman" w:eastAsia="Times New Roman" w:hAnsi="Times New Roman"/>
          <w:sz w:val="22"/>
          <w:szCs w:val="22"/>
          <w:b w:val="1"/>
          <w:bCs w:val="1"/>
          <w:color w:val="auto"/>
        </w:rPr>
        <w:t>Competing Product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10.7.1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77" w:name="page178"/>
    <w:bookmarkEnd w:id="177"/>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1.75 “</w:t>
      </w:r>
      <w:r>
        <w:rPr>
          <w:rFonts w:ascii="Times New Roman" w:cs="Times New Roman" w:eastAsia="Times New Roman" w:hAnsi="Times New Roman"/>
          <w:sz w:val="22"/>
          <w:szCs w:val="22"/>
          <w:b w:val="1"/>
          <w:bCs w:val="1"/>
          <w:color w:val="auto"/>
        </w:rPr>
        <w:t>Competitive Infringement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12.4.1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1.76 “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with respect to each Party, all Know-How or other information, including proprietary information (whether or not patentable) regarding or embodying such Party’s technology, products, business information or objectives, that is communicated in any way or form by or on behalf of the Disclosing Party to the Receiving Party or its permitted recipients, pursuant to this Agreement or that certain Confidentiality Agreement between Sanofi and Kymera dated July 31, 2018, as amended or restated from time to time (the “</w:t>
      </w:r>
      <w:r>
        <w:rPr>
          <w:rFonts w:ascii="Times New Roman" w:cs="Times New Roman" w:eastAsia="Times New Roman" w:hAnsi="Times New Roman"/>
          <w:sz w:val="22"/>
          <w:szCs w:val="22"/>
          <w:b w:val="1"/>
          <w:bCs w:val="1"/>
          <w:color w:val="auto"/>
        </w:rPr>
        <w:t>CDA</w:t>
      </w:r>
      <w:r>
        <w:rPr>
          <w:rFonts w:ascii="Times New Roman" w:cs="Times New Roman" w:eastAsia="Times New Roman" w:hAnsi="Times New Roman"/>
          <w:sz w:val="22"/>
          <w:szCs w:val="22"/>
          <w:color w:val="auto"/>
        </w:rPr>
        <w:t>”), whether or not such Know-How or other information is identified as confidential at the time of disclosure. For clarity, the Degrader Platform will be the Confidential Information of Kymera. Notwithstanding the foregoing, Confidential Information does not include any Know-How or information that: (a) was already known by the Receiving Party (other than under an obligation of confidentiality to the Disclosing Party) at the time of disclosure by or on behalf of the Disclosing Party; (b) was generally available to the public or otherwise part of the public domain at the time of its disclosure to the Receiving Party; (c) became generally available to the public or otherwise part of the public domain after its disclosure to the Receiving Party, other than through any act or omission of the Receiving Party in breach of its obligations under this Agreement; (d) was disclosed to the Receiving Party, other than under an obligation of confidentiality, by a Third Party who had no obligation to the Disclosing Party not to disclose such information to the Receiving Party; or (e) was independently discovered or developed by or on behalf of the Receiving Party without the use of any Confidential Information belonging to the Disclosing Party. Confidential Information disclosed to the Receiving Party hereunder will not be deemed to fall within the foregoing exceptions merely because broader or related information falls within such exceptions, nor will combinations of elements or principles be considered to fall within the foregoing exceptions merely because individual elements of such combinations fall within such exceptions. Without limiting the foregoing, and notwithstanding clauses (a), (d) and (e) of the preceding sentence: [***].</w:t>
      </w:r>
    </w:p>
    <w:p>
      <w:pPr>
        <w:spacing w:after="0" w:line="18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1.77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xml:space="preserve">” means with respect to a Party any Know-How, Patent or Materials, possession of the ability by such Party or its Affiliate (whether by sole or joint ownership, license or otherwise), other than pursuant to this Agreement, to grant, without violating the terms of any agreement with a Third Party, a license, access or other right in, to or under such Know-How, Patent or Materials. Notwithstanding anything in this Agreement to the contrary, a Party and its Affiliates will be deemed to not Control any Know-How, Patents or Materials that are owned or controlled by a Third Party described in the definition of “Change of Control,” or such Third Party’s Affiliates (other than an Affiliate of such Party prior to the Change of Control), (a) prior to the closing of such Change of Control, except to the extent that any such Know-How, Patents or Materials were developed by such Third Party prior to such Change of Control using or incorporating such Party’s or its pre-existing Affiliate’s Know-How, Patents or Materials, or (b) after such Change of Control to the extent that such Know-How, Patents or Materials are developed or conceived by such Third Party or its Affiliates (other than such Party) after such Change of Control without using or incorporating such Party’s or its pre-existing Affiliate’s Know-How, Patents or Materials. Kymera and its Affiliates will not be deemed to Control any Patents or Know-How licensed to Kymera pursuant to a Potential In-License entered into after the Original Agreement Execution Date unless such Potential In-License becomes a Collaboration In-License Agreement in accordance with </w:t>
      </w:r>
      <w:r>
        <w:rPr>
          <w:rFonts w:ascii="Times New Roman" w:cs="Times New Roman" w:eastAsia="Times New Roman" w:hAnsi="Times New Roman"/>
          <w:sz w:val="22"/>
          <w:szCs w:val="22"/>
          <w:u w:val="single" w:color="auto"/>
          <w:color w:val="auto"/>
        </w:rPr>
        <w:t>Sections 11.5.1(b)(i)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11.5.2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78" w:name="page179"/>
    <w:bookmarkEnd w:id="178"/>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1.78 “</w:t>
      </w:r>
      <w:r>
        <w:rPr>
          <w:rFonts w:ascii="Times New Roman" w:cs="Times New Roman" w:eastAsia="Times New Roman" w:hAnsi="Times New Roman"/>
          <w:sz w:val="22"/>
          <w:szCs w:val="22"/>
          <w:b w:val="1"/>
          <w:bCs w:val="1"/>
          <w:color w:val="auto"/>
        </w:rPr>
        <w:t>Corrective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1.79 “</w:t>
      </w:r>
      <w:r>
        <w:rPr>
          <w:rFonts w:ascii="Times New Roman" w:cs="Times New Roman" w:eastAsia="Times New Roman" w:hAnsi="Times New Roman"/>
          <w:sz w:val="22"/>
          <w:szCs w:val="22"/>
          <w:b w:val="1"/>
          <w:bCs w:val="1"/>
          <w:color w:val="auto"/>
        </w:rPr>
        <w:t>Cost/Profit Share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1.80 “</w:t>
      </w:r>
      <w:r>
        <w:rPr>
          <w:rFonts w:ascii="Times New Roman" w:cs="Times New Roman" w:eastAsia="Times New Roman" w:hAnsi="Times New Roman"/>
          <w:sz w:val="22"/>
          <w:szCs w:val="22"/>
          <w:b w:val="1"/>
          <w:bCs w:val="1"/>
          <w:color w:val="auto"/>
        </w:rPr>
        <w:t>Cost/Profit Sharing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1.81 “</w:t>
      </w:r>
      <w:r>
        <w:rPr>
          <w:rFonts w:ascii="Times New Roman" w:cs="Times New Roman" w:eastAsia="Times New Roman" w:hAnsi="Times New Roman"/>
          <w:sz w:val="22"/>
          <w:szCs w:val="22"/>
          <w:b w:val="1"/>
          <w:bCs w:val="1"/>
          <w:color w:val="auto"/>
        </w:rPr>
        <w:t>Counterparty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1.399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1.82 “</w:t>
      </w:r>
      <w:r>
        <w:rPr>
          <w:rFonts w:ascii="Times New Roman" w:cs="Times New Roman" w:eastAsia="Times New Roman" w:hAnsi="Times New Roman"/>
          <w:sz w:val="21"/>
          <w:szCs w:val="21"/>
          <w:b w:val="1"/>
          <w:bCs w:val="1"/>
          <w:color w:val="auto"/>
        </w:rPr>
        <w:t>Cover</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Covering</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Covers</w:t>
      </w:r>
      <w:r>
        <w:rPr>
          <w:rFonts w:ascii="Times New Roman" w:cs="Times New Roman" w:eastAsia="Times New Roman" w:hAnsi="Times New Roman"/>
          <w:sz w:val="21"/>
          <w:szCs w:val="21"/>
          <w:color w:val="auto"/>
        </w:rPr>
        <w:t>” means (a) as to a compound or product (or [***]) and a Patent, that, in the absence of a license granted under, or ownership of, such Patent, the making, using, selling, offering for sale or importation of such compound or product (or [***]) would infringe such Patent or, as to a pending claim included in such Patent, the making, using, selling, offering for sale or importation of such compound or product (or [***]) would infringe such Patent if such pending claim were to issue in an issued patent without modification, (b) as to Know-How and a Patent, that, in the absence of a license granted under, or ownership of, such Patent, the use or practice of such Know-How would infringe such Patent or, as to a pending claim included in such Patent, the use or practice of such Know-How would infringe such Patent if such pending claim were to issue in an issued patent without modification and (c) as to a compound, product or technology and Know-How, that the exploitation of such compound, product or technology incorporates, uses, employs, embodies, or practices such Know-How.</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1.83 “</w:t>
      </w:r>
      <w:r>
        <w:rPr>
          <w:rFonts w:ascii="Times New Roman" w:cs="Times New Roman" w:eastAsia="Times New Roman" w:hAnsi="Times New Roman"/>
          <w:sz w:val="22"/>
          <w:szCs w:val="22"/>
          <w:b w:val="1"/>
          <w:bCs w:val="1"/>
          <w:color w:val="auto"/>
        </w:rPr>
        <w:t>CTA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1.161</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1.84 “[***]” means, [***].</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1.85 “</w:t>
      </w:r>
      <w:r>
        <w:rPr>
          <w:rFonts w:ascii="Times New Roman" w:cs="Times New Roman" w:eastAsia="Times New Roman" w:hAnsi="Times New Roman"/>
          <w:sz w:val="22"/>
          <w:szCs w:val="22"/>
          <w:b w:val="1"/>
          <w:bCs w:val="1"/>
          <w:color w:val="auto"/>
        </w:rPr>
        <w:t>Defending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1.86 “</w:t>
      </w:r>
      <w:r>
        <w:rPr>
          <w:rFonts w:ascii="Times New Roman" w:cs="Times New Roman" w:eastAsia="Times New Roman" w:hAnsi="Times New Roman"/>
          <w:sz w:val="22"/>
          <w:szCs w:val="22"/>
          <w:b w:val="1"/>
          <w:bCs w:val="1"/>
          <w:color w:val="auto"/>
        </w:rPr>
        <w:t>Deferred Costs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1.87 “</w:t>
      </w:r>
      <w:r>
        <w:rPr>
          <w:rFonts w:ascii="Times New Roman" w:cs="Times New Roman" w:eastAsia="Times New Roman" w:hAnsi="Times New Roman"/>
          <w:sz w:val="22"/>
          <w:szCs w:val="22"/>
          <w:b w:val="1"/>
          <w:bCs w:val="1"/>
          <w:color w:val="auto"/>
        </w:rPr>
        <w:t>Degrader</w:t>
      </w:r>
      <w:r>
        <w:rPr>
          <w:rFonts w:ascii="Times New Roman" w:cs="Times New Roman" w:eastAsia="Times New Roman" w:hAnsi="Times New Roman"/>
          <w:sz w:val="22"/>
          <w:szCs w:val="22"/>
          <w:color w:val="auto"/>
        </w:rPr>
        <w:t>” means [***].</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1.88 “[***]” means, [***]. For clarity,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1.89 “[***]” has the meaning set forth in </w:t>
      </w:r>
      <w:r>
        <w:rPr>
          <w:rFonts w:ascii="Times New Roman" w:cs="Times New Roman" w:eastAsia="Times New Roman" w:hAnsi="Times New Roman"/>
          <w:sz w:val="22"/>
          <w:szCs w:val="22"/>
          <w:u w:val="single" w:color="auto"/>
          <w:color w:val="auto"/>
        </w:rPr>
        <w:t>Section 9.9.2(b)(iv)</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1.90 “</w:t>
      </w:r>
      <w:r>
        <w:rPr>
          <w:rFonts w:ascii="Times New Roman" w:cs="Times New Roman" w:eastAsia="Times New Roman" w:hAnsi="Times New Roman"/>
          <w:sz w:val="22"/>
          <w:szCs w:val="22"/>
          <w:b w:val="1"/>
          <w:bCs w:val="1"/>
          <w:color w:val="auto"/>
        </w:rPr>
        <w:t>Degrader Platform</w:t>
      </w:r>
      <w:r>
        <w:rPr>
          <w:rFonts w:ascii="Times New Roman" w:cs="Times New Roman" w:eastAsia="Times New Roman" w:hAnsi="Times New Roman"/>
          <w:sz w:val="22"/>
          <w:szCs w:val="22"/>
          <w:color w:val="auto"/>
        </w:rPr>
        <w:t xml:space="preserve">” means Kymera’s proprietary Know-How with respect to the identification, development, synthesis, manufacture and optimization of Degraders, including any such proprietary Know-How with respect to [***], together with any and all Patents Controlled by Kymera or its Affiliates that Cover any of the foregoing Know-How;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 For clarity, Know-How of Kymera will be considered proprietary if [***].</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1.91 “</w:t>
      </w:r>
      <w:r>
        <w:rPr>
          <w:rFonts w:ascii="Times New Roman" w:cs="Times New Roman" w:eastAsia="Times New Roman" w:hAnsi="Times New Roman"/>
          <w:sz w:val="22"/>
          <w:szCs w:val="22"/>
          <w:b w:val="1"/>
          <w:bCs w:val="1"/>
          <w:color w:val="auto"/>
        </w:rPr>
        <w:t>Designated Sales Force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1.92 “ </w:t>
      </w:r>
      <w:r>
        <w:rPr>
          <w:rFonts w:ascii="Times New Roman" w:cs="Times New Roman" w:eastAsia="Times New Roman" w:hAnsi="Times New Roman"/>
          <w:sz w:val="22"/>
          <w:szCs w:val="22"/>
          <w:b w:val="1"/>
          <w:bCs w:val="1"/>
          <w:color w:val="auto"/>
        </w:rPr>
        <w:t>Detail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Detailing</w:t>
      </w:r>
      <w:r>
        <w:rPr>
          <w:rFonts w:ascii="Times New Roman" w:cs="Times New Roman" w:eastAsia="Times New Roman" w:hAnsi="Times New Roman"/>
          <w:sz w:val="22"/>
          <w:szCs w:val="22"/>
          <w:color w:val="auto"/>
        </w:rPr>
        <w:t>” means, with respect to an Opt-In Product in the Field in [***], a person-to-person (including, for clarity, e-details) contact between a sales representative and a physician or other medical professional licensed or authorized to prescribe drugs (including a nurse practitioner or physician assistant with prescribing authority) (a “</w:t>
      </w:r>
      <w:r>
        <w:rPr>
          <w:rFonts w:ascii="Times New Roman" w:cs="Times New Roman" w:eastAsia="Times New Roman" w:hAnsi="Times New Roman"/>
          <w:sz w:val="22"/>
          <w:szCs w:val="22"/>
          <w:b w:val="1"/>
          <w:bCs w:val="1"/>
          <w:color w:val="auto"/>
        </w:rPr>
        <w:t>Healthcare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Prescriber</w:t>
      </w:r>
      <w:r>
        <w:rPr>
          <w:rFonts w:ascii="Times New Roman" w:cs="Times New Roman" w:eastAsia="Times New Roman" w:hAnsi="Times New Roman"/>
          <w:sz w:val="22"/>
          <w:szCs w:val="22"/>
          <w:color w:val="auto"/>
        </w:rPr>
        <w:t>”), during which a primary position detail or a secondary position detail is made to</w:t>
      </w: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such person, in each case as measured by each Party’s internal recording of such activity in accordance with the Co-Promotion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meeting is consistent with, and in accordance with, the requirements of Applicable Law, Exhibit B and the applicable Co-Promotion Agreement. For the avoidance of doubt, the following activities will not constitute a “</w:t>
      </w:r>
      <w:r>
        <w:rPr>
          <w:rFonts w:ascii="Times New Roman" w:cs="Times New Roman" w:eastAsia="Times New Roman" w:hAnsi="Times New Roman"/>
          <w:sz w:val="22"/>
          <w:szCs w:val="22"/>
          <w:b w:val="1"/>
          <w:bCs w:val="1"/>
          <w:color w:val="auto"/>
        </w:rPr>
        <w:t>Detail</w:t>
      </w:r>
      <w:r>
        <w:rPr>
          <w:rFonts w:ascii="Times New Roman" w:cs="Times New Roman" w:eastAsia="Times New Roman" w:hAnsi="Times New Roman"/>
          <w:sz w:val="22"/>
          <w:szCs w:val="22"/>
          <w:color w:val="auto"/>
        </w:rPr>
        <w:t>”: sample drops; activities conducted at conventions, exhibit booths, speaker meetings or similar gatherings; a delivery of savings cards or coupons without discussion with a Healthcare Prescriber or other office staff member involved in the prescribing or reimbursement of an Opt-In Product; and activities of medical science liaisons and activities conducted by market development specialists, managed care account directors and other personnel not performing person-to-person sales calls or not specifically trained with respect to an Opt-In Product. The definition of “</w:t>
      </w:r>
      <w:r>
        <w:rPr>
          <w:rFonts w:ascii="Times New Roman" w:cs="Times New Roman" w:eastAsia="Times New Roman" w:hAnsi="Times New Roman"/>
          <w:sz w:val="22"/>
          <w:szCs w:val="22"/>
          <w:b w:val="1"/>
          <w:bCs w:val="1"/>
          <w:color w:val="auto"/>
        </w:rPr>
        <w:t>Detail</w:t>
      </w:r>
      <w:r>
        <w:rPr>
          <w:rFonts w:ascii="Times New Roman" w:cs="Times New Roman" w:eastAsia="Times New Roman" w:hAnsi="Times New Roman"/>
          <w:sz w:val="22"/>
          <w:szCs w:val="22"/>
          <w:color w:val="auto"/>
        </w:rPr>
        <w:t>” may be further refined in the applicable Co-Promotion Agreement. When used as a verb, “</w:t>
      </w:r>
      <w:r>
        <w:rPr>
          <w:rFonts w:ascii="Times New Roman" w:cs="Times New Roman" w:eastAsia="Times New Roman" w:hAnsi="Times New Roman"/>
          <w:sz w:val="22"/>
          <w:szCs w:val="22"/>
          <w:b w:val="1"/>
          <w:bCs w:val="1"/>
          <w:color w:val="auto"/>
        </w:rPr>
        <w:t>Detail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Detailing</w:t>
      </w:r>
      <w:r>
        <w:rPr>
          <w:rFonts w:ascii="Times New Roman" w:cs="Times New Roman" w:eastAsia="Times New Roman" w:hAnsi="Times New Roman"/>
          <w:sz w:val="22"/>
          <w:szCs w:val="22"/>
          <w:color w:val="auto"/>
        </w:rPr>
        <w:t>” means to engage in a Detail.</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1.93 “</w:t>
      </w:r>
      <w:r>
        <w:rPr>
          <w:rFonts w:ascii="Times New Roman" w:cs="Times New Roman" w:eastAsia="Times New Roman" w:hAnsi="Times New Roman"/>
          <w:sz w:val="21"/>
          <w:szCs w:val="21"/>
          <w:b w:val="1"/>
          <w:bCs w:val="1"/>
          <w:color w:val="auto"/>
        </w:rPr>
        <w:t>Development</w:t>
      </w:r>
      <w:r>
        <w:rPr>
          <w:rFonts w:ascii="Times New Roman" w:cs="Times New Roman" w:eastAsia="Times New Roman" w:hAnsi="Times New Roman"/>
          <w:sz w:val="21"/>
          <w:szCs w:val="21"/>
          <w:color w:val="auto"/>
        </w:rPr>
        <w:t>” means, with respect to a Collaboration Compound, Collaboration Candidate or Licensed Product, all (a) non-clinical and pre-clinical research and development activities and optimization completed prior to filing an IND with respect to such Collaboration Compound, Collaboration Candidate or Licensed Product, including animal and toxicology studies (“</w:t>
      </w:r>
      <w:r>
        <w:rPr>
          <w:rFonts w:ascii="Times New Roman" w:cs="Times New Roman" w:eastAsia="Times New Roman" w:hAnsi="Times New Roman"/>
          <w:sz w:val="21"/>
          <w:szCs w:val="21"/>
          <w:b w:val="1"/>
          <w:bCs w:val="1"/>
          <w:color w:val="auto"/>
        </w:rPr>
        <w:t>Pre-Clinical Development</w:t>
      </w:r>
      <w:r>
        <w:rPr>
          <w:rFonts w:ascii="Times New Roman" w:cs="Times New Roman" w:eastAsia="Times New Roman" w:hAnsi="Times New Roman"/>
          <w:sz w:val="21"/>
          <w:szCs w:val="21"/>
          <w:color w:val="auto"/>
        </w:rPr>
        <w:t>”), and (b) clinical and non-clinical research and development activities conducted after filing of an IND with respect to such Collaboration Compound, Collaboration Candidate or Licensed Product, including toxicology, pharmacology test method development and stability testing, process development, formulation development, delivery system development, quality assurance and quality control development, statistical analysis, Clinical Trials (other than Phase 4 Clinical Trials), regulatory affairs, pharmacovigilance, Clinical Trial regulatory activities and obtaining and maintaining Marketing Approval. When used as a verb, “</w:t>
      </w:r>
      <w:r>
        <w:rPr>
          <w:rFonts w:ascii="Times New Roman" w:cs="Times New Roman" w:eastAsia="Times New Roman" w:hAnsi="Times New Roman"/>
          <w:sz w:val="21"/>
          <w:szCs w:val="21"/>
          <w:b w:val="1"/>
          <w:bCs w:val="1"/>
          <w:color w:val="auto"/>
        </w:rPr>
        <w:t>Develop</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Developing</w:t>
      </w:r>
      <w:r>
        <w:rPr>
          <w:rFonts w:ascii="Times New Roman" w:cs="Times New Roman" w:eastAsia="Times New Roman" w:hAnsi="Times New Roman"/>
          <w:sz w:val="21"/>
          <w:szCs w:val="21"/>
          <w:color w:val="auto"/>
        </w:rPr>
        <w:t>” means to engage in Development.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1.94 “</w:t>
      </w:r>
      <w:r>
        <w:rPr>
          <w:rFonts w:ascii="Times New Roman" w:cs="Times New Roman" w:eastAsia="Times New Roman" w:hAnsi="Times New Roman"/>
          <w:sz w:val="22"/>
          <w:szCs w:val="22"/>
          <w:b w:val="1"/>
          <w:bCs w:val="1"/>
          <w:color w:val="auto"/>
        </w:rPr>
        <w:t>Development Costs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1.95 “</w:t>
      </w:r>
      <w:r>
        <w:rPr>
          <w:rFonts w:ascii="Times New Roman" w:cs="Times New Roman" w:eastAsia="Times New Roman" w:hAnsi="Times New Roman"/>
          <w:sz w:val="22"/>
          <w:szCs w:val="22"/>
          <w:b w:val="1"/>
          <w:bCs w:val="1"/>
          <w:color w:val="auto"/>
        </w:rPr>
        <w:t>Development Milestone Events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1.96 “</w:t>
      </w:r>
      <w:r>
        <w:rPr>
          <w:rFonts w:ascii="Times New Roman" w:cs="Times New Roman" w:eastAsia="Times New Roman" w:hAnsi="Times New Roman"/>
          <w:sz w:val="22"/>
          <w:szCs w:val="22"/>
          <w:b w:val="1"/>
          <w:bCs w:val="1"/>
          <w:color w:val="auto"/>
        </w:rPr>
        <w:t>Development Milestone Payments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1.97 “</w:t>
      </w:r>
      <w:r>
        <w:rPr>
          <w:rFonts w:ascii="Times New Roman" w:cs="Times New Roman" w:eastAsia="Times New Roman" w:hAnsi="Times New Roman"/>
          <w:sz w:val="22"/>
          <w:szCs w:val="22"/>
          <w:b w:val="1"/>
          <w:bCs w:val="1"/>
          <w:color w:val="auto"/>
        </w:rPr>
        <w:t>Different</w:t>
      </w:r>
      <w:r>
        <w:rPr>
          <w:rFonts w:ascii="Times New Roman" w:cs="Times New Roman" w:eastAsia="Times New Roman" w:hAnsi="Times New Roman"/>
          <w:sz w:val="22"/>
          <w:szCs w:val="22"/>
          <w:color w:val="auto"/>
        </w:rPr>
        <w:t>” with respect to two (2) Indications means that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1.98 “</w:t>
      </w:r>
      <w:r>
        <w:rPr>
          <w:rFonts w:ascii="Times New Roman" w:cs="Times New Roman" w:eastAsia="Times New Roman" w:hAnsi="Times New Roman"/>
          <w:sz w:val="22"/>
          <w:szCs w:val="22"/>
          <w:b w:val="1"/>
          <w:bCs w:val="1"/>
          <w:color w:val="auto"/>
        </w:rPr>
        <w:t>Directed Against</w:t>
      </w:r>
      <w:r>
        <w:rPr>
          <w:rFonts w:ascii="Times New Roman" w:cs="Times New Roman" w:eastAsia="Times New Roman" w:hAnsi="Times New Roman"/>
          <w:sz w:val="22"/>
          <w:szCs w:val="22"/>
          <w:color w:val="auto"/>
        </w:rPr>
        <w:t>” means, with respect to a Degrader and a Target, that such Degrader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1.99 “</w:t>
      </w:r>
      <w:r>
        <w:rPr>
          <w:rFonts w:ascii="Times New Roman" w:cs="Times New Roman" w:eastAsia="Times New Roman" w:hAnsi="Times New Roman"/>
          <w:sz w:val="22"/>
          <w:szCs w:val="22"/>
          <w:b w:val="1"/>
          <w:bCs w:val="1"/>
          <w:color w:val="auto"/>
        </w:rPr>
        <w:t>Disclose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Disclosed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Disclosing</w:t>
      </w:r>
      <w:r>
        <w:rPr>
          <w:rFonts w:ascii="Times New Roman" w:cs="Times New Roman" w:eastAsia="Times New Roman" w:hAnsi="Times New Roman"/>
          <w:sz w:val="22"/>
          <w:szCs w:val="22"/>
          <w:color w:val="auto"/>
        </w:rPr>
        <w:t>” means, as to a compound or product and a Patent, that,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1.100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1.101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18.12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1.102 “ </w:t>
      </w:r>
      <w:r>
        <w:rPr>
          <w:rFonts w:ascii="Times New Roman" w:cs="Times New Roman" w:eastAsia="Times New Roman" w:hAnsi="Times New Roman"/>
          <w:sz w:val="22"/>
          <w:szCs w:val="22"/>
          <w:b w:val="1"/>
          <w:bCs w:val="1"/>
          <w:color w:val="auto"/>
        </w:rPr>
        <w:t>Distinct Indication</w:t>
      </w:r>
      <w:r>
        <w:rPr>
          <w:rFonts w:ascii="Times New Roman" w:cs="Times New Roman" w:eastAsia="Times New Roman" w:hAnsi="Times New Roman"/>
          <w:sz w:val="22"/>
          <w:szCs w:val="22"/>
          <w:color w:val="auto"/>
        </w:rPr>
        <w:t>” means (a) with respect to Collaboration Target 1, an Indication with a diagnosed prevalence in humans in [***] of no less [***] and (b) with respect to Collaboration Target 2, an Indication with a diagnosed prevalence in human [***] of no less than [***].</w:t>
      </w: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1.103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Distribution Costs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1.104 “</w:t>
      </w:r>
      <w:r>
        <w:rPr>
          <w:rFonts w:ascii="Times New Roman" w:cs="Times New Roman" w:eastAsia="Times New Roman" w:hAnsi="Times New Roman"/>
          <w:sz w:val="22"/>
          <w:szCs w:val="22"/>
          <w:b w:val="1"/>
          <w:bCs w:val="1"/>
          <w:color w:val="auto"/>
        </w:rPr>
        <w:t>Distributor</w:t>
      </w:r>
      <w:r>
        <w:rPr>
          <w:rFonts w:ascii="Times New Roman" w:cs="Times New Roman" w:eastAsia="Times New Roman" w:hAnsi="Times New Roman"/>
          <w:sz w:val="22"/>
          <w:szCs w:val="22"/>
          <w:color w:val="auto"/>
        </w:rPr>
        <w:t>” means a Person who distributes, markets, and sells Licensed Products in the Territory (with or without packaging rights), in circumstances where the Person purchases its requirements of Products from Sanofi or its Affiliates or Sublicensees pursuant to a written agreement but does not otherwise make any royalty or other payment to Sanofi or its Affiliates with respect to its intellectual property or other proprietary rights. The term “packaging rights” in this Section means the right for the Distributor to package and label Licensed Products supplied in unpackaged bulk form into individual ready-for-sale packs.</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1.105 “ </w:t>
      </w:r>
      <w:r>
        <w:rPr>
          <w:rFonts w:ascii="Times New Roman" w:cs="Times New Roman" w:eastAsia="Times New Roman" w:hAnsi="Times New Roman"/>
          <w:sz w:val="22"/>
          <w:szCs w:val="22"/>
          <w:b w:val="1"/>
          <w:bCs w:val="1"/>
          <w:color w:val="auto"/>
        </w:rPr>
        <w:t>Divest</w:t>
      </w:r>
      <w:r>
        <w:rPr>
          <w:rFonts w:ascii="Times New Roman" w:cs="Times New Roman" w:eastAsia="Times New Roman" w:hAnsi="Times New Roman"/>
          <w:sz w:val="22"/>
          <w:szCs w:val="22"/>
          <w:color w:val="auto"/>
        </w:rPr>
        <w:t>” means, with respect to a Competing Product, the sale, exclusive license or other transfer by the applicable Party and its Affiliates of all of their development and commercialization rights with respect to such Competing Product to a Third Party without the retention or reservation of any development or commercialization obligation, interest or participation rights (other than solely an economic interest or the right to enforce customary terms contained in the relevant agreements effectuating such transaction).</w:t>
      </w:r>
    </w:p>
    <w:p>
      <w:pPr>
        <w:spacing w:after="0" w:line="17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1.106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Early Development Activities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3.1.1(a)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1.107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Early Development Milestone Event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11.2.1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1.108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Early Development Milestone Payment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11.2.1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1.109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Early Development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3.2.1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and any successor entity thereto.</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1.111 “</w:t>
      </w:r>
      <w:r>
        <w:rPr>
          <w:rFonts w:ascii="Times New Roman" w:cs="Times New Roman" w:eastAsia="Times New Roman" w:hAnsi="Times New Roman"/>
          <w:sz w:val="22"/>
          <w:szCs w:val="22"/>
          <w:b w:val="1"/>
          <w:bCs w:val="1"/>
          <w:color w:val="auto"/>
        </w:rPr>
        <w:t>European Commission</w:t>
      </w:r>
      <w:r>
        <w:rPr>
          <w:rFonts w:ascii="Times New Roman" w:cs="Times New Roman" w:eastAsia="Times New Roman" w:hAnsi="Times New Roman"/>
          <w:sz w:val="22"/>
          <w:szCs w:val="22"/>
          <w:color w:val="auto"/>
        </w:rPr>
        <w:t>” means the European Commission or any successor entity that is responsible for granting marketing approvals authorizing the sale of pharmaceuticals in the European Union.</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1.112 “ </w:t>
      </w:r>
      <w:r>
        <w:rPr>
          <w:rFonts w:ascii="Times New Roman" w:cs="Times New Roman" w:eastAsia="Times New Roman" w:hAnsi="Times New Roman"/>
          <w:sz w:val="22"/>
          <w:szCs w:val="22"/>
          <w:b w:val="1"/>
          <w:bCs w:val="1"/>
          <w:color w:val="auto"/>
        </w:rPr>
        <w:t>European Union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EU</w:t>
      </w:r>
      <w:r>
        <w:rPr>
          <w:rFonts w:ascii="Times New Roman" w:cs="Times New Roman" w:eastAsia="Times New Roman" w:hAnsi="Times New Roman"/>
          <w:sz w:val="22"/>
          <w:szCs w:val="22"/>
          <w:color w:val="auto"/>
        </w:rPr>
        <w:t>” means the European Union and all its then-current member countries but including in any case France, Germany, Italy, Spain and the United Kingdom regardless of whether they are then-current member countries.</w:t>
      </w:r>
    </w:p>
    <w:p>
      <w:pPr>
        <w:spacing w:after="0" w:line="16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Excepted Matter</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Compounds</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1.115 “</w:t>
      </w:r>
      <w:r>
        <w:rPr>
          <w:rFonts w:ascii="Times New Roman" w:cs="Times New Roman" w:eastAsia="Times New Roman" w:hAnsi="Times New Roman"/>
          <w:sz w:val="22"/>
          <w:szCs w:val="22"/>
          <w:b w:val="1"/>
          <w:bCs w:val="1"/>
          <w:color w:val="auto"/>
        </w:rPr>
        <w:t>Excluded Field</w:t>
      </w:r>
      <w:r>
        <w:rPr>
          <w:rFonts w:ascii="Times New Roman" w:cs="Times New Roman" w:eastAsia="Times New Roman" w:hAnsi="Times New Roman"/>
          <w:sz w:val="22"/>
          <w:szCs w:val="22"/>
          <w:color w:val="auto"/>
        </w:rPr>
        <w:t>” means, solely with respect to Collaboration Target 1, diagnosis, treatment, cure, mitigation or prevention of any diseases, disorders or conditions in Oncology.</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Exclusions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Exclusive Licenses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88"/>
        </w:trPr>
        <w:tc>
          <w:tcPr>
            <w:tcW w:w="14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2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i w:val="1"/>
                <w:iCs w:val="1"/>
                <w:color w:val="auto"/>
                <w:w w:val="97"/>
              </w:rPr>
              <w:t>CONFIDENTIAL</w:t>
            </w:r>
          </w:p>
        </w:tc>
      </w:tr>
      <w:tr>
        <w:trPr>
          <w:trHeight w:val="648"/>
        </w:trPr>
        <w:tc>
          <w:tcPr>
            <w:tcW w:w="14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1.118</w:t>
            </w:r>
          </w:p>
        </w:tc>
        <w:tc>
          <w:tcPr>
            <w:tcW w:w="9740" w:type="dxa"/>
            <w:vAlign w:val="bottom"/>
            <w:gridSpan w:val="8"/>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 Officers</w:t>
            </w:r>
            <w:r>
              <w:rPr>
                <w:rFonts w:ascii="Times New Roman" w:cs="Times New Roman" w:eastAsia="Times New Roman" w:hAnsi="Times New Roman"/>
                <w:sz w:val="22"/>
                <w:szCs w:val="22"/>
                <w:color w:val="auto"/>
              </w:rPr>
              <w:t>” means the [***].</w:t>
            </w:r>
          </w:p>
        </w:tc>
      </w:tr>
      <w:tr>
        <w:trPr>
          <w:trHeight w:val="407"/>
        </w:trPr>
        <w:tc>
          <w:tcPr>
            <w:tcW w:w="14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1.119</w:t>
            </w:r>
          </w:p>
        </w:tc>
        <w:tc>
          <w:tcPr>
            <w:tcW w:w="9740" w:type="dxa"/>
            <w:vAlign w:val="bottom"/>
            <w:gridSpan w:val="8"/>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Expert Dispute</w:t>
            </w:r>
            <w:r>
              <w:rPr>
                <w:rFonts w:ascii="Times New Roman" w:cs="Times New Roman" w:eastAsia="Times New Roman" w:hAnsi="Times New Roman"/>
                <w:sz w:val="22"/>
                <w:szCs w:val="22"/>
                <w:color w:val="auto"/>
              </w:rPr>
              <w:t>” has the meaning set forth in Section 9.9.2(b)(iii).</w:t>
            </w:r>
          </w:p>
        </w:tc>
      </w:tr>
      <w:tr>
        <w:trPr>
          <w:trHeight w:val="20"/>
        </w:trPr>
        <w:tc>
          <w:tcPr>
            <w:tcW w:w="14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39"/>
        </w:trPr>
        <w:tc>
          <w:tcPr>
            <w:tcW w:w="14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1.120</w:t>
            </w:r>
          </w:p>
        </w:tc>
        <w:tc>
          <w:tcPr>
            <w:tcW w:w="9740" w:type="dxa"/>
            <w:vAlign w:val="bottom"/>
            <w:gridSpan w:val="8"/>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FAD Permitted Overrun</w:t>
            </w:r>
            <w:r>
              <w:rPr>
                <w:rFonts w:ascii="Times New Roman" w:cs="Times New Roman" w:eastAsia="Times New Roman" w:hAnsi="Times New Roman"/>
                <w:sz w:val="22"/>
                <w:szCs w:val="22"/>
                <w:color w:val="auto"/>
              </w:rPr>
              <w:t>” has the meaning set forth in Section 2.4.5.</w:t>
            </w:r>
          </w:p>
        </w:tc>
      </w:tr>
      <w:tr>
        <w:trPr>
          <w:trHeight w:val="20"/>
        </w:trPr>
        <w:tc>
          <w:tcPr>
            <w:tcW w:w="14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39"/>
        </w:trPr>
        <w:tc>
          <w:tcPr>
            <w:tcW w:w="14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1.121</w:t>
            </w:r>
          </w:p>
        </w:tc>
        <w:tc>
          <w:tcPr>
            <w:tcW w:w="9740" w:type="dxa"/>
            <w:vAlign w:val="bottom"/>
            <w:gridSpan w:val="8"/>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FAD Research Budget Excession</w:t>
            </w:r>
            <w:r>
              <w:rPr>
                <w:rFonts w:ascii="Times New Roman" w:cs="Times New Roman" w:eastAsia="Times New Roman" w:hAnsi="Times New Roman"/>
                <w:sz w:val="22"/>
                <w:szCs w:val="22"/>
                <w:color w:val="auto"/>
              </w:rPr>
              <w:t>” has the meaning set forth in Section 2.4.5.</w:t>
            </w:r>
          </w:p>
        </w:tc>
      </w:tr>
      <w:tr>
        <w:trPr>
          <w:trHeight w:val="20"/>
        </w:trPr>
        <w:tc>
          <w:tcPr>
            <w:tcW w:w="14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right w:val="single" w:sz="8" w:color="auto"/>
            </w:tcBorders>
            <w:gridSpan w:val="2"/>
          </w:tcPr>
          <w:p>
            <w:pPr>
              <w:spacing w:after="0" w:line="20" w:lineRule="exact"/>
              <w:rPr>
                <w:sz w:val="1"/>
                <w:szCs w:val="1"/>
                <w:color w:val="auto"/>
              </w:rPr>
            </w:pPr>
          </w:p>
        </w:tc>
        <w:tc>
          <w:tcPr>
            <w:tcW w:w="1080" w:type="dxa"/>
            <w:vAlign w:val="bottom"/>
            <w:tcBorders>
              <w:left w:val="single" w:sz="8" w:color="auto"/>
            </w:tcBorders>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39"/>
        </w:trPr>
        <w:tc>
          <w:tcPr>
            <w:tcW w:w="14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1.122</w:t>
            </w:r>
          </w:p>
        </w:tc>
        <w:tc>
          <w:tcPr>
            <w:tcW w:w="9740" w:type="dxa"/>
            <w:vAlign w:val="bottom"/>
            <w:gridSpan w:val="8"/>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FAD Term Extension</w:t>
            </w:r>
            <w:r>
              <w:rPr>
                <w:rFonts w:ascii="Times New Roman" w:cs="Times New Roman" w:eastAsia="Times New Roman" w:hAnsi="Times New Roman"/>
                <w:sz w:val="22"/>
                <w:szCs w:val="22"/>
                <w:color w:val="auto"/>
              </w:rPr>
              <w:t>” has the meaning set forth in Section 2.4.2.</w:t>
            </w:r>
          </w:p>
        </w:tc>
      </w:tr>
      <w:tr>
        <w:trPr>
          <w:trHeight w:val="20"/>
        </w:trPr>
        <w:tc>
          <w:tcPr>
            <w:tcW w:w="14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right w:val="single" w:sz="8" w:color="auto"/>
            </w:tcBorders>
            <w:gridSpan w:val="2"/>
            <w:shd w:val="clear" w:color="auto" w:fill="000000"/>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439"/>
        </w:trPr>
        <w:tc>
          <w:tcPr>
            <w:tcW w:w="14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1.123</w:t>
            </w:r>
          </w:p>
        </w:tc>
        <w:tc>
          <w:tcPr>
            <w:tcW w:w="9740" w:type="dxa"/>
            <w:vAlign w:val="bottom"/>
            <w:gridSpan w:val="8"/>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Falsified Medicine</w:t>
            </w:r>
            <w:r>
              <w:rPr>
                <w:rFonts w:ascii="Times New Roman" w:cs="Times New Roman" w:eastAsia="Times New Roman" w:hAnsi="Times New Roman"/>
                <w:sz w:val="22"/>
                <w:szCs w:val="22"/>
                <w:color w:val="auto"/>
              </w:rPr>
              <w:t>” has the meaning set forth in Section 12.13.1.</w:t>
            </w:r>
          </w:p>
        </w:tc>
      </w:tr>
      <w:tr>
        <w:trPr>
          <w:trHeight w:val="20"/>
        </w:trPr>
        <w:tc>
          <w:tcPr>
            <w:tcW w:w="14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360" w:type="dxa"/>
            <w:vAlign w:val="bottom"/>
            <w:tcBorders>
              <w:right w:val="single" w:sz="8" w:color="auto"/>
            </w:tcBorders>
            <w:gridSpan w:val="3"/>
            <w:shd w:val="clear" w:color="auto" w:fill="000000"/>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452"/>
        </w:trPr>
        <w:tc>
          <w:tcPr>
            <w:tcW w:w="14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1.124</w:t>
            </w:r>
          </w:p>
        </w:tc>
        <w:tc>
          <w:tcPr>
            <w:tcW w:w="9740" w:type="dxa"/>
            <w:vAlign w:val="bottom"/>
            <w:gridSpan w:val="8"/>
          </w:tcPr>
          <w:p>
            <w:pPr>
              <w:ind w:left="20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FD&amp;C Act</w:t>
            </w:r>
            <w:r>
              <w:rPr>
                <w:rFonts w:ascii="Times New Roman" w:cs="Times New Roman" w:eastAsia="Times New Roman" w:hAnsi="Times New Roman"/>
                <w:sz w:val="22"/>
                <w:szCs w:val="22"/>
                <w:color w:val="auto"/>
                <w:w w:val="99"/>
              </w:rPr>
              <w:t>” means the United States Federal Food, Drug, and Cosmetic Act, as amended, and the rules and</w:t>
            </w:r>
          </w:p>
        </w:tc>
      </w:tr>
      <w:tr>
        <w:trPr>
          <w:trHeight w:val="282"/>
        </w:trPr>
        <w:tc>
          <w:tcPr>
            <w:tcW w:w="111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regulations promulgated thereunder.</w:t>
            </w:r>
          </w:p>
        </w:tc>
      </w:tr>
      <w:tr>
        <w:trPr>
          <w:trHeight w:val="459"/>
        </w:trPr>
        <w:tc>
          <w:tcPr>
            <w:tcW w:w="14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1.125</w:t>
            </w:r>
          </w:p>
        </w:tc>
        <w:tc>
          <w:tcPr>
            <w:tcW w:w="9740" w:type="dxa"/>
            <w:vAlign w:val="bottom"/>
            <w:gridSpan w:val="8"/>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United States Food and Drug Administration and any successor entity thereto.</w:t>
            </w:r>
          </w:p>
        </w:tc>
      </w:tr>
      <w:tr>
        <w:trPr>
          <w:trHeight w:val="444"/>
        </w:trPr>
        <w:tc>
          <w:tcPr>
            <w:tcW w:w="142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1.126</w:t>
            </w:r>
          </w:p>
        </w:tc>
        <w:tc>
          <w:tcPr>
            <w:tcW w:w="9740" w:type="dxa"/>
            <w:vAlign w:val="bottom"/>
            <w:gridSpan w:val="8"/>
          </w:tcPr>
          <w:p>
            <w:pPr>
              <w:ind w:left="20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Field</w:t>
            </w:r>
            <w:r>
              <w:rPr>
                <w:rFonts w:ascii="Times New Roman" w:cs="Times New Roman" w:eastAsia="Times New Roman" w:hAnsi="Times New Roman"/>
                <w:sz w:val="22"/>
                <w:szCs w:val="22"/>
                <w:color w:val="auto"/>
              </w:rPr>
              <w:t>” means (a) for Collaboration Target 1, diagnosis, treatment, cure, mitigation or prevention of any</w:t>
            </w:r>
          </w:p>
        </w:tc>
      </w:tr>
    </w:tbl>
    <w:p>
      <w:pPr>
        <w:jc w:val="both"/>
        <w:spacing w:after="0" w:line="237" w:lineRule="auto"/>
        <w:rPr>
          <w:sz w:val="20"/>
          <w:szCs w:val="20"/>
          <w:color w:val="auto"/>
        </w:rPr>
      </w:pPr>
      <w:r>
        <w:rPr>
          <w:rFonts w:ascii="Times New Roman" w:cs="Times New Roman" w:eastAsia="Times New Roman" w:hAnsi="Times New Roman"/>
          <w:sz w:val="22"/>
          <w:szCs w:val="22"/>
          <w:color w:val="auto"/>
        </w:rPr>
        <w:t>diseases, disorders or conditions, excluding the Excluded Field or (b) for Collaboration Target 2, diagnosis, treatment, cure, mitigation or prevention of any diseases, disorders or conditions.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1.127</w:t>
            </w:r>
          </w:p>
        </w:tc>
        <w:tc>
          <w:tcPr>
            <w:tcW w:w="9740" w:type="dxa"/>
            <w:vAlign w:val="bottom"/>
            <w:gridSpan w:val="9"/>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Balancing Report</w:t>
            </w:r>
            <w:r>
              <w:rPr>
                <w:rFonts w:ascii="Times New Roman" w:cs="Times New Roman" w:eastAsia="Times New Roman" w:hAnsi="Times New Roman"/>
                <w:sz w:val="22"/>
                <w:szCs w:val="22"/>
                <w:color w:val="auto"/>
              </w:rPr>
              <w:t>” has the meaning set forth in Exhibit C.</w:t>
            </w:r>
          </w:p>
        </w:tc>
      </w:tr>
      <w:tr>
        <w:trPr>
          <w:trHeight w:val="20"/>
        </w:trPr>
        <w:tc>
          <w:tcPr>
            <w:tcW w:w="1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39"/>
        </w:trPr>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1.128</w:t>
            </w:r>
          </w:p>
        </w:tc>
        <w:tc>
          <w:tcPr>
            <w:tcW w:w="9740" w:type="dxa"/>
            <w:vAlign w:val="bottom"/>
            <w:gridSpan w:val="9"/>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Finance Dispute</w:t>
            </w:r>
            <w:r>
              <w:rPr>
                <w:rFonts w:ascii="Times New Roman" w:cs="Times New Roman" w:eastAsia="Times New Roman" w:hAnsi="Times New Roman"/>
                <w:sz w:val="22"/>
                <w:szCs w:val="22"/>
                <w:color w:val="auto"/>
              </w:rPr>
              <w:t>” has the meaning set forth in Section 9.9.2(b)(v).</w:t>
            </w:r>
          </w:p>
        </w:tc>
      </w:tr>
      <w:tr>
        <w:trPr>
          <w:trHeight w:val="20"/>
        </w:trPr>
        <w:tc>
          <w:tcPr>
            <w:tcW w:w="1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91"/>
        </w:trPr>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1.129</w:t>
            </w:r>
          </w:p>
        </w:tc>
        <w:tc>
          <w:tcPr>
            <w:tcW w:w="9740" w:type="dxa"/>
            <w:vAlign w:val="bottom"/>
            <w:gridSpan w:val="9"/>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Additional Degrader Criteria</w:t>
            </w:r>
            <w:r>
              <w:rPr>
                <w:rFonts w:ascii="Times New Roman" w:cs="Times New Roman" w:eastAsia="Times New Roman" w:hAnsi="Times New Roman"/>
                <w:sz w:val="22"/>
                <w:szCs w:val="22"/>
                <w:color w:val="auto"/>
              </w:rPr>
              <w:t>” means, with respect to a given Degrader, [***].</w:t>
            </w:r>
          </w:p>
        </w:tc>
      </w:tr>
      <w:tr>
        <w:trPr>
          <w:trHeight w:val="459"/>
        </w:trPr>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1.130</w:t>
            </w:r>
          </w:p>
        </w:tc>
        <w:tc>
          <w:tcPr>
            <w:tcW w:w="4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9"/>
        </w:trPr>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1.131</w:t>
            </w:r>
          </w:p>
        </w:tc>
        <w:tc>
          <w:tcPr>
            <w:tcW w:w="4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59"/>
        </w:trPr>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1.132</w:t>
            </w:r>
          </w:p>
        </w:tc>
        <w:tc>
          <w:tcPr>
            <w:tcW w:w="4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7"/>
        </w:trPr>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1.133</w:t>
            </w:r>
          </w:p>
        </w:tc>
        <w:tc>
          <w:tcPr>
            <w:tcW w:w="9740" w:type="dxa"/>
            <w:vAlign w:val="bottom"/>
            <w:gridSpan w:val="9"/>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Additional Degrader Research Budget</w:t>
            </w:r>
            <w:r>
              <w:rPr>
                <w:rFonts w:ascii="Times New Roman" w:cs="Times New Roman" w:eastAsia="Times New Roman" w:hAnsi="Times New Roman"/>
                <w:sz w:val="22"/>
                <w:szCs w:val="22"/>
                <w:color w:val="auto"/>
              </w:rPr>
              <w:t>” has the meaning set forth in Section 2.3.1.</w:t>
            </w:r>
          </w:p>
        </w:tc>
      </w:tr>
      <w:tr>
        <w:trPr>
          <w:trHeight w:val="20"/>
        </w:trPr>
        <w:tc>
          <w:tcPr>
            <w:tcW w:w="1420" w:type="dxa"/>
            <w:vAlign w:val="bottom"/>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39"/>
        </w:trPr>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1.134</w:t>
            </w:r>
          </w:p>
        </w:tc>
        <w:tc>
          <w:tcPr>
            <w:tcW w:w="9740" w:type="dxa"/>
            <w:vAlign w:val="bottom"/>
            <w:gridSpan w:val="9"/>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Additional Degrader Research Term”</w:t>
            </w:r>
            <w:r>
              <w:rPr>
                <w:rFonts w:ascii="Times New Roman" w:cs="Times New Roman" w:eastAsia="Times New Roman" w:hAnsi="Times New Roman"/>
                <w:sz w:val="22"/>
                <w:szCs w:val="22"/>
                <w:color w:val="auto"/>
              </w:rPr>
              <w:t xml:space="preserve"> has the meaning set forth in Section 2.4.2.</w:t>
            </w:r>
          </w:p>
        </w:tc>
      </w:tr>
      <w:tr>
        <w:trPr>
          <w:trHeight w:val="491"/>
        </w:trPr>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1.135</w:t>
            </w:r>
          </w:p>
        </w:tc>
        <w:tc>
          <w:tcPr>
            <w:tcW w:w="6760" w:type="dxa"/>
            <w:vAlign w:val="bottom"/>
            <w:gridSpan w:val="5"/>
          </w:tcPr>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Additional Degraders</w:t>
            </w:r>
            <w:r>
              <w:rPr>
                <w:rFonts w:ascii="Times New Roman" w:cs="Times New Roman" w:eastAsia="Times New Roman" w:hAnsi="Times New Roman"/>
                <w:sz w:val="22"/>
                <w:szCs w:val="22"/>
                <w:color w:val="auto"/>
              </w:rPr>
              <w:t>” means, for Collaboration Target 1 [***].</w:t>
            </w:r>
          </w:p>
        </w:tc>
        <w:tc>
          <w:tcPr>
            <w:tcW w:w="1140" w:type="dxa"/>
            <w:vAlign w:val="bottom"/>
            <w:tcBorders>
              <w:top w:val="single" w:sz="8" w:color="auto"/>
            </w:tcBorders>
            <w:gridSpan w:val="2"/>
          </w:tcPr>
          <w:p>
            <w:pPr>
              <w:spacing w:after="0"/>
              <w:rPr>
                <w:sz w:val="24"/>
                <w:szCs w:val="24"/>
                <w:color w:val="auto"/>
              </w:rPr>
            </w:pPr>
          </w:p>
        </w:tc>
        <w:tc>
          <w:tcPr>
            <w:tcW w:w="1840" w:type="dxa"/>
            <w:vAlign w:val="bottom"/>
            <w:gridSpan w:val="2"/>
          </w:tcPr>
          <w:p>
            <w:pPr>
              <w:spacing w:after="0"/>
              <w:rPr>
                <w:sz w:val="24"/>
                <w:szCs w:val="24"/>
                <w:color w:val="auto"/>
              </w:rPr>
            </w:pPr>
          </w:p>
        </w:tc>
      </w:tr>
      <w:tr>
        <w:trPr>
          <w:trHeight w:val="420"/>
        </w:trPr>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1.136</w:t>
            </w:r>
          </w:p>
        </w:tc>
        <w:tc>
          <w:tcPr>
            <w:tcW w:w="9740" w:type="dxa"/>
            <w:vAlign w:val="bottom"/>
            <w:gridSpan w:val="9"/>
          </w:tcPr>
          <w:p>
            <w:pPr>
              <w:ind w:left="20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First Commercial Sale</w:t>
            </w:r>
            <w:r>
              <w:rPr>
                <w:rFonts w:ascii="Times New Roman" w:cs="Times New Roman" w:eastAsia="Times New Roman" w:hAnsi="Times New Roman"/>
                <w:sz w:val="22"/>
                <w:szCs w:val="22"/>
                <w:color w:val="auto"/>
                <w:w w:val="99"/>
              </w:rPr>
              <w:t xml:space="preserve">” means with respect to a Licensed Product, [***]; </w:t>
            </w:r>
            <w:r>
              <w:rPr>
                <w:rFonts w:ascii="Times New Roman" w:cs="Times New Roman" w:eastAsia="Times New Roman" w:hAnsi="Times New Roman"/>
                <w:sz w:val="22"/>
                <w:szCs w:val="22"/>
                <w:i w:val="1"/>
                <w:iCs w:val="1"/>
                <w:color w:val="auto"/>
                <w:w w:val="99"/>
              </w:rPr>
              <w:t>provided</w:t>
            </w:r>
            <w:r>
              <w:rPr>
                <w:rFonts w:ascii="Times New Roman" w:cs="Times New Roman" w:eastAsia="Times New Roman" w:hAnsi="Times New Roman"/>
                <w:sz w:val="22"/>
                <w:szCs w:val="22"/>
                <w:color w:val="auto"/>
                <w:w w:val="99"/>
              </w:rPr>
              <w:t xml:space="preserve"> that the following will</w:t>
            </w:r>
          </w:p>
        </w:tc>
      </w:tr>
      <w:tr>
        <w:trPr>
          <w:trHeight w:val="282"/>
        </w:trPr>
        <w:tc>
          <w:tcPr>
            <w:tcW w:w="1116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not constitute a First Commercial Sale: [***].</w:t>
            </w:r>
          </w:p>
        </w:tc>
      </w:tr>
      <w:tr>
        <w:trPr>
          <w:trHeight w:val="444"/>
        </w:trPr>
        <w:tc>
          <w:tcPr>
            <w:tcW w:w="1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1.137</w:t>
            </w:r>
          </w:p>
        </w:tc>
        <w:tc>
          <w:tcPr>
            <w:tcW w:w="9740" w:type="dxa"/>
            <w:vAlign w:val="bottom"/>
            <w:gridSpan w:val="9"/>
          </w:tcPr>
          <w:p>
            <w:pPr>
              <w:ind w:left="20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means a condition, the occurrence and continuation of which is beyond the reasonable</w:t>
            </w:r>
          </w:p>
        </w:tc>
      </w:tr>
    </w:tbl>
    <w:p>
      <w:pPr>
        <w:spacing w:after="0"/>
        <w:rPr>
          <w:sz w:val="20"/>
          <w:szCs w:val="20"/>
          <w:color w:val="auto"/>
        </w:rPr>
      </w:pPr>
      <w:r>
        <w:rPr>
          <w:rFonts w:ascii="Times New Roman" w:cs="Times New Roman" w:eastAsia="Times New Roman" w:hAnsi="Times New Roman"/>
          <w:sz w:val="22"/>
          <w:szCs w:val="22"/>
          <w:color w:val="auto"/>
        </w:rPr>
        <w:t>control of a Party, including an act of God, governmental acts or</w:t>
      </w: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restrictions, war, civil commotion, labor strike or lock-out, epidemic, pandemic (including, [***]), flood, failure or default of public utilities or common carriers, or destruction of production facilities or materials by fire, earthquake, storm or like catastrophe.</w:t>
      </w:r>
    </w:p>
    <w:p>
      <w:pPr>
        <w:spacing w:after="0" w:line="169"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Foreground Know-How</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1.140</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Foreground Patents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1.140</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1.140 “ </w:t>
      </w:r>
      <w:r>
        <w:rPr>
          <w:rFonts w:ascii="Times New Roman" w:cs="Times New Roman" w:eastAsia="Times New Roman" w:hAnsi="Times New Roman"/>
          <w:sz w:val="22"/>
          <w:szCs w:val="22"/>
          <w:b w:val="1"/>
          <w:bCs w:val="1"/>
          <w:color w:val="auto"/>
        </w:rPr>
        <w:t>Foreground Technology</w:t>
      </w:r>
      <w:r>
        <w:rPr>
          <w:rFonts w:ascii="Times New Roman" w:cs="Times New Roman" w:eastAsia="Times New Roman" w:hAnsi="Times New Roman"/>
          <w:sz w:val="22"/>
          <w:szCs w:val="22"/>
          <w:color w:val="auto"/>
        </w:rPr>
        <w:t>” means (a) any and all Know-How discovered, developed, invented or created solely by a Party or its Affiliates or Third Parties acting on its or their behalf, or jointly by both Parties or their respective Affiliates or Third Parties acting on their behalf, in each case, in the performance of activities under this Agreement (the “</w:t>
      </w:r>
      <w:r>
        <w:rPr>
          <w:rFonts w:ascii="Times New Roman" w:cs="Times New Roman" w:eastAsia="Times New Roman" w:hAnsi="Times New Roman"/>
          <w:sz w:val="22"/>
          <w:szCs w:val="22"/>
          <w:b w:val="1"/>
          <w:bCs w:val="1"/>
          <w:color w:val="auto"/>
        </w:rPr>
        <w:t>Foreground Know-How</w:t>
      </w:r>
      <w:r>
        <w:rPr>
          <w:rFonts w:ascii="Times New Roman" w:cs="Times New Roman" w:eastAsia="Times New Roman" w:hAnsi="Times New Roman"/>
          <w:sz w:val="22"/>
          <w:szCs w:val="22"/>
          <w:color w:val="auto"/>
        </w:rPr>
        <w:t>”) and (b) any and all Patents that Cover any such Know-How described in clause (a) (the “</w:t>
      </w:r>
      <w:r>
        <w:rPr>
          <w:rFonts w:ascii="Times New Roman" w:cs="Times New Roman" w:eastAsia="Times New Roman" w:hAnsi="Times New Roman"/>
          <w:sz w:val="22"/>
          <w:szCs w:val="22"/>
          <w:b w:val="1"/>
          <w:bCs w:val="1"/>
          <w:color w:val="auto"/>
        </w:rPr>
        <w:t>Foreground Patents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1.141 “</w:t>
      </w:r>
      <w:r>
        <w:rPr>
          <w:rFonts w:ascii="Times New Roman" w:cs="Times New Roman" w:eastAsia="Times New Roman" w:hAnsi="Times New Roman"/>
          <w:sz w:val="22"/>
          <w:szCs w:val="22"/>
          <w:b w:val="1"/>
          <w:bCs w:val="1"/>
          <w:color w:val="auto"/>
        </w:rPr>
        <w:t>FTE</w:t>
      </w:r>
      <w:r>
        <w:rPr>
          <w:rFonts w:ascii="Times New Roman" w:cs="Times New Roman" w:eastAsia="Times New Roman" w:hAnsi="Times New Roman"/>
          <w:sz w:val="22"/>
          <w:szCs w:val="22"/>
          <w:color w:val="auto"/>
        </w:rPr>
        <w:t>” means [***], which number of hours will be pro-rated based on the number of days when used for [***], devoted to or in support of (a) the Research activities, Pre-Clinical Development, Clinical Development, other Development activities or Backup Research that is carried out by one or more qualified scientific or technical employees (excluding Third Party contractors) of a Party or its Affiliates or (b) the Late Development Plan, Manufacturing activities or Commercialization activities that is carried out by one or more qualified scientific or technical employees (excluding Third Party contractors) of a Party or its Affiliates, as applicable. Notwithstanding the foregoing, the time of a single individual will not account for more than [***].</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1.142 “</w:t>
      </w:r>
      <w:r>
        <w:rPr>
          <w:rFonts w:ascii="Times New Roman" w:cs="Times New Roman" w:eastAsia="Times New Roman" w:hAnsi="Times New Roman"/>
          <w:sz w:val="22"/>
          <w:szCs w:val="22"/>
          <w:b w:val="1"/>
          <w:bCs w:val="1"/>
          <w:color w:val="auto"/>
        </w:rPr>
        <w:t>FTE Costs</w:t>
      </w:r>
      <w:r>
        <w:rPr>
          <w:rFonts w:ascii="Times New Roman" w:cs="Times New Roman" w:eastAsia="Times New Roman" w:hAnsi="Times New Roman"/>
          <w:sz w:val="22"/>
          <w:szCs w:val="22"/>
          <w:color w:val="auto"/>
        </w:rPr>
        <w:t>” means, for any period, the FTE Rate multiplied by the number of FTEs who perform a specified activity under this Agreement. FTEs will be pro-rated on a daily basis if necessary.</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1.143 “</w:t>
      </w:r>
      <w:r>
        <w:rPr>
          <w:rFonts w:ascii="Times New Roman" w:cs="Times New Roman" w:eastAsia="Times New Roman" w:hAnsi="Times New Roman"/>
          <w:sz w:val="22"/>
          <w:szCs w:val="22"/>
          <w:b w:val="1"/>
          <w:bCs w:val="1"/>
          <w:color w:val="auto"/>
        </w:rPr>
        <w:t>FTE Rate</w:t>
      </w:r>
      <w:r>
        <w:rPr>
          <w:rFonts w:ascii="Times New Roman" w:cs="Times New Roman" w:eastAsia="Times New Roman" w:hAnsi="Times New Roman"/>
          <w:sz w:val="22"/>
          <w:szCs w:val="22"/>
          <w:color w:val="auto"/>
        </w:rPr>
        <w:t xml:space="preserve">” means, with respect to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such rate will increase or decrease on January 1 of each Calendar Year (starting with January 1, 2021) in accordance with the percentage year-over-year increase or decrease in the Producer Price Index (PPI) for Pharmaceutical and Medicine Manufacturing (NAICS 325400) over the twelve (12)-month period preceding each such January 1. The FTE Rate includes (a) all wages and salaries, employee benefits, bonus, travel and entertainment, supplies and other direct expenses and (b) indirect allocations, including all general and administrative expenses, human resources, finance, occupancy and depreciation, in each case ((a) and (b)), expended in connection with relevant activities.</w:t>
      </w:r>
    </w:p>
    <w:p>
      <w:pPr>
        <w:spacing w:after="0" w:line="17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Funding Failure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5.7.10</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United States generally accepted accounting principles, consistently applied.</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1.146 “ </w:t>
      </w:r>
      <w:r>
        <w:rPr>
          <w:rFonts w:ascii="Times New Roman" w:cs="Times New Roman" w:eastAsia="Times New Roman" w:hAnsi="Times New Roman"/>
          <w:sz w:val="22"/>
          <w:szCs w:val="22"/>
          <w:b w:val="1"/>
          <w:bCs w:val="1"/>
          <w:color w:val="auto"/>
        </w:rPr>
        <w:t>GCP</w:t>
      </w:r>
      <w:r>
        <w:rPr>
          <w:rFonts w:ascii="Times New Roman" w:cs="Times New Roman" w:eastAsia="Times New Roman" w:hAnsi="Times New Roman"/>
          <w:sz w:val="22"/>
          <w:szCs w:val="22"/>
          <w:color w:val="auto"/>
        </w:rPr>
        <w:t>” means good clinical practices, which are the then-current standards for Clinical Trials for pharmaceuticals, as set forth in the FD&amp;C Act, ICH Guideline Q7A, or other Applicable Law, and such standards of good clinical practice as are required by the Regulatory Authorities of the European Union and other organizations and governmental authorities in</w:t>
      </w: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22"/>
          <w:szCs w:val="22"/>
          <w:color w:val="auto"/>
        </w:rPr>
        <w:t>countries for which the applicable Collaboration Compound, Collaboration Candidate or Licensed Product is intended to be Developed, to the extent such standards are not less stringent than United States standards or ICH Guidelines.</w:t>
      </w:r>
    </w:p>
    <w:p>
      <w:pPr>
        <w:spacing w:after="0" w:line="154" w:lineRule="exact"/>
        <w:rPr>
          <w:sz w:val="20"/>
          <w:szCs w:val="20"/>
          <w:color w:val="auto"/>
        </w:rPr>
      </w:pPr>
    </w:p>
    <w:p>
      <w:pPr>
        <w:jc w:val="both"/>
        <w:ind w:left="80" w:firstLine="749"/>
        <w:spacing w:after="0" w:line="235" w:lineRule="auto"/>
        <w:rPr>
          <w:sz w:val="20"/>
          <w:szCs w:val="20"/>
          <w:color w:val="auto"/>
        </w:rPr>
      </w:pPr>
      <w:r>
        <w:rPr>
          <w:rFonts w:ascii="Times New Roman" w:cs="Times New Roman" w:eastAsia="Times New Roman" w:hAnsi="Times New Roman"/>
          <w:sz w:val="22"/>
          <w:szCs w:val="22"/>
          <w:color w:val="auto"/>
        </w:rPr>
        <w:t>1.147 “</w:t>
      </w:r>
      <w:r>
        <w:rPr>
          <w:rFonts w:ascii="Times New Roman" w:cs="Times New Roman" w:eastAsia="Times New Roman" w:hAnsi="Times New Roman"/>
          <w:sz w:val="22"/>
          <w:szCs w:val="22"/>
          <w:b w:val="1"/>
          <w:bCs w:val="1"/>
          <w:color w:val="auto"/>
        </w:rPr>
        <w:t>Generic Product</w:t>
      </w:r>
      <w:r>
        <w:rPr>
          <w:rFonts w:ascii="Times New Roman" w:cs="Times New Roman" w:eastAsia="Times New Roman" w:hAnsi="Times New Roman"/>
          <w:sz w:val="22"/>
          <w:szCs w:val="22"/>
          <w:color w:val="auto"/>
        </w:rPr>
        <w:t>” means, with respect to a particular Licensed Product in a particular country, a product on the market in such country commercialized by any Third Party that is not a Sublicensee and that did not purchase such product in a chain of distribution that included any of Sanofi or its Affiliates or Sublicensees, that (a) is approved by the applicable Regulatory Authority, under any then-existing Applicable Laws pertaining to approval of generic products, which approval is based on all or part of the clinical data referenced in any Regulatory Approval for the Licensed Product or which otherwise relies on the Regulatory Authority’s finding of safety or effectiveness for the Licensed Product, or (b) is otherwise recognized as an “substitution” product by the applicable Regulatory Authority. For clarity, Authorized Generics will not be classified as Generic Products for purposes of this Agreement.</w:t>
      </w:r>
    </w:p>
    <w:p>
      <w:pPr>
        <w:spacing w:after="0" w:line="178" w:lineRule="exact"/>
        <w:rPr>
          <w:sz w:val="20"/>
          <w:szCs w:val="20"/>
          <w:color w:val="auto"/>
        </w:rPr>
      </w:pPr>
    </w:p>
    <w:p>
      <w:pPr>
        <w:jc w:val="both"/>
        <w:ind w:left="80" w:firstLine="749"/>
        <w:spacing w:after="0" w:line="263" w:lineRule="auto"/>
        <w:rPr>
          <w:sz w:val="20"/>
          <w:szCs w:val="20"/>
          <w:color w:val="auto"/>
        </w:rPr>
      </w:pPr>
      <w:r>
        <w:rPr>
          <w:rFonts w:ascii="Times New Roman" w:cs="Times New Roman" w:eastAsia="Times New Roman" w:hAnsi="Times New Roman"/>
          <w:sz w:val="21"/>
          <w:szCs w:val="21"/>
          <w:color w:val="auto"/>
        </w:rPr>
        <w:t>1.148 “</w:t>
      </w:r>
      <w:r>
        <w:rPr>
          <w:rFonts w:ascii="Times New Roman" w:cs="Times New Roman" w:eastAsia="Times New Roman" w:hAnsi="Times New Roman"/>
          <w:sz w:val="21"/>
          <w:szCs w:val="21"/>
          <w:b w:val="1"/>
          <w:bCs w:val="1"/>
          <w:color w:val="auto"/>
        </w:rPr>
        <w:t>GLP</w:t>
      </w:r>
      <w:r>
        <w:rPr>
          <w:rFonts w:ascii="Times New Roman" w:cs="Times New Roman" w:eastAsia="Times New Roman" w:hAnsi="Times New Roman"/>
          <w:sz w:val="21"/>
          <w:szCs w:val="21"/>
          <w:color w:val="auto"/>
        </w:rPr>
        <w:t>” means the then-current good laboratory practice standards promulgated or endorsed by the FDA as defined in 21 C.F.R. Part 58, or the successor thereto, or comparable regulatory standards in jurisdictions outside of the United States as they may be updated from time to time, to the extent such standards are not less stringent than United States standards.</w:t>
      </w:r>
    </w:p>
    <w:p>
      <w:pPr>
        <w:spacing w:after="0" w:line="151"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1.149 “ </w:t>
      </w:r>
      <w:r>
        <w:rPr>
          <w:rFonts w:ascii="Times New Roman" w:cs="Times New Roman" w:eastAsia="Times New Roman" w:hAnsi="Times New Roman"/>
          <w:sz w:val="22"/>
          <w:szCs w:val="22"/>
          <w:b w:val="1"/>
          <w:bCs w:val="1"/>
          <w:color w:val="auto"/>
        </w:rPr>
        <w:t>GLP Toxicology Study</w:t>
      </w:r>
      <w:r>
        <w:rPr>
          <w:rFonts w:ascii="Times New Roman" w:cs="Times New Roman" w:eastAsia="Times New Roman" w:hAnsi="Times New Roman"/>
          <w:sz w:val="22"/>
          <w:szCs w:val="22"/>
          <w:color w:val="auto"/>
        </w:rPr>
        <w:t>” means a toxicology study of the relationship between dose and its effects on an exposed animal, where the study is to be conducted in accordance with GLP.</w:t>
      </w:r>
    </w:p>
    <w:p>
      <w:pPr>
        <w:spacing w:after="0" w:line="150" w:lineRule="exact"/>
        <w:rPr>
          <w:sz w:val="20"/>
          <w:szCs w:val="20"/>
          <w:color w:val="auto"/>
        </w:rPr>
      </w:pPr>
    </w:p>
    <w:p>
      <w:pPr>
        <w:jc w:val="both"/>
        <w:ind w:left="80" w:firstLine="749"/>
        <w:spacing w:after="0" w:line="246" w:lineRule="auto"/>
        <w:rPr>
          <w:sz w:val="20"/>
          <w:szCs w:val="20"/>
          <w:color w:val="auto"/>
        </w:rPr>
      </w:pPr>
      <w:r>
        <w:rPr>
          <w:rFonts w:ascii="Times New Roman" w:cs="Times New Roman" w:eastAsia="Times New Roman" w:hAnsi="Times New Roman"/>
          <w:sz w:val="22"/>
          <w:szCs w:val="22"/>
          <w:color w:val="auto"/>
        </w:rPr>
        <w:t>1.150 “</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means the then-current Good Manufacturing Practices as specified in Applicable Law, including the United States Code of Federal Regulations, ICH Guideline Q7A, or equivalent laws, rules or regulations of an applicable Regulatory Authority at the time of manufacture.</w:t>
      </w:r>
    </w:p>
    <w:p>
      <w:pPr>
        <w:spacing w:after="0" w:line="167" w:lineRule="exact"/>
        <w:rPr>
          <w:sz w:val="20"/>
          <w:szCs w:val="20"/>
          <w:color w:val="auto"/>
        </w:rPr>
      </w:pPr>
    </w:p>
    <w:p>
      <w:pPr>
        <w:jc w:val="both"/>
        <w:ind w:left="80" w:firstLine="749"/>
        <w:spacing w:after="0" w:line="262" w:lineRule="auto"/>
        <w:rPr>
          <w:sz w:val="20"/>
          <w:szCs w:val="20"/>
          <w:color w:val="auto"/>
        </w:rPr>
      </w:pPr>
      <w:r>
        <w:rPr>
          <w:rFonts w:ascii="Times New Roman" w:cs="Times New Roman" w:eastAsia="Times New Roman" w:hAnsi="Times New Roman"/>
          <w:sz w:val="22"/>
          <w:szCs w:val="22"/>
          <w:color w:val="auto"/>
        </w:rPr>
        <w:t>1.151 “</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agency, department, authority or other instrumentality of any national, state, county, city or other political subdivision, including any relevant Regulatory Authority.</w:t>
      </w:r>
    </w:p>
    <w:p>
      <w:pPr>
        <w:spacing w:after="0" w:line="150"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Healthcare Prescriber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1.91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HEOR Costs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HSR Act</w:t>
      </w:r>
      <w:r>
        <w:rPr>
          <w:rFonts w:ascii="Times New Roman" w:cs="Times New Roman" w:eastAsia="Times New Roman" w:hAnsi="Times New Roman"/>
          <w:sz w:val="21"/>
          <w:szCs w:val="21"/>
          <w:color w:val="auto"/>
        </w:rPr>
        <w:t>” means the Hart-Scott-Rodino Antitrust Improvements Act of 1976, as amended.</w:t>
      </w:r>
    </w:p>
    <w:p>
      <w:pPr>
        <w:spacing w:after="0" w:line="206" w:lineRule="exact"/>
        <w:rPr>
          <w:sz w:val="20"/>
          <w:szCs w:val="20"/>
          <w:color w:val="auto"/>
        </w:rPr>
      </w:pPr>
    </w:p>
    <w:p>
      <w:pPr>
        <w:jc w:val="both"/>
        <w:ind w:left="8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1.155 “ </w:t>
      </w:r>
      <w:r>
        <w:rPr>
          <w:rFonts w:ascii="Times New Roman" w:cs="Times New Roman" w:eastAsia="Times New Roman" w:hAnsi="Times New Roman"/>
          <w:sz w:val="22"/>
          <w:szCs w:val="22"/>
          <w:b w:val="1"/>
          <w:bCs w:val="1"/>
          <w:color w:val="auto"/>
        </w:rPr>
        <w:t>ICH</w:t>
      </w:r>
      <w:r>
        <w:rPr>
          <w:rFonts w:ascii="Times New Roman" w:cs="Times New Roman" w:eastAsia="Times New Roman" w:hAnsi="Times New Roman"/>
          <w:sz w:val="22"/>
          <w:szCs w:val="22"/>
          <w:color w:val="auto"/>
        </w:rPr>
        <w:t>” means the International Council on Harmonization of Technical Requirements for Registration of Pharmaceuticals for Human Use.</w:t>
      </w:r>
    </w:p>
    <w:p>
      <w:pPr>
        <w:spacing w:after="0" w:line="150"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IFRS</w:t>
      </w:r>
      <w:r>
        <w:rPr>
          <w:rFonts w:ascii="Times New Roman" w:cs="Times New Roman" w:eastAsia="Times New Roman" w:hAnsi="Times New Roman"/>
          <w:sz w:val="21"/>
          <w:szCs w:val="21"/>
          <w:color w:val="auto"/>
        </w:rPr>
        <w:t>” means International Financial Reporting Standards, consistently applied.</w:t>
      </w:r>
    </w:p>
    <w:p>
      <w:pPr>
        <w:spacing w:after="0" w:line="210"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1.157</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1.158</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1.159</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1.160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In-License Costs</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 xml:space="preserve">1.161 “ </w:t>
      </w:r>
      <w:r>
        <w:rPr>
          <w:rFonts w:ascii="Times New Roman" w:cs="Times New Roman" w:eastAsia="Times New Roman" w:hAnsi="Times New Roman"/>
          <w:sz w:val="21"/>
          <w:szCs w:val="21"/>
          <w:b w:val="1"/>
          <w:bCs w:val="1"/>
          <w:color w:val="auto"/>
        </w:rPr>
        <w:t>IND</w:t>
      </w:r>
      <w:r>
        <w:rPr>
          <w:rFonts w:ascii="Times New Roman" w:cs="Times New Roman" w:eastAsia="Times New Roman" w:hAnsi="Times New Roman"/>
          <w:sz w:val="21"/>
          <w:szCs w:val="21"/>
          <w:color w:val="auto"/>
        </w:rPr>
        <w:t>” means any Investigational New Drug application (including any amendment or supplement thereto) filed with the FDA pursuant to Part 312 of Title 21 of the U.S. Code of Federal Regulations, including any amendments thereto or if applicable, a comparable application or submission filed with a Regulatory Authority outside the U.S. for the investigation of any product in any other country or group of countries (such as a Clinical Trial Application in the EU) (“</w:t>
      </w:r>
      <w:r>
        <w:rPr>
          <w:rFonts w:ascii="Times New Roman" w:cs="Times New Roman" w:eastAsia="Times New Roman" w:hAnsi="Times New Roman"/>
          <w:sz w:val="21"/>
          <w:szCs w:val="21"/>
          <w:b w:val="1"/>
          <w:bCs w:val="1"/>
          <w:color w:val="auto"/>
        </w:rPr>
        <w:t>CTA</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14.1.3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14.1.3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1.164 “ </w:t>
      </w:r>
      <w:r>
        <w:rPr>
          <w:rFonts w:ascii="Times New Roman" w:cs="Times New Roman" w:eastAsia="Times New Roman" w:hAnsi="Times New Roman"/>
          <w:sz w:val="22"/>
          <w:szCs w:val="22"/>
          <w:b w:val="1"/>
          <w:bCs w:val="1"/>
          <w:color w:val="auto"/>
        </w:rPr>
        <w:t>Independent Third Party Patent Counsel</w:t>
      </w:r>
      <w:r>
        <w:rPr>
          <w:rFonts w:ascii="Times New Roman" w:cs="Times New Roman" w:eastAsia="Times New Roman" w:hAnsi="Times New Roman"/>
          <w:sz w:val="22"/>
          <w:szCs w:val="22"/>
          <w:color w:val="auto"/>
        </w:rPr>
        <w:t>” means an independent Third Party patent counsel (i) with expertise in the relevant matter at issue, (ii) who has not worked for or been engaged by either Party or its Affiliates, or any other portfolio companies of its material investors, in the [***] period immediately prior to selection of such individual, and (iii) who does not own equity or debt in either Party or its Affiliates (other than equity or debt owned through a broad based mutual fund or exchange traded fund).</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1.165 “ </w:t>
      </w:r>
      <w:r>
        <w:rPr>
          <w:rFonts w:ascii="Times New Roman" w:cs="Times New Roman" w:eastAsia="Times New Roman" w:hAnsi="Times New Roman"/>
          <w:sz w:val="22"/>
          <w:szCs w:val="22"/>
          <w:b w:val="1"/>
          <w:bCs w:val="1"/>
          <w:color w:val="auto"/>
        </w:rPr>
        <w:t>Indication</w:t>
      </w:r>
      <w:r>
        <w:rPr>
          <w:rFonts w:ascii="Times New Roman" w:cs="Times New Roman" w:eastAsia="Times New Roman" w:hAnsi="Times New Roman"/>
          <w:sz w:val="22"/>
          <w:szCs w:val="22"/>
          <w:color w:val="auto"/>
        </w:rPr>
        <w:t xml:space="preserve">” means a specific disease or medical condition in humans that is approved by a Regulatory Authority to be included as a discrete claim (as opposed to a variant or subdivision or subset of a claim) in the labeling of a Licensed Product based on the results of a separate Registrational Study(ies) sufficient to support Marketing Approval of such claim;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 For clarity, the following will be part of the same Indication: [***].</w:t>
      </w:r>
    </w:p>
    <w:p>
      <w:pPr>
        <w:spacing w:after="0" w:line="17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Balancing Report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Collaboration Target 1 Degrader</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Collaboration Target 2 Degraders</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1.169 “</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Initiate</w:t>
      </w:r>
      <w:r>
        <w:rPr>
          <w:rFonts w:ascii="Times New Roman" w:cs="Times New Roman" w:eastAsia="Times New Roman" w:hAnsi="Times New Roman"/>
          <w:sz w:val="22"/>
          <w:szCs w:val="22"/>
          <w:color w:val="auto"/>
        </w:rPr>
        <w:t>” means, with respect to any Clinical Trial, dosing of the first human subject in such Clinical Trial.</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Insolvency Event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15.2.6</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means the JAMS Comprehensive Arbitration Rules and Procedures.</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JCC</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9.6.1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JFC</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9.7.1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JMC</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9.4.1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1.175</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1.176</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1.177 “</w:t>
      </w:r>
      <w:r>
        <w:rPr>
          <w:rFonts w:ascii="Times New Roman" w:cs="Times New Roman" w:eastAsia="Times New Roman" w:hAnsi="Times New Roman"/>
          <w:sz w:val="22"/>
          <w:szCs w:val="22"/>
          <w:b w:val="1"/>
          <w:bCs w:val="1"/>
          <w:color w:val="auto"/>
        </w:rPr>
        <w:t>Joint Foreground Know-How</w:t>
      </w:r>
      <w:r>
        <w:rPr>
          <w:rFonts w:ascii="Times New Roman" w:cs="Times New Roman" w:eastAsia="Times New Roman" w:hAnsi="Times New Roman"/>
          <w:sz w:val="22"/>
          <w:szCs w:val="22"/>
          <w:color w:val="auto"/>
        </w:rPr>
        <w:t xml:space="preserve">” means any Foreground Know-How jointly owned by the Parties pursuant to </w:t>
      </w:r>
      <w:r>
        <w:rPr>
          <w:rFonts w:ascii="Times New Roman" w:cs="Times New Roman" w:eastAsia="Times New Roman" w:hAnsi="Times New Roman"/>
          <w:sz w:val="22"/>
          <w:szCs w:val="22"/>
          <w:u w:val="single" w:color="auto"/>
          <w:color w:val="auto"/>
        </w:rPr>
        <w:t>Section 12.1.2(b)</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1.178</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Foreground Patent</w:t>
      </w:r>
      <w:r>
        <w:rPr>
          <w:rFonts w:ascii="Times New Roman" w:cs="Times New Roman" w:eastAsia="Times New Roman" w:hAnsi="Times New Roman"/>
          <w:sz w:val="22"/>
          <w:szCs w:val="22"/>
          <w:color w:val="auto"/>
        </w:rPr>
        <w:t xml:space="preserve">” means any Foreground Patent jointly owned by the Parties pursuant to </w:t>
      </w:r>
      <w:r>
        <w:rPr>
          <w:rFonts w:ascii="Times New Roman" w:cs="Times New Roman" w:eastAsia="Times New Roman" w:hAnsi="Times New Roman"/>
          <w:sz w:val="22"/>
          <w:szCs w:val="22"/>
          <w:u w:val="single" w:color="auto"/>
          <w:color w:val="auto"/>
        </w:rPr>
        <w:t>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12.1.2(b)</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Foreground Technology</w:t>
      </w:r>
      <w:r>
        <w:rPr>
          <w:rFonts w:ascii="Times New Roman" w:cs="Times New Roman" w:eastAsia="Times New Roman" w:hAnsi="Times New Roman"/>
          <w:sz w:val="21"/>
          <w:szCs w:val="21"/>
          <w:color w:val="auto"/>
        </w:rPr>
        <w:t>” means all Joint Foreground Know-How and Joint Foreground Patents.</w:t>
      </w:r>
    </w:p>
    <w:p>
      <w:pPr>
        <w:spacing w:after="0" w:line="21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1.180</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JPC</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9.3.1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JRDC</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9.2.1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JSC</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9.1.1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JTT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9.5.1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1.185 “</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xml:space="preserve">” means all proprietary data, results, pre-clinical and clinical protocols and data from studies and Clinical Trials, chemical structures, chemical sequences, materials, information, inventions, know-how, formulas, trade secrets, techniques, methods, processes, procedures, technology, practices, knowledge and developments, whether or not patentable; </w:t>
      </w:r>
      <w:r>
        <w:rPr>
          <w:rFonts w:ascii="Times New Roman" w:cs="Times New Roman" w:eastAsia="Times New Roman" w:hAnsi="Times New Roman"/>
          <w:sz w:val="22"/>
          <w:szCs w:val="22"/>
          <w:i w:val="1"/>
          <w:iCs w:val="1"/>
          <w:color w:val="auto"/>
        </w:rPr>
        <w:t xml:space="preserve">provided that </w:t>
      </w:r>
      <w:r>
        <w:rPr>
          <w:rFonts w:ascii="Times New Roman" w:cs="Times New Roman" w:eastAsia="Times New Roman" w:hAnsi="Times New Roman"/>
          <w:sz w:val="22"/>
          <w:szCs w:val="22"/>
          <w:color w:val="auto"/>
        </w:rPr>
        <w:t>Know-How does not include Patents.</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1.186 “ </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means, with respect to Kymera (i) as of the Original Agreement Execution Date and the Restatement Execution Date, as applicable, the actual knowledge, following reasonable inquiry of Kymera personnel and advisors (including [***] and other external patent counsels as appropriate) that would reasonably be anticipated to have knowledge of the facts relating to the relevant subject matter, of [***], and (ii) as of the Original Agreement Effective Date and during the Term, the actual knowledge, following reasonable inquiry of Kymera personnel and advisors (including internal and external patent counsel) that would reasonably be anticipated to have knowledge of the facts relating to the relevant subject matter, of the Chief Executive Officer, the Chief Financial Officer, and the Chief Medical Officer.</w:t>
      </w:r>
    </w:p>
    <w:p>
      <w:pPr>
        <w:spacing w:after="0" w:line="18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1.187</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1.188</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1.189</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w:t>
      </w:r>
      <w:r>
        <w:rPr>
          <w:rFonts w:ascii="Times New Roman" w:cs="Times New Roman" w:eastAsia="Times New Roman" w:hAnsi="Times New Roman"/>
          <w:sz w:val="21"/>
          <w:szCs w:val="21"/>
          <w:color w:val="auto"/>
        </w:rPr>
        <w:t>” has the meaning set forth in the Preamble.</w:t>
      </w:r>
    </w:p>
    <w:p>
      <w:pPr>
        <w:spacing w:after="0" w:line="21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1.191</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both"/>
        <w:ind w:left="8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1.192 “ </w:t>
      </w:r>
      <w:r>
        <w:rPr>
          <w:rFonts w:ascii="Times New Roman" w:cs="Times New Roman" w:eastAsia="Times New Roman" w:hAnsi="Times New Roman"/>
          <w:sz w:val="22"/>
          <w:szCs w:val="22"/>
          <w:b w:val="1"/>
          <w:bCs w:val="1"/>
          <w:color w:val="auto"/>
        </w:rPr>
        <w:t>Kymera Background Know-How</w:t>
      </w:r>
      <w:r>
        <w:rPr>
          <w:rFonts w:ascii="Times New Roman" w:cs="Times New Roman" w:eastAsia="Times New Roman" w:hAnsi="Times New Roman"/>
          <w:sz w:val="22"/>
          <w:szCs w:val="22"/>
          <w:color w:val="auto"/>
        </w:rPr>
        <w:t>” means, on a Collaboration Target-by-Collaboration Target basis, any Know-How, other than Kymera Foreground Know-How or Joint Foreground Know-How, that [***].</w:t>
      </w:r>
    </w:p>
    <w:p>
      <w:pPr>
        <w:spacing w:after="0" w:line="150" w:lineRule="exact"/>
        <w:rPr>
          <w:sz w:val="20"/>
          <w:szCs w:val="20"/>
          <w:color w:val="auto"/>
        </w:rPr>
      </w:pPr>
    </w:p>
    <w:p>
      <w:pPr>
        <w:jc w:val="both"/>
        <w:ind w:left="80" w:firstLine="749"/>
        <w:spacing w:after="0" w:line="262" w:lineRule="auto"/>
        <w:rPr>
          <w:sz w:val="20"/>
          <w:szCs w:val="20"/>
          <w:color w:val="auto"/>
        </w:rPr>
      </w:pPr>
      <w:r>
        <w:rPr>
          <w:rFonts w:ascii="Times New Roman" w:cs="Times New Roman" w:eastAsia="Times New Roman" w:hAnsi="Times New Roman"/>
          <w:sz w:val="22"/>
          <w:szCs w:val="22"/>
          <w:color w:val="auto"/>
        </w:rPr>
        <w:t>1.193 “</w:t>
      </w:r>
      <w:r>
        <w:rPr>
          <w:rFonts w:ascii="Times New Roman" w:cs="Times New Roman" w:eastAsia="Times New Roman" w:hAnsi="Times New Roman"/>
          <w:sz w:val="22"/>
          <w:szCs w:val="22"/>
          <w:b w:val="1"/>
          <w:bCs w:val="1"/>
          <w:color w:val="auto"/>
        </w:rPr>
        <w:t>Kymera Background Patents</w:t>
      </w:r>
      <w:r>
        <w:rPr>
          <w:rFonts w:ascii="Times New Roman" w:cs="Times New Roman" w:eastAsia="Times New Roman" w:hAnsi="Times New Roman"/>
          <w:sz w:val="22"/>
          <w:szCs w:val="22"/>
          <w:color w:val="auto"/>
        </w:rPr>
        <w:t>” means, on a Collaboration Target-by-Collaboration Target basis, any Patent (including any further Patent claiming priority thereto), other than [***] that [***].</w:t>
      </w:r>
    </w:p>
    <w:p>
      <w:pPr>
        <w:spacing w:after="0" w:line="150"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1.194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Kymera Background Technology</w:t>
      </w:r>
      <w:r>
        <w:rPr>
          <w:rFonts w:ascii="Times New Roman" w:cs="Times New Roman" w:eastAsia="Times New Roman" w:hAnsi="Times New Roman"/>
          <w:sz w:val="22"/>
          <w:szCs w:val="22"/>
          <w:color w:val="auto"/>
        </w:rPr>
        <w:t>” means all Kymera Background Know-How and Kymera Background</w:t>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Patents.</w:t>
      </w:r>
    </w:p>
    <w:p>
      <w:pPr>
        <w:spacing w:after="0" w:line="178"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1.195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Co-Promote Effective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6.2.5</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Co-Promote Right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Co-Promote Right Deadline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6.2.4</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1.198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Co-Promote Right Exercise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6.2.4</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1.199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Co-Promotion Expenses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1.200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Competitor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10.3.1(c)</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1.201</w:t>
      </w:r>
      <w:r>
        <w:rPr>
          <w:sz w:val="20"/>
          <w:szCs w:val="20"/>
          <w:color w:val="auto"/>
        </w:rPr>
        <w:tab/>
      </w:r>
      <w:r>
        <w:rPr>
          <w:rFonts w:ascii="Times New Roman" w:cs="Times New Roman" w:eastAsia="Times New Roman" w:hAnsi="Times New Roman"/>
          <w:sz w:val="21"/>
          <w:szCs w:val="21"/>
          <w:color w:val="auto"/>
        </w:rPr>
        <w:t>[***] means [***].</w:t>
      </w:r>
    </w:p>
    <w:p>
      <w:pPr>
        <w:spacing w:after="0" w:line="202"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1.202 “</w:t>
      </w:r>
      <w:r>
        <w:rPr>
          <w:rFonts w:ascii="Times New Roman" w:cs="Times New Roman" w:eastAsia="Times New Roman" w:hAnsi="Times New Roman"/>
          <w:sz w:val="22"/>
          <w:szCs w:val="22"/>
          <w:b w:val="1"/>
          <w:bCs w:val="1"/>
          <w:color w:val="auto"/>
        </w:rPr>
        <w:t>Kymera Existing Phase 1 Clinical Trial</w:t>
      </w:r>
      <w:r>
        <w:rPr>
          <w:rFonts w:ascii="Times New Roman" w:cs="Times New Roman" w:eastAsia="Times New Roman" w:hAnsi="Times New Roman"/>
          <w:sz w:val="22"/>
          <w:szCs w:val="22"/>
          <w:color w:val="auto"/>
        </w:rPr>
        <w:t>” means the Phase 1 Clinical Trial that is currently being conducted by or on behalf of Kymera for KT-474 under ClinicalTrials.gov Identifier: NCT04772885.</w:t>
      </w:r>
    </w:p>
    <w:p>
      <w:pPr>
        <w:spacing w:after="0" w:line="154"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1.203</w:t>
      </w:r>
      <w:r>
        <w:rPr>
          <w:sz w:val="20"/>
          <w:szCs w:val="20"/>
          <w:color w:val="auto"/>
        </w:rPr>
        <w:tab/>
      </w:r>
      <w:r>
        <w:rPr>
          <w:rFonts w:ascii="Times New Roman" w:cs="Times New Roman" w:eastAsia="Times New Roman" w:hAnsi="Times New Roman"/>
          <w:sz w:val="21"/>
          <w:szCs w:val="21"/>
          <w:color w:val="auto"/>
        </w:rPr>
        <w:t>[***] means [***].</w:t>
      </w:r>
    </w:p>
    <w:p>
      <w:pPr>
        <w:spacing w:after="0" w:line="202"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1.204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Foreground Know-How</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1.205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Foreground Patents</w:t>
      </w:r>
      <w:r>
        <w:rPr>
          <w:rFonts w:ascii="Times New Roman" w:cs="Times New Roman" w:eastAsia="Times New Roman" w:hAnsi="Times New Roman"/>
          <w:sz w:val="21"/>
          <w:szCs w:val="21"/>
          <w:color w:val="auto"/>
        </w:rPr>
        <w:t>” means [***].</w:t>
      </w:r>
    </w:p>
    <w:p>
      <w:pPr>
        <w:spacing w:after="0" w:line="210"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1.206</w:t>
      </w:r>
      <w:r>
        <w:rPr>
          <w:sz w:val="20"/>
          <w:szCs w:val="20"/>
          <w:color w:val="auto"/>
        </w:rPr>
        <w:tab/>
      </w:r>
      <w:r>
        <w:rPr>
          <w:rFonts w:ascii="Times New Roman" w:cs="Times New Roman" w:eastAsia="Times New Roman" w:hAnsi="Times New Roman"/>
          <w:sz w:val="21"/>
          <w:szCs w:val="21"/>
          <w:color w:val="auto"/>
        </w:rPr>
        <w:t>[***] means [***].</w:t>
      </w:r>
    </w:p>
    <w:p>
      <w:pPr>
        <w:spacing w:after="0" w:line="202"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1.207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Indemnified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14.1.1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1.208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Material Safety Event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7.6.2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1.209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Kymera’s Nonexclusive Negotiation Period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15.2.3(e)(iv)</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Opt-In Deadline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5.7.5</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Opt-In Effective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5.7.6</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Opt-In Exercise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5.7.5</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Kymera Opt-In Right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5.7.1</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1.214</w:t>
      </w:r>
      <w:r>
        <w:rPr>
          <w:sz w:val="20"/>
          <w:szCs w:val="20"/>
          <w:color w:val="auto"/>
        </w:rPr>
        <w:tab/>
      </w:r>
      <w:r>
        <w:rPr>
          <w:rFonts w:ascii="Times New Roman" w:cs="Times New Roman" w:eastAsia="Times New Roman" w:hAnsi="Times New Roman"/>
          <w:sz w:val="21"/>
          <w:szCs w:val="21"/>
          <w:color w:val="auto"/>
        </w:rPr>
        <w:t>[***] means [***].</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1.215 “ </w:t>
      </w:r>
      <w:r>
        <w:rPr>
          <w:rFonts w:ascii="Times New Roman" w:cs="Times New Roman" w:eastAsia="Times New Roman" w:hAnsi="Times New Roman"/>
          <w:sz w:val="22"/>
          <w:szCs w:val="22"/>
          <w:b w:val="1"/>
          <w:bCs w:val="1"/>
          <w:color w:val="auto"/>
        </w:rPr>
        <w:t>Kymera Phase 1 Clinical Trials</w:t>
      </w:r>
      <w:r>
        <w:rPr>
          <w:rFonts w:ascii="Times New Roman" w:cs="Times New Roman" w:eastAsia="Times New Roman" w:hAnsi="Times New Roman"/>
          <w:sz w:val="22"/>
          <w:szCs w:val="22"/>
          <w:color w:val="auto"/>
        </w:rPr>
        <w:t>” means the Phase 1 Clinical Trials to be conducted by or on behalf of Kymera for the Collaboration Candidates and Licensed Products Directed Against Collaboration Target 1 for the first Indication in Field in the Territory in accordance with the Early Development Plan.</w:t>
      </w:r>
    </w:p>
    <w:p>
      <w:pPr>
        <w:spacing w:after="0" w:line="171"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1.216</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1.217</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Late Development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5.3.1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Launch Window</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LCM Development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LCM Development Costs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Liability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14.1.1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1.223 “ </w:t>
      </w:r>
      <w:r>
        <w:rPr>
          <w:rFonts w:ascii="Times New Roman" w:cs="Times New Roman" w:eastAsia="Times New Roman" w:hAnsi="Times New Roman"/>
          <w:sz w:val="22"/>
          <w:szCs w:val="22"/>
          <w:b w:val="1"/>
          <w:bCs w:val="1"/>
          <w:color w:val="auto"/>
        </w:rPr>
        <w:t>Licensed Know-How</w:t>
      </w:r>
      <w:r>
        <w:rPr>
          <w:rFonts w:ascii="Times New Roman" w:cs="Times New Roman" w:eastAsia="Times New Roman" w:hAnsi="Times New Roman"/>
          <w:sz w:val="22"/>
          <w:szCs w:val="22"/>
          <w:color w:val="auto"/>
        </w:rPr>
        <w:t>” means the Kymera Background Know-How, the Kymera Foreground Know-How and Kymera’s interest in the Joint Foreground Know-How.</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1.224 “</w:t>
      </w:r>
      <w:r>
        <w:rPr>
          <w:rFonts w:ascii="Times New Roman" w:cs="Times New Roman" w:eastAsia="Times New Roman" w:hAnsi="Times New Roman"/>
          <w:sz w:val="22"/>
          <w:szCs w:val="22"/>
          <w:b w:val="1"/>
          <w:bCs w:val="1"/>
          <w:color w:val="auto"/>
        </w:rPr>
        <w:t>Licensed Patents</w:t>
      </w:r>
      <w:r>
        <w:rPr>
          <w:rFonts w:ascii="Times New Roman" w:cs="Times New Roman" w:eastAsia="Times New Roman" w:hAnsi="Times New Roman"/>
          <w:sz w:val="22"/>
          <w:szCs w:val="22"/>
          <w:color w:val="auto"/>
        </w:rPr>
        <w:t>” means the Kymera Background Patents, the Kymera Foreground Patents and Kymera’s interest in the Joint Foreground Patents.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1.225 “ </w:t>
      </w:r>
      <w:r>
        <w:rPr>
          <w:rFonts w:ascii="Times New Roman" w:cs="Times New Roman" w:eastAsia="Times New Roman" w:hAnsi="Times New Roman"/>
          <w:sz w:val="22"/>
          <w:szCs w:val="22"/>
          <w:b w:val="1"/>
          <w:bCs w:val="1"/>
          <w:color w:val="auto"/>
        </w:rPr>
        <w:t>Licensed Product</w:t>
      </w:r>
      <w:r>
        <w:rPr>
          <w:rFonts w:ascii="Times New Roman" w:cs="Times New Roman" w:eastAsia="Times New Roman" w:hAnsi="Times New Roman"/>
          <w:sz w:val="22"/>
          <w:szCs w:val="22"/>
          <w:color w:val="auto"/>
        </w:rPr>
        <w:t>” means any pharmaceutical preparation in final form or other product, including any Combination Product, that contains a Collaboration Candidate, in all forms, presentations, strengths, doses and formulations thereof.</w:t>
      </w:r>
    </w:p>
    <w:p>
      <w:pPr>
        <w:spacing w:after="0" w:line="16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Product Mark</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12.12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Licensed Technology</w:t>
      </w:r>
      <w:r>
        <w:rPr>
          <w:rFonts w:ascii="Times New Roman" w:cs="Times New Roman" w:eastAsia="Times New Roman" w:hAnsi="Times New Roman"/>
          <w:sz w:val="21"/>
          <w:szCs w:val="21"/>
          <w:color w:val="auto"/>
        </w:rPr>
        <w:t>” means the Licensed Patents and Licensed Know-How.</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Ligand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1.86</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1.229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M2 Criteria</w:t>
      </w:r>
      <w:r>
        <w:rPr>
          <w:rFonts w:ascii="Times New Roman" w:cs="Times New Roman" w:eastAsia="Times New Roman" w:hAnsi="Times New Roman"/>
          <w:sz w:val="22"/>
          <w:szCs w:val="22"/>
          <w:color w:val="auto"/>
        </w:rPr>
        <w:t xml:space="preserve">” means (a) for Collaboration Target 1, the criteria set forth on part (1) of </w:t>
      </w:r>
      <w:r>
        <w:rPr>
          <w:rFonts w:ascii="Times New Roman" w:cs="Times New Roman" w:eastAsia="Times New Roman" w:hAnsi="Times New Roman"/>
          <w:sz w:val="22"/>
          <w:szCs w:val="22"/>
          <w:u w:val="single" w:color="auto"/>
          <w:color w:val="auto"/>
        </w:rPr>
        <w:t>Schedule 1.229</w:t>
      </w:r>
      <w:r>
        <w:rPr>
          <w:rFonts w:ascii="Times New Roman" w:cs="Times New Roman" w:eastAsia="Times New Roman" w:hAnsi="Times New Roman"/>
          <w:sz w:val="22"/>
          <w:szCs w:val="22"/>
          <w:color w:val="auto"/>
        </w:rPr>
        <w:t xml:space="preserve"> and</w:t>
      </w:r>
    </w:p>
    <w:p>
      <w:pPr>
        <w:spacing w:after="0" w:line="18" w:lineRule="exact"/>
        <w:rPr>
          <w:sz w:val="20"/>
          <w:szCs w:val="20"/>
          <w:color w:val="auto"/>
        </w:rPr>
      </w:pPr>
    </w:p>
    <w:p>
      <w:pPr>
        <w:ind w:left="300" w:hanging="297"/>
        <w:spacing w:after="0"/>
        <w:tabs>
          <w:tab w:leader="none" w:pos="30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Collaboration Target 2, the criteria set forth on part (2) of </w:t>
      </w:r>
      <w:r>
        <w:rPr>
          <w:rFonts w:ascii="Times New Roman" w:cs="Times New Roman" w:eastAsia="Times New Roman" w:hAnsi="Times New Roman"/>
          <w:sz w:val="21"/>
          <w:szCs w:val="21"/>
          <w:u w:val="single" w:color="auto"/>
          <w:color w:val="auto"/>
        </w:rPr>
        <w:t>Schedule 1.229</w:t>
      </w:r>
      <w:r>
        <w:rPr>
          <w:rFonts w:ascii="Times New Roman" w:cs="Times New Roman" w:eastAsia="Times New Roman" w:hAnsi="Times New Roman"/>
          <w:sz w:val="21"/>
          <w:szCs w:val="21"/>
          <w:color w:val="auto"/>
        </w:rPr>
        <w:t>, in each case as may be amended by the JRDC.</w:t>
      </w:r>
    </w:p>
    <w:p>
      <w:pPr>
        <w:spacing w:after="0" w:line="189"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1.230    “</w:t>
      </w:r>
      <w:r>
        <w:rPr>
          <w:rFonts w:ascii="Times New Roman" w:cs="Times New Roman" w:eastAsia="Times New Roman" w:hAnsi="Times New Roman"/>
          <w:sz w:val="22"/>
          <w:szCs w:val="22"/>
          <w:b w:val="1"/>
          <w:bCs w:val="1"/>
          <w:color w:val="auto"/>
        </w:rPr>
        <w:t>MAD Data Package</w:t>
      </w:r>
      <w:r>
        <w:rPr>
          <w:rFonts w:ascii="Times New Roman" w:cs="Times New Roman" w:eastAsia="Times New Roman" w:hAnsi="Times New Roman"/>
          <w:sz w:val="22"/>
          <w:szCs w:val="22"/>
          <w:color w:val="auto"/>
        </w:rPr>
        <w:t>” [***]:</w:t>
      </w:r>
    </w:p>
    <w:p>
      <w:pPr>
        <w:spacing w:after="0" w:line="210" w:lineRule="exact"/>
        <w:rPr>
          <w:rFonts w:ascii="Times New Roman" w:cs="Times New Roman" w:eastAsia="Times New Roman" w:hAnsi="Times New Roman"/>
          <w:sz w:val="21"/>
          <w:szCs w:val="21"/>
          <w:color w:val="auto"/>
        </w:rPr>
      </w:pPr>
    </w:p>
    <w:p>
      <w:pPr>
        <w:ind w:left="2600" w:hanging="426"/>
        <w:spacing w:after="0"/>
        <w:tabs>
          <w:tab w:leader="none" w:pos="260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88" w:name="page189"/>
    <w:bookmarkEnd w:id="188"/>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2600" w:hanging="426"/>
        <w:spacing w:after="0"/>
        <w:tabs>
          <w:tab w:leader="none" w:pos="26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00" w:hanging="426"/>
        <w:spacing w:after="0"/>
        <w:tabs>
          <w:tab w:leader="none" w:pos="26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1.231</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 Indication</w:t>
      </w:r>
      <w:r>
        <w:rPr>
          <w:rFonts w:ascii="Times New Roman" w:cs="Times New Roman" w:eastAsia="Times New Roman" w:hAnsi="Times New Roman"/>
          <w:sz w:val="21"/>
          <w:szCs w:val="21"/>
          <w:color w:val="auto"/>
        </w:rPr>
        <w:t>” means [***].</w:t>
      </w:r>
    </w:p>
    <w:p>
      <w:pPr>
        <w:spacing w:after="0" w:line="21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1.233</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1.234 “</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means activities directed to making, having made, producing, manufacturing, processing, formulating, filling, finishing, packaging, labeling, quality control testing and quality assurance release, shipping or storage of a Collaboration Compound, Collaboration Candidate or Licensed Product by or on behalf of a Party or its Affiliate or (sub)licensee.</w:t>
      </w:r>
    </w:p>
    <w:p>
      <w:pPr>
        <w:spacing w:after="0" w:line="17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Manufacturing Costs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Market Researcher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1.237 “</w:t>
      </w:r>
      <w:r>
        <w:rPr>
          <w:rFonts w:ascii="Times New Roman" w:cs="Times New Roman" w:eastAsia="Times New Roman" w:hAnsi="Times New Roman"/>
          <w:sz w:val="21"/>
          <w:szCs w:val="21"/>
          <w:b w:val="1"/>
          <w:bCs w:val="1"/>
          <w:color w:val="auto"/>
        </w:rPr>
        <w:t>Marketing Approval</w:t>
      </w:r>
      <w:r>
        <w:rPr>
          <w:rFonts w:ascii="Times New Roman" w:cs="Times New Roman" w:eastAsia="Times New Roman" w:hAnsi="Times New Roman"/>
          <w:sz w:val="21"/>
          <w:szCs w:val="21"/>
          <w:color w:val="auto"/>
        </w:rPr>
        <w:t>” means, with respect to a product in a particular country or jurisdiction, all approvals (including approvals resulting from any priority review, breakthrough therapy, accelerated approval or fast track designation, application or submission), licenses, registrations or authorizations necessary for the Commercialization of such product in such country or jurisdiction, including, (a) with respect to the United States, approval of an Approval Application for such product by the FDA and with respect to the European Union, approval of an Approval Application for such product by the European Medicines Agency or the applicable Regulatory Authority in any particular country in the EU, (b) where applicable, Price Approval in such country or jurisdiction, (c) where applicable, pre- and post-approval marketing authorizations (including any prerequisite Manufacturing approval or authorization related thereto), and (d) where applicable, labeling approval.</w:t>
      </w:r>
    </w:p>
    <w:p>
      <w:pPr>
        <w:spacing w:after="0" w:line="17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Communication</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1.239 “ </w:t>
      </w:r>
      <w:r>
        <w:rPr>
          <w:rFonts w:ascii="Times New Roman" w:cs="Times New Roman" w:eastAsia="Times New Roman" w:hAnsi="Times New Roman"/>
          <w:sz w:val="22"/>
          <w:szCs w:val="22"/>
          <w:b w:val="1"/>
          <w:bCs w:val="1"/>
          <w:color w:val="auto"/>
        </w:rPr>
        <w:t>Material Safety Event</w:t>
      </w:r>
      <w:r>
        <w:rPr>
          <w:rFonts w:ascii="Times New Roman" w:cs="Times New Roman" w:eastAsia="Times New Roman" w:hAnsi="Times New Roman"/>
          <w:sz w:val="22"/>
          <w:szCs w:val="22"/>
          <w:color w:val="auto"/>
        </w:rPr>
        <w:t>” means an event occurring after the Original Agreement Effective Date that is caused by a Licensed Product, or based on objective scientific or clinical evidence, is reasonably likely to be caused by a Licensed Product, and results in [***].</w:t>
      </w:r>
    </w:p>
    <w:p>
      <w:pPr>
        <w:spacing w:after="0" w:line="16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Submissions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7.5</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1.241 “</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means all biological materials, chemical compounds and other materials arising out of a Party’s activities under this Agreement and (i) provided by such Party to the other Party for use by the other Party or (ii) otherwise provided by a Party for use by the other Party, in each case, to conduct activities pursuant to this Agreement, including Collaboration Compounds, Collaboration Candidates, Clinical Trial samples, cell lines, compounds, lipids, assays, viruses and vectors.</w:t>
      </w:r>
    </w:p>
    <w:p>
      <w:pPr>
        <w:spacing w:after="0" w:line="17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Maturity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Medical Affairs Costs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Milestone Events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11.2.4</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Milestone Payments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11.2.4</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MTA Development Studies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3.4.2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MTA Research Studies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2.8.2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749"/>
        <w:spacing w:after="0" w:line="262" w:lineRule="auto"/>
        <w:rPr>
          <w:sz w:val="20"/>
          <w:szCs w:val="20"/>
          <w:color w:val="auto"/>
        </w:rPr>
      </w:pPr>
      <w:r>
        <w:rPr>
          <w:rFonts w:ascii="Times New Roman" w:cs="Times New Roman" w:eastAsia="Times New Roman" w:hAnsi="Times New Roman"/>
          <w:sz w:val="22"/>
          <w:szCs w:val="22"/>
          <w:color w:val="auto"/>
        </w:rPr>
        <w:t>1.248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means a new drug application that is submitted to the FDA for marketing approval for a Licensed Product, pursuant to 21 USC § 355.</w:t>
      </w:r>
    </w:p>
    <w:p>
      <w:pPr>
        <w:spacing w:after="0" w:line="150"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Profits and Net Losses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0" w:firstLine="749"/>
        <w:spacing w:after="0" w:line="238" w:lineRule="auto"/>
        <w:rPr>
          <w:sz w:val="20"/>
          <w:szCs w:val="20"/>
          <w:color w:val="auto"/>
        </w:rPr>
      </w:pPr>
      <w:r>
        <w:rPr>
          <w:rFonts w:ascii="Times New Roman" w:cs="Times New Roman" w:eastAsia="Times New Roman" w:hAnsi="Times New Roman"/>
          <w:sz w:val="22"/>
          <w:szCs w:val="22"/>
          <w:color w:val="auto"/>
        </w:rPr>
        <w:t>1.250 “</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with respect to a Licensed Product for any period, the aggregate gross amount billed or invoiced by Sanofi, its Affiliates or its or their Sublicensees for the sale of a Licensed Product to Third Parties (including Distributors) in bona fide arm’s-length transactions commencing with the First Commercial Sale of such Licensed Product less the following deductions determined in accordance with Accounting Standards as consistently applied from such gross amounts which are actually incurred, allowed, accrued or specifically allocated to the Licensed Product: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purposes of calculating Net Sales, all Net Sales will be converted into Dollars.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Subject to the above, Net Sales will be calculated in accordance with the standard internal policies and procedures of such Sanofi, its Affiliates or its or their Sublicensees, which must be in accordance with applicable Accounting Standards and applied consistently across their respective businesses.</w:t>
      </w:r>
    </w:p>
    <w:p>
      <w:pPr>
        <w:spacing w:after="0" w:line="16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As used herein, “</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means [***] (such other active ingredients, devices or other items of value described in the foregoing provisos (a) and (b), “</w:t>
      </w:r>
      <w:r>
        <w:rPr>
          <w:rFonts w:ascii="Times New Roman" w:cs="Times New Roman" w:eastAsia="Times New Roman" w:hAnsi="Times New Roman"/>
          <w:sz w:val="22"/>
          <w:szCs w:val="22"/>
          <w:b w:val="1"/>
          <w:bCs w:val="1"/>
          <w:color w:val="auto"/>
        </w:rPr>
        <w:t>Other Items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1.251</w:t>
      </w:r>
      <w:r>
        <w:rPr>
          <w:sz w:val="20"/>
          <w:szCs w:val="20"/>
          <w:color w:val="auto"/>
        </w:rPr>
        <w:tab/>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15.2.3(e)(iii)</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80" w:firstLine="749"/>
        <w:spacing w:after="0" w:line="246" w:lineRule="auto"/>
        <w:rPr>
          <w:sz w:val="20"/>
          <w:szCs w:val="20"/>
          <w:color w:val="auto"/>
        </w:rPr>
      </w:pPr>
      <w:r>
        <w:rPr>
          <w:rFonts w:ascii="Times New Roman" w:cs="Times New Roman" w:eastAsia="Times New Roman" w:hAnsi="Times New Roman"/>
          <w:sz w:val="22"/>
          <w:szCs w:val="22"/>
          <w:color w:val="auto"/>
        </w:rPr>
        <w:t>1.252 “</w:t>
      </w:r>
      <w:r>
        <w:rPr>
          <w:rFonts w:ascii="Times New Roman" w:cs="Times New Roman" w:eastAsia="Times New Roman" w:hAnsi="Times New Roman"/>
          <w:sz w:val="22"/>
          <w:szCs w:val="22"/>
          <w:b w:val="1"/>
          <w:bCs w:val="1"/>
          <w:color w:val="auto"/>
        </w:rPr>
        <w:t>Non-Approval Studies</w:t>
      </w:r>
      <w:r>
        <w:rPr>
          <w:rFonts w:ascii="Times New Roman" w:cs="Times New Roman" w:eastAsia="Times New Roman" w:hAnsi="Times New Roman"/>
          <w:sz w:val="22"/>
          <w:szCs w:val="22"/>
          <w:color w:val="auto"/>
        </w:rPr>
        <w:t>” means any surveys, registries and Clinical Trials not intended to gain Marketing Approval or any additional labeled Indications, excluding any open label extension studies of a Collaboration Candidate or Licensed Product.</w:t>
      </w:r>
    </w:p>
    <w:p>
      <w:pPr>
        <w:spacing w:after="0" w:line="167"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Non-Bankrupt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Non-Breaching Party</w:t>
      </w:r>
      <w:r>
        <w:rPr>
          <w:rFonts w:ascii="Times New Roman" w:cs="Times New Roman" w:eastAsia="Times New Roman" w:hAnsi="Times New Roman"/>
          <w:sz w:val="21"/>
          <w:szCs w:val="21"/>
          <w:color w:val="auto"/>
        </w:rPr>
        <w:t>” means the Party that believes the other Party is in material breach of this Agreement.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Non-Defending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Non-Disclosing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16.6.1(c)</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90" w:name="page191"/>
    <w:bookmarkEnd w:id="190"/>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1.257</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1.258 “</w:t>
      </w:r>
      <w:r>
        <w:rPr>
          <w:rFonts w:ascii="Times New Roman" w:cs="Times New Roman" w:eastAsia="Times New Roman" w:hAnsi="Times New Roman"/>
          <w:sz w:val="22"/>
          <w:szCs w:val="22"/>
          <w:b w:val="1"/>
          <w:bCs w:val="1"/>
          <w:color w:val="auto"/>
        </w:rPr>
        <w:t>Oncology</w:t>
      </w:r>
      <w:r>
        <w:rPr>
          <w:rFonts w:ascii="Times New Roman" w:cs="Times New Roman" w:eastAsia="Times New Roman" w:hAnsi="Times New Roman"/>
          <w:sz w:val="22"/>
          <w:szCs w:val="22"/>
          <w:color w:val="auto"/>
        </w:rPr>
        <w:t>” means, the diagnosis, treatment, cure, mitigation or prevention of an Indication characterized by abnormal cellular proliferation, including solid or liquid malignancies (including primary and metastatic tumors), lymphoid and myeloid proliferative disorders (including myelodysplastic syndrome and myelofibrosis), and hematopoietic control or dysregulations. For clarity, “Oncology” also includes all cancer immunotherapy and immuno-oncology indications.</w:t>
      </w:r>
    </w:p>
    <w:p>
      <w:pPr>
        <w:spacing w:after="0" w:line="17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Opt-In Data Package</w:t>
      </w:r>
      <w:r>
        <w:rPr>
          <w:rFonts w:ascii="Times New Roman" w:cs="Times New Roman" w:eastAsia="Times New Roman" w:hAnsi="Times New Roman"/>
          <w:sz w:val="21"/>
          <w:szCs w:val="21"/>
          <w:color w:val="auto"/>
        </w:rPr>
        <w:t xml:space="preserve">” means the data package described on </w:t>
      </w:r>
      <w:r>
        <w:rPr>
          <w:rFonts w:ascii="Times New Roman" w:cs="Times New Roman" w:eastAsia="Times New Roman" w:hAnsi="Times New Roman"/>
          <w:sz w:val="21"/>
          <w:szCs w:val="21"/>
          <w:u w:val="single" w:color="auto"/>
          <w:color w:val="auto"/>
        </w:rPr>
        <w:t>Schedule 1.259</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1.260 “</w:t>
      </w:r>
      <w:r>
        <w:rPr>
          <w:rFonts w:ascii="Times New Roman" w:cs="Times New Roman" w:eastAsia="Times New Roman" w:hAnsi="Times New Roman"/>
          <w:sz w:val="22"/>
          <w:szCs w:val="22"/>
          <w:b w:val="1"/>
          <w:bCs w:val="1"/>
          <w:color w:val="auto"/>
        </w:rPr>
        <w:t>Opt-In Period</w:t>
      </w:r>
      <w:r>
        <w:rPr>
          <w:rFonts w:ascii="Times New Roman" w:cs="Times New Roman" w:eastAsia="Times New Roman" w:hAnsi="Times New Roman"/>
          <w:sz w:val="22"/>
          <w:szCs w:val="22"/>
          <w:color w:val="auto"/>
        </w:rPr>
        <w:t>” means, on a Collaboration Target-by-Collaboration Target basis, the period of time from the Kymera Opt-In Effective Date (if any) until the termination or expiration of the Cost/Profit Sharing Agreement.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1.261 “ </w:t>
      </w:r>
      <w:r>
        <w:rPr>
          <w:rFonts w:ascii="Times New Roman" w:cs="Times New Roman" w:eastAsia="Times New Roman" w:hAnsi="Times New Roman"/>
          <w:sz w:val="22"/>
          <w:szCs w:val="22"/>
          <w:b w:val="1"/>
          <w:bCs w:val="1"/>
          <w:color w:val="auto"/>
        </w:rPr>
        <w:t>Opt-In Products</w:t>
      </w:r>
      <w:r>
        <w:rPr>
          <w:rFonts w:ascii="Times New Roman" w:cs="Times New Roman" w:eastAsia="Times New Roman" w:hAnsi="Times New Roman"/>
          <w:sz w:val="22"/>
          <w:szCs w:val="22"/>
          <w:color w:val="auto"/>
        </w:rPr>
        <w:t>” means, on a Collaboration Target-by-Collaboration Target basis, during the Opt-In Period, any and all Collaboration Candidates or Licensed Products Directed Against a given Collaboration Target.</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Opt-Out Right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5.7.9</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Original Agreement</w:t>
      </w:r>
      <w:r>
        <w:rPr>
          <w:rFonts w:ascii="Times New Roman" w:cs="Times New Roman" w:eastAsia="Times New Roman" w:hAnsi="Times New Roman"/>
          <w:sz w:val="21"/>
          <w:szCs w:val="21"/>
          <w:color w:val="auto"/>
        </w:rPr>
        <w:t>” has the meaning set forth in the Recitals.</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Original Agreement Effective Date</w:t>
      </w:r>
      <w:r>
        <w:rPr>
          <w:rFonts w:ascii="Times New Roman" w:cs="Times New Roman" w:eastAsia="Times New Roman" w:hAnsi="Times New Roman"/>
          <w:sz w:val="21"/>
          <w:szCs w:val="21"/>
          <w:color w:val="auto"/>
        </w:rPr>
        <w:t>” means August 10, 2020.</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Original Agreement Execution Date</w:t>
      </w:r>
      <w:r>
        <w:rPr>
          <w:rFonts w:ascii="Times New Roman" w:cs="Times New Roman" w:eastAsia="Times New Roman" w:hAnsi="Times New Roman"/>
          <w:sz w:val="21"/>
          <w:szCs w:val="21"/>
          <w:color w:val="auto"/>
        </w:rPr>
        <w:t>” means July 7, 2020.</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Items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1.250</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1.267 “</w:t>
      </w:r>
      <w:r>
        <w:rPr>
          <w:rFonts w:ascii="Times New Roman" w:cs="Times New Roman" w:eastAsia="Times New Roman" w:hAnsi="Times New Roman"/>
          <w:sz w:val="22"/>
          <w:szCs w:val="22"/>
          <w:b w:val="1"/>
          <w:bCs w:val="1"/>
          <w:color w:val="auto"/>
        </w:rPr>
        <w:t>Out-of-Pocket Costs</w:t>
      </w:r>
      <w:r>
        <w:rPr>
          <w:rFonts w:ascii="Times New Roman" w:cs="Times New Roman" w:eastAsia="Times New Roman" w:hAnsi="Times New Roman"/>
          <w:sz w:val="22"/>
          <w:szCs w:val="22"/>
          <w:color w:val="auto"/>
        </w:rPr>
        <w:t>” means, with respect to a Party, costs and expenses paid by such Party or its Affiliates to Third Parties (or payable to Third Parties and accrued in accordance with Accounting Standards), other than employees of such Party or its Affiliates.</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1.268 “ </w:t>
      </w:r>
      <w:r>
        <w:rPr>
          <w:rFonts w:ascii="Times New Roman" w:cs="Times New Roman" w:eastAsia="Times New Roman" w:hAnsi="Times New Roman"/>
          <w:sz w:val="22"/>
          <w:szCs w:val="22"/>
          <w:b w:val="1"/>
          <w:bCs w:val="1"/>
          <w:color w:val="auto"/>
        </w:rPr>
        <w:t>Participation Data Package</w:t>
      </w:r>
      <w:r>
        <w:rPr>
          <w:rFonts w:ascii="Times New Roman" w:cs="Times New Roman" w:eastAsia="Times New Roman" w:hAnsi="Times New Roman"/>
          <w:sz w:val="22"/>
          <w:szCs w:val="22"/>
          <w:color w:val="auto"/>
        </w:rPr>
        <w:t xml:space="preserve">” means, (a) with respect to a given Collaboration Target, a data package containing the information set forth on </w:t>
      </w:r>
      <w:r>
        <w:rPr>
          <w:rFonts w:ascii="Times New Roman" w:cs="Times New Roman" w:eastAsia="Times New Roman" w:hAnsi="Times New Roman"/>
          <w:sz w:val="22"/>
          <w:szCs w:val="22"/>
          <w:u w:val="single" w:color="auto"/>
          <w:color w:val="auto"/>
        </w:rPr>
        <w:t>Schedule 1.268</w:t>
      </w:r>
      <w:r>
        <w:rPr>
          <w:rFonts w:ascii="Times New Roman" w:cs="Times New Roman" w:eastAsia="Times New Roman" w:hAnsi="Times New Roman"/>
          <w:sz w:val="22"/>
          <w:szCs w:val="22"/>
          <w:color w:val="auto"/>
        </w:rPr>
        <w:t xml:space="preserve"> with respect to all Collaboration Candidates and Licensed Products Directed Against such Collaboration Target that exist as of the date of delivery of such Participation Data Package and (b) with respect to Collaboration Target 2, in addition to the information in clause (a), [***].</w:t>
      </w:r>
    </w:p>
    <w:p>
      <w:pPr>
        <w:spacing w:after="0" w:line="17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has the meaning set forth in the Preamble.</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 and Trademark Costs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 and Trademark Recoveries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 Challenge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15.2.3(d)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 Family</w:t>
      </w:r>
      <w:r>
        <w:rPr>
          <w:rFonts w:ascii="Times New Roman" w:cs="Times New Roman" w:eastAsia="Times New Roman" w:hAnsi="Times New Roman"/>
          <w:sz w:val="21"/>
          <w:szCs w:val="21"/>
          <w:color w:val="auto"/>
        </w:rPr>
        <w:t>” means a group of Patents that share any priority relationship.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 Filing Jurisdictions</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Patent Resolution Procedures</w:t>
      </w:r>
      <w:r>
        <w:rPr>
          <w:rFonts w:ascii="Times New Roman" w:cs="Times New Roman" w:eastAsia="Times New Roman" w:hAnsi="Times New Roman"/>
          <w:sz w:val="21"/>
          <w:szCs w:val="21"/>
          <w:color w:val="auto"/>
        </w:rPr>
        <w:t xml:space="preserve">” means those procedures set forth on </w:t>
      </w:r>
      <w:r>
        <w:rPr>
          <w:rFonts w:ascii="Times New Roman" w:cs="Times New Roman" w:eastAsia="Times New Roman" w:hAnsi="Times New Roman"/>
          <w:sz w:val="21"/>
          <w:szCs w:val="21"/>
          <w:u w:val="single" w:color="auto"/>
          <w:color w:val="auto"/>
        </w:rPr>
        <w:t>Schedule 1.275</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1.276 “ </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the rights and interests in and to issued patents and pending patent applications in any country, jurisdiction or region (including inventor’s certificates and utility models), including all provisionals, non-provisionals, substitutions, continuations, continuations-in-part, divisionals, renewals and all patents granted thereon, and all reissues, reexaminations, extensions, confirmations, revalidations, registrations and patents of addition thereof, including patent term extensions and supplementary protection certificates, international patent applications filed under the Patent Cooperation Treaty (PCT) and any foreign equivalents to any of the foregoing.</w:t>
      </w:r>
    </w:p>
    <w:p>
      <w:pPr>
        <w:spacing w:after="0" w:line="175"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1.277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Patient Assistance Program Costs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PDE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PDE Cost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1.280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PDE Requirement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Backup Research Overrun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5.5.6</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U.S. Budget Overrun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1.283 “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7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Pharmacovigilance Agreement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7.6.1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1.285 “</w:t>
      </w:r>
      <w:r>
        <w:rPr>
          <w:rFonts w:ascii="Times New Roman" w:cs="Times New Roman" w:eastAsia="Times New Roman" w:hAnsi="Times New Roman"/>
          <w:sz w:val="22"/>
          <w:szCs w:val="22"/>
          <w:b w:val="1"/>
          <w:bCs w:val="1"/>
          <w:color w:val="auto"/>
        </w:rPr>
        <w:t>Phase 1 Clinical Trial</w:t>
      </w:r>
      <w:r>
        <w:rPr>
          <w:rFonts w:ascii="Times New Roman" w:cs="Times New Roman" w:eastAsia="Times New Roman" w:hAnsi="Times New Roman"/>
          <w:sz w:val="22"/>
          <w:szCs w:val="22"/>
          <w:color w:val="auto"/>
        </w:rPr>
        <w:t>” means any Clinical Trial as described in 21 C.F.R. §312.21(a), or, with respect to a jurisdiction other than the United States, a similar Clinical Trial; [***].</w:t>
      </w:r>
    </w:p>
    <w:p>
      <w:pPr>
        <w:spacing w:after="0" w:line="154"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1.286</w:t>
      </w:r>
      <w:r>
        <w:rPr>
          <w:sz w:val="20"/>
          <w:szCs w:val="20"/>
          <w:color w:val="auto"/>
        </w:rPr>
        <w:tab/>
      </w:r>
      <w:r>
        <w:rPr>
          <w:rFonts w:ascii="Times New Roman" w:cs="Times New Roman" w:eastAsia="Times New Roman" w:hAnsi="Times New Roman"/>
          <w:sz w:val="21"/>
          <w:szCs w:val="21"/>
          <w:color w:val="auto"/>
        </w:rPr>
        <w:t>“Phase 1 Patient Data Package” [***]</w:t>
      </w:r>
    </w:p>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2600" w:hanging="426"/>
        <w:spacing w:after="0"/>
        <w:tabs>
          <w:tab w:leader="none" w:pos="26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(such patients, the “</w:t>
      </w:r>
      <w:r>
        <w:rPr>
          <w:rFonts w:ascii="Times New Roman" w:cs="Times New Roman" w:eastAsia="Times New Roman" w:hAnsi="Times New Roman"/>
          <w:sz w:val="22"/>
          <w:szCs w:val="22"/>
          <w:b w:val="1"/>
          <w:bCs w:val="1"/>
          <w:color w:val="auto"/>
        </w:rPr>
        <w:t>Remaining Patients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2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1.287 “</w:t>
      </w:r>
      <w:r>
        <w:rPr>
          <w:rFonts w:ascii="Times New Roman" w:cs="Times New Roman" w:eastAsia="Times New Roman" w:hAnsi="Times New Roman"/>
          <w:sz w:val="22"/>
          <w:szCs w:val="22"/>
          <w:b w:val="1"/>
          <w:bCs w:val="1"/>
          <w:color w:val="auto"/>
        </w:rPr>
        <w:t>Phase 1 Ready Criteria</w:t>
      </w:r>
      <w:r>
        <w:rPr>
          <w:rFonts w:ascii="Times New Roman" w:cs="Times New Roman" w:eastAsia="Times New Roman" w:hAnsi="Times New Roman"/>
          <w:sz w:val="22"/>
          <w:szCs w:val="22"/>
          <w:color w:val="auto"/>
        </w:rPr>
        <w:t xml:space="preserve">” means, for Collaboration Target 2, the criteria applicable to a Licensed Product Directed Against Collaboration Target 2, as set forth on </w:t>
      </w:r>
      <w:r>
        <w:rPr>
          <w:rFonts w:ascii="Times New Roman" w:cs="Times New Roman" w:eastAsia="Times New Roman" w:hAnsi="Times New Roman"/>
          <w:sz w:val="22"/>
          <w:szCs w:val="22"/>
          <w:u w:val="single" w:color="auto"/>
          <w:color w:val="auto"/>
        </w:rPr>
        <w:t>Schedule</w:t>
      </w:r>
    </w:p>
    <w:p>
      <w:pPr>
        <w:spacing w:after="0" w:line="200" w:lineRule="exact"/>
        <w:rPr>
          <w:sz w:val="20"/>
          <w:szCs w:val="20"/>
          <w:color w:val="auto"/>
        </w:rPr>
      </w:pPr>
    </w:p>
    <w:p>
      <w:pPr>
        <w:spacing w:after="0" w:line="3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92" w:name="page193"/>
    <w:bookmarkEnd w:id="192"/>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1.286</w:t>
      </w:r>
      <w:r>
        <w:rPr>
          <w:rFonts w:ascii="Times New Roman" w:cs="Times New Roman" w:eastAsia="Times New Roman" w:hAnsi="Times New Roman"/>
          <w:sz w:val="22"/>
          <w:szCs w:val="22"/>
          <w:color w:val="auto"/>
        </w:rPr>
        <w:t>, as may be discussed by the JRDC and amended by the JSC in accordance with this Agreement.</w:t>
      </w:r>
    </w:p>
    <w:p>
      <w:pPr>
        <w:spacing w:after="0" w:line="202"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1.288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Phase 2 Activities</w:t>
      </w:r>
      <w:r>
        <w:rPr>
          <w:rFonts w:ascii="Times New Roman" w:cs="Times New Roman" w:eastAsia="Times New Roman" w:hAnsi="Times New Roman"/>
          <w:sz w:val="21"/>
          <w:szCs w:val="21"/>
          <w:color w:val="auto"/>
        </w:rPr>
        <w:t>” has the meaning set forth in Section 3.1.1(f).</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1.289 “ </w:t>
      </w:r>
      <w:r>
        <w:rPr>
          <w:rFonts w:ascii="Times New Roman" w:cs="Times New Roman" w:eastAsia="Times New Roman" w:hAnsi="Times New Roman"/>
          <w:sz w:val="22"/>
          <w:szCs w:val="22"/>
          <w:b w:val="1"/>
          <w:bCs w:val="1"/>
          <w:color w:val="auto"/>
        </w:rPr>
        <w:t>Phase 2 Clinical Trial</w:t>
      </w:r>
      <w:r>
        <w:rPr>
          <w:rFonts w:ascii="Times New Roman" w:cs="Times New Roman" w:eastAsia="Times New Roman" w:hAnsi="Times New Roman"/>
          <w:sz w:val="22"/>
          <w:szCs w:val="22"/>
          <w:color w:val="auto"/>
        </w:rPr>
        <w:t>” means: either (a) a Phase 2a Clinical Trial, (b) a Phase 2b Clinical Trial or (c) any other Clinical Trial as described in 21 C.F.R. §312.21(b), or, with respect to a jurisdiction other than the United States, a similar Clinical Trial. [***].</w:t>
      </w:r>
    </w:p>
    <w:p>
      <w:pPr>
        <w:spacing w:after="0" w:line="181"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Phase 2a Clinical Trial</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1.291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Phase 2b Clinical Trial</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1.292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Phase 2 Development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3.1.1(d)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Phase 2 Protocol</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3.1.1(c)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1.294 “</w:t>
      </w:r>
      <w:r>
        <w:rPr>
          <w:rFonts w:ascii="Times New Roman" w:cs="Times New Roman" w:eastAsia="Times New Roman" w:hAnsi="Times New Roman"/>
          <w:sz w:val="22"/>
          <w:szCs w:val="22"/>
          <w:b w:val="1"/>
          <w:bCs w:val="1"/>
          <w:color w:val="auto"/>
        </w:rPr>
        <w:t>Phase 2 Ready Criteria</w:t>
      </w:r>
      <w:r>
        <w:rPr>
          <w:rFonts w:ascii="Times New Roman" w:cs="Times New Roman" w:eastAsia="Times New Roman" w:hAnsi="Times New Roman"/>
          <w:sz w:val="22"/>
          <w:szCs w:val="22"/>
          <w:color w:val="auto"/>
        </w:rPr>
        <w:t xml:space="preserve">” means, for Collaboration Target 1, the criteria applicable to a Licensed Product Directed Against Collaboration Target 1, as set forth on </w:t>
      </w:r>
      <w:r>
        <w:rPr>
          <w:rFonts w:ascii="Times New Roman" w:cs="Times New Roman" w:eastAsia="Times New Roman" w:hAnsi="Times New Roman"/>
          <w:sz w:val="22"/>
          <w:szCs w:val="22"/>
          <w:u w:val="single" w:color="auto"/>
          <w:color w:val="auto"/>
        </w:rPr>
        <w:t>Schedule 1.294</w:t>
      </w:r>
      <w:r>
        <w:rPr>
          <w:rFonts w:ascii="Times New Roman" w:cs="Times New Roman" w:eastAsia="Times New Roman" w:hAnsi="Times New Roman"/>
          <w:sz w:val="22"/>
          <w:szCs w:val="22"/>
          <w:color w:val="auto"/>
        </w:rPr>
        <w:t>, as may be discussed by the JRDC and amended by the JSC in accordance with this Agreement.</w:t>
      </w:r>
    </w:p>
    <w:p>
      <w:pPr>
        <w:spacing w:after="0" w:line="167"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1.295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Phase 2 Trigger Point</w:t>
      </w:r>
      <w:r>
        <w:rPr>
          <w:rFonts w:ascii="Times New Roman" w:cs="Times New Roman" w:eastAsia="Times New Roman" w:hAnsi="Times New Roman"/>
          <w:sz w:val="21"/>
          <w:szCs w:val="21"/>
          <w:color w:val="auto"/>
        </w:rPr>
        <w:t>” has the meaning set forth in Section 1.403.</w:t>
      </w:r>
    </w:p>
    <w:p>
      <w:pPr>
        <w:spacing w:after="0" w:line="206" w:lineRule="exact"/>
        <w:rPr>
          <w:sz w:val="20"/>
          <w:szCs w:val="20"/>
          <w:color w:val="auto"/>
        </w:rPr>
      </w:pPr>
    </w:p>
    <w:p>
      <w:pPr>
        <w:jc w:val="both"/>
        <w:ind w:left="80" w:firstLine="749"/>
        <w:spacing w:after="0" w:line="262" w:lineRule="auto"/>
        <w:rPr>
          <w:sz w:val="20"/>
          <w:szCs w:val="20"/>
          <w:color w:val="auto"/>
        </w:rPr>
      </w:pPr>
      <w:r>
        <w:rPr>
          <w:rFonts w:ascii="Times New Roman" w:cs="Times New Roman" w:eastAsia="Times New Roman" w:hAnsi="Times New Roman"/>
          <w:sz w:val="22"/>
          <w:szCs w:val="22"/>
          <w:color w:val="auto"/>
        </w:rPr>
        <w:t>1.296 “</w:t>
      </w:r>
      <w:r>
        <w:rPr>
          <w:rFonts w:ascii="Times New Roman" w:cs="Times New Roman" w:eastAsia="Times New Roman" w:hAnsi="Times New Roman"/>
          <w:sz w:val="22"/>
          <w:szCs w:val="22"/>
          <w:b w:val="1"/>
          <w:bCs w:val="1"/>
          <w:color w:val="auto"/>
        </w:rPr>
        <w:t>Phase 3 Clinical Trial</w:t>
      </w:r>
      <w:r>
        <w:rPr>
          <w:rFonts w:ascii="Times New Roman" w:cs="Times New Roman" w:eastAsia="Times New Roman" w:hAnsi="Times New Roman"/>
          <w:sz w:val="22"/>
          <w:szCs w:val="22"/>
          <w:color w:val="auto"/>
        </w:rPr>
        <w:t>” means any Clinical Trial as described in 21 C.F.R. §312.21(c), or, with respect to a jurisdiction other than the United States, a similar Clinical Trial.</w:t>
      </w:r>
    </w:p>
    <w:p>
      <w:pPr>
        <w:spacing w:after="0" w:line="150" w:lineRule="exact"/>
        <w:rPr>
          <w:sz w:val="20"/>
          <w:szCs w:val="20"/>
          <w:color w:val="auto"/>
        </w:rPr>
      </w:pPr>
    </w:p>
    <w:p>
      <w:pPr>
        <w:jc w:val="both"/>
        <w:ind w:left="80" w:firstLine="749"/>
        <w:spacing w:after="0" w:line="238" w:lineRule="auto"/>
        <w:rPr>
          <w:sz w:val="20"/>
          <w:szCs w:val="20"/>
          <w:color w:val="auto"/>
        </w:rPr>
      </w:pPr>
      <w:r>
        <w:rPr>
          <w:rFonts w:ascii="Times New Roman" w:cs="Times New Roman" w:eastAsia="Times New Roman" w:hAnsi="Times New Roman"/>
          <w:sz w:val="22"/>
          <w:szCs w:val="22"/>
          <w:color w:val="auto"/>
        </w:rPr>
        <w:t>1.297 “</w:t>
      </w:r>
      <w:r>
        <w:rPr>
          <w:rFonts w:ascii="Times New Roman" w:cs="Times New Roman" w:eastAsia="Times New Roman" w:hAnsi="Times New Roman"/>
          <w:sz w:val="22"/>
          <w:szCs w:val="22"/>
          <w:b w:val="1"/>
          <w:bCs w:val="1"/>
          <w:color w:val="auto"/>
        </w:rPr>
        <w:t>Phase 4 Clinical Trial</w:t>
      </w:r>
      <w:r>
        <w:rPr>
          <w:rFonts w:ascii="Times New Roman" w:cs="Times New Roman" w:eastAsia="Times New Roman" w:hAnsi="Times New Roman"/>
          <w:sz w:val="22"/>
          <w:szCs w:val="22"/>
          <w:color w:val="auto"/>
        </w:rPr>
        <w:t>” means any (i) Clinical Trial of a product conducted in accordance with ICH and local standards, which is not required for receipt of Marketing Approval in the United States and which is principally intended to support the marketing and Commercialization of a product, including any investigator or institution initiated trial, or clinical experience trial, study conducted to fulfill local commitments made as a condition of any Marketing Approval and (ii) health and economic outcomes research and other reviews/analyses/studies relating to value and access issues.</w:t>
      </w:r>
    </w:p>
    <w:p>
      <w:pPr>
        <w:spacing w:after="0" w:line="177"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1.298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PIR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1.299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Platform Foreground Know-How</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12.1.2(b)</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1.300</w:t>
      </w:r>
      <w:r>
        <w:rPr>
          <w:sz w:val="20"/>
          <w:szCs w:val="20"/>
          <w:color w:val="auto"/>
        </w:rPr>
        <w:tab/>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12.1.2(b)</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1.301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Platform Foreground Technology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12.1.2(b)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1.302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Platform In-License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11.5.1(b)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22"/>
          <w:szCs w:val="22"/>
          <w:color w:val="auto"/>
        </w:rPr>
        <w:t>1.303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PMDA</w:t>
      </w:r>
      <w:r>
        <w:rPr>
          <w:rFonts w:ascii="Times New Roman" w:cs="Times New Roman" w:eastAsia="Times New Roman" w:hAnsi="Times New Roman"/>
          <w:sz w:val="21"/>
          <w:szCs w:val="21"/>
          <w:color w:val="auto"/>
        </w:rPr>
        <w:t>” means the Pharmaceuticals and Medical Devices Agency and any successor entity thereto.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1.304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Post-POC Milestone Event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11.2.3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1.305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Post-POC Milestone Payment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11.2.3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1.306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Potential In-License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11.5.1(a)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1.307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Pre-Clinical Development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1.93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1.308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Pre-Clinical and SAD/MAD Data Package</w:t>
      </w:r>
      <w:r>
        <w:rPr>
          <w:rFonts w:ascii="Times New Roman" w:cs="Times New Roman" w:eastAsia="Times New Roman" w:hAnsi="Times New Roman"/>
          <w:sz w:val="21"/>
          <w:szCs w:val="21"/>
          <w:color w:val="auto"/>
        </w:rPr>
        <w:t>”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1.309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Pre-Existing Restriction</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Pre-POC Milestone Event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11.2.2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Pre-POC Milestone Payment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11.2.2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1.312 “</w:t>
      </w:r>
      <w:r>
        <w:rPr>
          <w:rFonts w:ascii="Times New Roman" w:cs="Times New Roman" w:eastAsia="Times New Roman" w:hAnsi="Times New Roman"/>
          <w:sz w:val="22"/>
          <w:szCs w:val="22"/>
          <w:b w:val="1"/>
          <w:bCs w:val="1"/>
          <w:color w:val="auto"/>
        </w:rPr>
        <w:t>Preexisting Affiliate</w:t>
      </w:r>
      <w:r>
        <w:rPr>
          <w:rFonts w:ascii="Times New Roman" w:cs="Times New Roman" w:eastAsia="Times New Roman" w:hAnsi="Times New Roman"/>
          <w:sz w:val="22"/>
          <w:szCs w:val="22"/>
          <w:color w:val="auto"/>
        </w:rPr>
        <w:t>” means, with respect to a Party that is subject to a Change of Control, any Affiliate of such Party following such Change of Control that was an Affiliate of such Party prior to such Change of Control.</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1.313 “</w:t>
      </w:r>
      <w:r>
        <w:rPr>
          <w:rFonts w:ascii="Times New Roman" w:cs="Times New Roman" w:eastAsia="Times New Roman" w:hAnsi="Times New Roman"/>
          <w:sz w:val="22"/>
          <w:szCs w:val="22"/>
          <w:b w:val="1"/>
          <w:bCs w:val="1"/>
          <w:color w:val="auto"/>
        </w:rPr>
        <w:t>Price Approval</w:t>
      </w:r>
      <w:r>
        <w:rPr>
          <w:rFonts w:ascii="Times New Roman" w:cs="Times New Roman" w:eastAsia="Times New Roman" w:hAnsi="Times New Roman"/>
          <w:sz w:val="22"/>
          <w:szCs w:val="22"/>
          <w:color w:val="auto"/>
        </w:rPr>
        <w:t>” means, in any country where a Governmental Authority authorizes reimbursement for, or approves or determines pricing for, pharmaceutical products, receipt (or, if required to make such authorization, approval or determination effective, publication) of any government approval, agreement determination or decision establishing such reimbursement authorization or pricing approval or determination.</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1.314 “ </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any action, suit, litigation, arbitration, proceeding (including any civil, criminal, administrative, investigative or appellate proceeding), prosecution, contest, hearing, inquiry, inquest, audit, examination or investigation that is, has been or may in the future be commenced, brought, conducted or heard at law or in equity or before any Governmental Authority, excluding all administrative proceedings before any patent office.</w:t>
      </w:r>
    </w:p>
    <w:p>
      <w:pPr>
        <w:spacing w:after="0" w:line="17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1.315</w:t>
      </w:r>
      <w:r>
        <w:rPr>
          <w:sz w:val="20"/>
          <w:szCs w:val="20"/>
          <w:color w:val="auto"/>
        </w:rPr>
        <w:tab/>
      </w:r>
      <w:r>
        <w:rPr>
          <w:rFonts w:ascii="Times New Roman" w:cs="Times New Roman" w:eastAsia="Times New Roman" w:hAnsi="Times New Roman"/>
          <w:sz w:val="21"/>
          <w:szCs w:val="21"/>
          <w:color w:val="auto"/>
        </w:rPr>
        <w:t>“[***]” means [***].</w:t>
      </w:r>
    </w:p>
    <w:p>
      <w:pPr>
        <w:spacing w:after="0" w:line="20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Promotional Materials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1.317 “ </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Prosecute and Maintain</w:t>
      </w:r>
      <w:r>
        <w:rPr>
          <w:rFonts w:ascii="Times New Roman" w:cs="Times New Roman" w:eastAsia="Times New Roman" w:hAnsi="Times New Roman"/>
          <w:sz w:val="22"/>
          <w:szCs w:val="22"/>
          <w:color w:val="auto"/>
        </w:rPr>
        <w:t>” means, with regard to a Patent, the preparing, filing, prosecuting and maintenance of such Patent, as well as handling re-examinations and reissues with respect to such Patent, together with the conduct of interferences, derivation proceedings, pre- and post-grant opposition proceedings, post-grant patent proceedings (such as inter partes review and post grant review) and other similar proceedings with respect to the particular Patent. For clarification, “</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Prosecute and Maintain</w:t>
      </w:r>
      <w:r>
        <w:rPr>
          <w:rFonts w:ascii="Times New Roman" w:cs="Times New Roman" w:eastAsia="Times New Roman" w:hAnsi="Times New Roman"/>
          <w:sz w:val="22"/>
          <w:szCs w:val="22"/>
          <w:color w:val="auto"/>
        </w:rPr>
        <w:t>” will not include any enforcement actions taken with respect to a Patent.</w:t>
      </w:r>
    </w:p>
    <w:p>
      <w:pPr>
        <w:spacing w:after="0" w:line="175"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Third Parties</w:t>
      </w:r>
      <w:r>
        <w:rPr>
          <w:rFonts w:ascii="Times New Roman" w:cs="Times New Roman" w:eastAsia="Times New Roman" w:hAnsi="Times New Roman"/>
          <w:sz w:val="21"/>
          <w:szCs w:val="21"/>
          <w:color w:val="auto"/>
        </w:rPr>
        <w:t xml:space="preserve">” means the Third Parties set forth on </w:t>
      </w:r>
      <w:r>
        <w:rPr>
          <w:rFonts w:ascii="Times New Roman" w:cs="Times New Roman" w:eastAsia="Times New Roman" w:hAnsi="Times New Roman"/>
          <w:sz w:val="21"/>
          <w:szCs w:val="21"/>
          <w:u w:val="single" w:color="auto"/>
          <w:color w:val="auto"/>
        </w:rPr>
        <w:t>Schedule 1.318</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94" w:name="page195"/>
    <w:bookmarkEnd w:id="194"/>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1.319 “</w:t>
      </w:r>
      <w:r>
        <w:rPr>
          <w:rFonts w:ascii="Times New Roman" w:cs="Times New Roman" w:eastAsia="Times New Roman" w:hAnsi="Times New Roman"/>
          <w:sz w:val="21"/>
          <w:szCs w:val="21"/>
          <w:b w:val="1"/>
          <w:bCs w:val="1"/>
          <w:color w:val="auto"/>
        </w:rPr>
        <w:t>R&amp;D Expert</w:t>
      </w:r>
      <w:r>
        <w:rPr>
          <w:rFonts w:ascii="Times New Roman" w:cs="Times New Roman" w:eastAsia="Times New Roman" w:hAnsi="Times New Roman"/>
          <w:sz w:val="21"/>
          <w:szCs w:val="21"/>
          <w:color w:val="auto"/>
        </w:rPr>
        <w:t>” means an individual with sufficient experience for the relevant matter at issue, who (i) has both relevant scientific and business expertise in the research and development of human therapeutic products (and more specifically, if relevant to the matter at issue and if available, expertise in ubiquitin-mediated protein degradation therapeutics),</w:t>
      </w:r>
    </w:p>
    <w:p>
      <w:pPr>
        <w:spacing w:after="0" w:line="2" w:lineRule="exact"/>
        <w:rPr>
          <w:sz w:val="20"/>
          <w:szCs w:val="20"/>
          <w:color w:val="auto"/>
        </w:rPr>
      </w:pPr>
    </w:p>
    <w:p>
      <w:pPr>
        <w:jc w:val="both"/>
        <w:ind w:firstLine="3"/>
        <w:spacing w:after="0" w:line="235" w:lineRule="auto"/>
        <w:tabs>
          <w:tab w:leader="none" w:pos="3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worked for or been engaged by either Party or its Affiliates in the [***] period immediately prior to selection of such individual, and (iii) does not own equity or debt in either Party or its Affiliates (other than equity or debt owned through a broad based mutual fund or exchange trade fund).</w:t>
      </w:r>
    </w:p>
    <w:p>
      <w:pPr>
        <w:spacing w:after="0" w:line="174"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1.321 “ </w:t>
      </w:r>
      <w:r>
        <w:rPr>
          <w:rFonts w:ascii="Times New Roman" w:cs="Times New Roman" w:eastAsia="Times New Roman" w:hAnsi="Times New Roman"/>
          <w:sz w:val="22"/>
          <w:szCs w:val="22"/>
          <w:b w:val="1"/>
          <w:bCs w:val="1"/>
          <w:color w:val="auto"/>
        </w:rPr>
        <w:t>Registrational Study</w:t>
      </w:r>
      <w:r>
        <w:rPr>
          <w:rFonts w:ascii="Times New Roman" w:cs="Times New Roman" w:eastAsia="Times New Roman" w:hAnsi="Times New Roman"/>
          <w:sz w:val="22"/>
          <w:szCs w:val="22"/>
          <w:color w:val="auto"/>
        </w:rPr>
        <w:t>” means a Clinical Trial that is intended to establish that a product is safe and efficacious for its intended use in the target population, and to determine warnings, precautions, and adverse reactions that may be associated with such pharmaceutical product in the dosage range to be prescribed, which clinical trial is a registration trial intended to enable submission of an Approval Application for such product, as and to the extent defined for the United States in 21 C.F.R. § 312.21(c) or 21 C.F.R. Part 314 Subpart H, or its successor regulations, or, with respect to a jurisdiction other than the United States, a similar Clinical Trial.</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1.322 “ </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with respect to a country in the Territory, any national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FDA), supra-national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European Commission, the Council of the European Union, or the EMA), regional, state or local regulatory agency, department, bureau, board, commission, council or other Governmental Authority that holds responsibility for development, commercialization or manufacturing of, and the granting of Marketing Approval for a pharmaceutical product in such country or region.</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1.323 “</w:t>
      </w:r>
      <w:r>
        <w:rPr>
          <w:rFonts w:ascii="Times New Roman" w:cs="Times New Roman" w:eastAsia="Times New Roman" w:hAnsi="Times New Roman"/>
          <w:sz w:val="22"/>
          <w:szCs w:val="22"/>
          <w:b w:val="1"/>
          <w:bCs w:val="1"/>
          <w:color w:val="auto"/>
        </w:rPr>
        <w:t>Regulatory Exclusivity</w:t>
      </w:r>
      <w:r>
        <w:rPr>
          <w:rFonts w:ascii="Times New Roman" w:cs="Times New Roman" w:eastAsia="Times New Roman" w:hAnsi="Times New Roman"/>
          <w:sz w:val="22"/>
          <w:szCs w:val="22"/>
          <w:color w:val="auto"/>
        </w:rPr>
        <w:t>” means, with respect to a Licensed Product in a country, any data exclusivity rights, market exclusivity rights, or other exclusive right, other than a Patent, granted, conferred or afforded by any Regulatory Authority in such country or otherwise under Applicable Law with respect to such Licensed Product in such country, which either confers exclusive marketing rights with respect to a product or prevents another party from using or otherwise relying on the data supporting the approval of the Marketing Approval for a product without the prior written authorization of the Marketing Approval holder, as applicable, such as new chemical entity exclusivity, exclusivity associated with new Clinical Trials necessary to approval of a change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new indication or use), orphan drug exclusivity, non-patent-related pediatric exclusivity, or any other applicable marketing or data exclusivity, including any such periods under national implementations in the EU of Article 10 of Directive 2001/83/EC, Article 14(11) of Parliament and Council Regulation (EC) No 726/2004, Parliament and Council Regulation (EC) No 141/2000 on orphan medicines, Parliament and Council Regulation (EC) No 1901/2006 on medicinal products for pediatric use and all international equivalents.</w:t>
      </w:r>
    </w:p>
    <w:p>
      <w:pPr>
        <w:spacing w:after="0" w:line="17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Regulatory Expenses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1.325 “ </w:t>
      </w:r>
      <w:r>
        <w:rPr>
          <w:rFonts w:ascii="Times New Roman" w:cs="Times New Roman" w:eastAsia="Times New Roman" w:hAnsi="Times New Roman"/>
          <w:sz w:val="22"/>
          <w:szCs w:val="22"/>
          <w:b w:val="1"/>
          <w:bCs w:val="1"/>
          <w:color w:val="auto"/>
        </w:rPr>
        <w:t>Regulatory Filings</w:t>
      </w:r>
      <w:r>
        <w:rPr>
          <w:rFonts w:ascii="Times New Roman" w:cs="Times New Roman" w:eastAsia="Times New Roman" w:hAnsi="Times New Roman"/>
          <w:sz w:val="22"/>
          <w:szCs w:val="22"/>
          <w:color w:val="auto"/>
        </w:rPr>
        <w:t>” means, collectively: (a) all INDs, Approval Applications, establishment license applications, Drug Master Files, applications for designation (including as an “Orphan Product(s)” under the Orphan Drug Act, for “Fast Track” status under Section 506 of the FD&amp;C Act (21 U.S.C. § 356) or for a Special Protocol Assessment under Section 505(b)(4)(B)</w:t>
      </w: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and (C) of the FD&amp;C Act (21 U.S.C. § 355(b)(4)(B))) and all other similar filings (including counterparts of any of the foregoing in any country or region in the Territory); (b) any applications for Marketing Approval or Price Approval and other applications, filings, dossiers or similar documents submitted to a Regulatory Authority in any country for the purpose of obtaining Marketing Approval or Price Approval from that Regulatory Authority; (c) any Patent-related filings with any Regulatory Authority; (d) all supplements and amendments to any of the foregoing and submissions made related to any of the foregoing; (e) all documents referenced in the complete regulatory chronology for each Marketing Approval; (f) confirmed meeting requests and meeting minutes; (g) foreign equivalents of any of the foregoing; and (h) all data and other information contained in, and correspondence with any Regulatory Authority relating to, any of the foregoing.</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1.326 “ </w:t>
      </w:r>
      <w:r>
        <w:rPr>
          <w:rFonts w:ascii="Times New Roman" w:cs="Times New Roman" w:eastAsia="Times New Roman" w:hAnsi="Times New Roman"/>
          <w:sz w:val="22"/>
          <w:szCs w:val="22"/>
          <w:b w:val="1"/>
          <w:bCs w:val="1"/>
          <w:color w:val="auto"/>
        </w:rPr>
        <w:t>Regulatory Lead</w:t>
      </w:r>
      <w:r>
        <w:rPr>
          <w:rFonts w:ascii="Times New Roman" w:cs="Times New Roman" w:eastAsia="Times New Roman" w:hAnsi="Times New Roman"/>
          <w:sz w:val="22"/>
          <w:szCs w:val="22"/>
          <w:color w:val="auto"/>
        </w:rPr>
        <w:t>” means, unless otherwise agreed by the Parties: [***] on a Collaboration Target-by-Collaboration Target basis, during the Sanofi Participation Term with respect to such Collaboration Target (if any), Sanofi for all Collaboration Candidates and Licensed Products Directed Against such Collaboration Target.</w:t>
      </w:r>
    </w:p>
    <w:p>
      <w:pPr>
        <w:spacing w:after="0" w:line="16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Remaining Patient Data Package</w:t>
      </w:r>
      <w:r>
        <w:rPr>
          <w:rFonts w:ascii="Times New Roman" w:cs="Times New Roman" w:eastAsia="Times New Roman" w:hAnsi="Times New Roman"/>
          <w:sz w:val="21"/>
          <w:szCs w:val="21"/>
          <w:color w:val="auto"/>
        </w:rPr>
        <w:t>:”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Remaining Patients</w:t>
      </w:r>
      <w:r>
        <w:rPr>
          <w:rFonts w:ascii="Times New Roman" w:cs="Times New Roman" w:eastAsia="Times New Roman" w:hAnsi="Times New Roman"/>
          <w:sz w:val="21"/>
          <w:szCs w:val="21"/>
          <w:color w:val="auto"/>
        </w:rPr>
        <w:t xml:space="preserve">” as the meaning set forth in </w:t>
      </w:r>
      <w:r>
        <w:rPr>
          <w:rFonts w:ascii="Times New Roman" w:cs="Times New Roman" w:eastAsia="Times New Roman" w:hAnsi="Times New Roman"/>
          <w:sz w:val="21"/>
          <w:szCs w:val="21"/>
          <w:u w:val="single" w:color="auto"/>
          <w:color w:val="auto"/>
        </w:rPr>
        <w:t>Section 1.286(b)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1.329 “</w:t>
      </w:r>
      <w:r>
        <w:rPr>
          <w:rFonts w:ascii="Times New Roman" w:cs="Times New Roman" w:eastAsia="Times New Roman" w:hAnsi="Times New Roman"/>
          <w:sz w:val="22"/>
          <w:szCs w:val="22"/>
          <w:b w:val="1"/>
          <w:bCs w:val="1"/>
          <w:color w:val="auto"/>
        </w:rPr>
        <w:t>Reporting Company</w:t>
      </w:r>
      <w:r>
        <w:rPr>
          <w:rFonts w:ascii="Times New Roman" w:cs="Times New Roman" w:eastAsia="Times New Roman" w:hAnsi="Times New Roman"/>
          <w:sz w:val="22"/>
          <w:szCs w:val="22"/>
          <w:color w:val="auto"/>
        </w:rPr>
        <w:t>” means (a) a reporting company under the United States Securities and Exchange Act of 1934, or (b) a company that has publicly filed with the Securities and Exchange Commission, and has not withdrawn, a Form S-1.</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1.330 “ </w:t>
      </w:r>
      <w:r>
        <w:rPr>
          <w:rFonts w:ascii="Times New Roman" w:cs="Times New Roman" w:eastAsia="Times New Roman" w:hAnsi="Times New Roman"/>
          <w:sz w:val="22"/>
          <w:szCs w:val="22"/>
          <w:b w:val="1"/>
          <w:bCs w:val="1"/>
          <w:color w:val="auto"/>
        </w:rPr>
        <w:t>Research</w:t>
      </w:r>
      <w:r>
        <w:rPr>
          <w:rFonts w:ascii="Times New Roman" w:cs="Times New Roman" w:eastAsia="Times New Roman" w:hAnsi="Times New Roman"/>
          <w:sz w:val="22"/>
          <w:szCs w:val="22"/>
          <w:color w:val="auto"/>
        </w:rPr>
        <w:t>” means conducting research activities to discover, design, optimize, deliver and advance Collaboration Compounds, Collaboration Candidates or Licensed Products, but (a) specifically excluding Development, Manufacture and Commercialization, and (b) [***]. When used as a verb, “</w:t>
      </w:r>
      <w:r>
        <w:rPr>
          <w:rFonts w:ascii="Times New Roman" w:cs="Times New Roman" w:eastAsia="Times New Roman" w:hAnsi="Times New Roman"/>
          <w:sz w:val="22"/>
          <w:szCs w:val="22"/>
          <w:b w:val="1"/>
          <w:bCs w:val="1"/>
          <w:color w:val="auto"/>
        </w:rPr>
        <w:t>Researching</w:t>
      </w:r>
      <w:r>
        <w:rPr>
          <w:rFonts w:ascii="Times New Roman" w:cs="Times New Roman" w:eastAsia="Times New Roman" w:hAnsi="Times New Roman"/>
          <w:sz w:val="22"/>
          <w:szCs w:val="22"/>
          <w:color w:val="auto"/>
        </w:rPr>
        <w:t>” means to engage in Research.</w:t>
      </w:r>
    </w:p>
    <w:p>
      <w:pPr>
        <w:spacing w:after="0" w:line="16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Research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2.3.1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1.332 “</w:t>
      </w:r>
      <w:r>
        <w:rPr>
          <w:rFonts w:ascii="Times New Roman" w:cs="Times New Roman" w:eastAsia="Times New Roman" w:hAnsi="Times New Roman"/>
          <w:sz w:val="22"/>
          <w:szCs w:val="22"/>
          <w:b w:val="1"/>
          <w:bCs w:val="1"/>
          <w:color w:val="auto"/>
        </w:rPr>
        <w:t>Research Term</w:t>
      </w:r>
      <w:r>
        <w:rPr>
          <w:rFonts w:ascii="Times New Roman" w:cs="Times New Roman" w:eastAsia="Times New Roman" w:hAnsi="Times New Roman"/>
          <w:sz w:val="22"/>
          <w:szCs w:val="22"/>
          <w:color w:val="auto"/>
        </w:rPr>
        <w:t>” means, on a Collaboration Target-by-Collaboration Target basis, the period commencing on the Original Agreement Effective Date and ending upon the earliest to occur of (i) the Sanofi Participation Election Deadline without Sanofi’s exercise of the Sanofi Participation Election Right with respect to such Collaboration Target, (ii) the Sanofi Participation Election Effective Date with respect to such Collaboration Target, or (iii) the effective date of termination of this Agreement (with respect to such Collaboration Target or in its entirety). For the avoidance of doubt, (a) the expiration of the Research Term pursuant to clause (ii) shall not result in the expiration of the First Additional Degrader Research Term or Second Additional Degrader Research Term, which shall only expire in accordance with the terms thereof, and (b) the expiration of the Research Term with respect to Collaboration Target 1 pursuant to clause (i) or (iii) of this definition shall result in the contemporaneously expiration of both the First Additional Degrader Research Term and the Second Additional Degrader Research Term on such the effective date of expiration of the Research Term.</w:t>
      </w:r>
    </w:p>
    <w:p>
      <w:pPr>
        <w:spacing w:after="0" w:line="179"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 of World</w:t>
      </w:r>
      <w:r>
        <w:rPr>
          <w:rFonts w:ascii="Times New Roman" w:cs="Times New Roman" w:eastAsia="Times New Roman" w:hAnsi="Times New Roman"/>
          <w:sz w:val="21"/>
          <w:szCs w:val="21"/>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ind w:left="680"/>
        <w:spacing w:after="0"/>
        <w:tabs>
          <w:tab w:leader="none" w:pos="1520" w:val="left"/>
        </w:tabs>
        <w:rPr>
          <w:sz w:val="20"/>
          <w:szCs w:val="20"/>
          <w:color w:val="auto"/>
        </w:rPr>
      </w:pPr>
      <w:r>
        <w:rPr>
          <w:rFonts w:ascii="Times New Roman" w:cs="Times New Roman" w:eastAsia="Times New Roman" w:hAnsi="Times New Roman"/>
          <w:sz w:val="22"/>
          <w:szCs w:val="22"/>
          <w:color w:val="auto"/>
        </w:rPr>
        <w:t>1.334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Restatement Effective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17.2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80"/>
        <w:spacing w:after="0"/>
        <w:tabs>
          <w:tab w:leader="none" w:pos="1520" w:val="left"/>
        </w:tabs>
        <w:rPr>
          <w:sz w:val="20"/>
          <w:szCs w:val="20"/>
          <w:color w:val="auto"/>
        </w:rPr>
      </w:pPr>
      <w:r>
        <w:rPr>
          <w:rFonts w:ascii="Times New Roman" w:cs="Times New Roman" w:eastAsia="Times New Roman" w:hAnsi="Times New Roman"/>
          <w:sz w:val="22"/>
          <w:szCs w:val="22"/>
          <w:color w:val="auto"/>
        </w:rPr>
        <w:t>1.335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Restatement Execution Date</w:t>
      </w:r>
      <w:r>
        <w:rPr>
          <w:rFonts w:ascii="Times New Roman" w:cs="Times New Roman" w:eastAsia="Times New Roman" w:hAnsi="Times New Roman"/>
          <w:sz w:val="21"/>
          <w:szCs w:val="21"/>
          <w:color w:val="auto"/>
        </w:rPr>
        <w:t>” has the meaning set forth in the Preamble.</w:t>
      </w:r>
    </w:p>
    <w:p>
      <w:pPr>
        <w:spacing w:after="0" w:line="206" w:lineRule="exact"/>
        <w:rPr>
          <w:sz w:val="20"/>
          <w:szCs w:val="20"/>
          <w:color w:val="auto"/>
        </w:rPr>
      </w:pPr>
    </w:p>
    <w:p>
      <w:pPr>
        <w:jc w:val="both"/>
        <w:ind w:firstLine="656"/>
        <w:spacing w:after="0" w:line="262" w:lineRule="auto"/>
        <w:rPr>
          <w:sz w:val="20"/>
          <w:szCs w:val="20"/>
          <w:color w:val="auto"/>
        </w:rPr>
      </w:pPr>
      <w:r>
        <w:rPr>
          <w:rFonts w:ascii="Times New Roman" w:cs="Times New Roman" w:eastAsia="Times New Roman" w:hAnsi="Times New Roman"/>
          <w:sz w:val="22"/>
          <w:szCs w:val="22"/>
          <w:color w:val="auto"/>
        </w:rPr>
        <w:t xml:space="preserve">1.336 “ </w:t>
      </w:r>
      <w:r>
        <w:rPr>
          <w:rFonts w:ascii="Times New Roman" w:cs="Times New Roman" w:eastAsia="Times New Roman" w:hAnsi="Times New Roman"/>
          <w:sz w:val="22"/>
          <w:szCs w:val="22"/>
          <w:b w:val="1"/>
          <w:bCs w:val="1"/>
          <w:color w:val="auto"/>
        </w:rPr>
        <w:t>Reversion Compound Data</w:t>
      </w:r>
      <w:r>
        <w:rPr>
          <w:rFonts w:ascii="Times New Roman" w:cs="Times New Roman" w:eastAsia="Times New Roman" w:hAnsi="Times New Roman"/>
          <w:sz w:val="22"/>
          <w:szCs w:val="22"/>
          <w:color w:val="auto"/>
        </w:rPr>
        <w:t>” means any data that is generated by or on behalf of the Parties under this Agreement for any Reversion Compounds.</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Reversion Compounds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5.6.1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1.338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Reversion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5.6.4</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1.339</w:t>
      </w:r>
      <w:r>
        <w:rPr>
          <w:sz w:val="20"/>
          <w:szCs w:val="20"/>
          <w:color w:val="auto"/>
        </w:rPr>
        <w:tab/>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15.2.3(e)(iii)</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1.340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means, on a Licensed Product-by-Licensed Product and country-by-country basis, the period commencing on the First Commercial Sale of such Licensed Product in such country and ending upon the latest of: (a) the date on which the use or sale of such Licensed Product is no longer Covered by a Valid Claim of [***] that Cover [***]; (b) the [***] of the First Commercial Sale of such Licensed Product in such country; or (c) expiration of Regulatory Exclusivity in such country with respect to such Licensed Product.</w:t>
      </w:r>
    </w:p>
    <w:p>
      <w:pPr>
        <w:spacing w:after="0" w:line="17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SAD Permitted Overrun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2.5.5</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80"/>
        <w:spacing w:after="0"/>
        <w:tabs>
          <w:tab w:leader="none" w:pos="1520" w:val="left"/>
        </w:tabs>
        <w:rPr>
          <w:sz w:val="20"/>
          <w:szCs w:val="20"/>
          <w:color w:val="auto"/>
        </w:rPr>
      </w:pPr>
      <w:r>
        <w:rPr>
          <w:rFonts w:ascii="Times New Roman" w:cs="Times New Roman" w:eastAsia="Times New Roman" w:hAnsi="Times New Roman"/>
          <w:sz w:val="22"/>
          <w:szCs w:val="22"/>
          <w:color w:val="auto"/>
        </w:rPr>
        <w:t>1.342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SAD Research Budget Excession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2.5.5</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80"/>
        <w:spacing w:after="0"/>
        <w:tabs>
          <w:tab w:leader="none" w:pos="1520" w:val="left"/>
        </w:tabs>
        <w:rPr>
          <w:sz w:val="20"/>
          <w:szCs w:val="20"/>
          <w:color w:val="auto"/>
        </w:rPr>
      </w:pPr>
      <w:r>
        <w:rPr>
          <w:rFonts w:ascii="Times New Roman" w:cs="Times New Roman" w:eastAsia="Times New Roman" w:hAnsi="Times New Roman"/>
          <w:sz w:val="22"/>
          <w:szCs w:val="22"/>
          <w:color w:val="auto"/>
        </w:rPr>
        <w:t>1.343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SAD Term Commencement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2.5.3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SAD Termination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15.2.3(f)</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1.345 “</w:t>
      </w:r>
      <w:r>
        <w:rPr>
          <w:rFonts w:ascii="Times New Roman" w:cs="Times New Roman" w:eastAsia="Times New Roman" w:hAnsi="Times New Roman"/>
          <w:sz w:val="22"/>
          <w:szCs w:val="22"/>
          <w:b w:val="1"/>
          <w:bCs w:val="1"/>
          <w:color w:val="auto"/>
        </w:rPr>
        <w:t>Safety Concern</w:t>
      </w:r>
      <w:r>
        <w:rPr>
          <w:rFonts w:ascii="Times New Roman" w:cs="Times New Roman" w:eastAsia="Times New Roman" w:hAnsi="Times New Roman"/>
          <w:sz w:val="22"/>
          <w:szCs w:val="22"/>
          <w:color w:val="auto"/>
        </w:rPr>
        <w:t>” means, with respect to any compound or product, (a) any safety concern required to be reported under 21 C.F.R. § 312.32 if an IND with respect to such product was open at the time of the observation (or that would be so reportable to a Regulatory Authority if an IND was not open at such time), or (b) a toxicity or drug safety issue or a Serious Adverse Event reasonably related to or observed in connection with development or commercialization activities with respect to a product, as determined by (i) prior to a Sanofi Participation Election Effective Date (if any), either Party, in accordance with its standard operating procedures and (ii) on or after a Sanofi Participation Election Effective Date (if any), Sanofi, in accordance with its standard operating procedures.</w:t>
      </w:r>
    </w:p>
    <w:p>
      <w:pPr>
        <w:spacing w:after="0" w:line="17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Safety Termination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15.2.3(b)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Sales and Marketing Costs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w:t>
      </w:r>
      <w:r>
        <w:rPr>
          <w:rFonts w:ascii="Times New Roman" w:cs="Times New Roman" w:eastAsia="Times New Roman" w:hAnsi="Times New Roman"/>
          <w:sz w:val="21"/>
          <w:szCs w:val="21"/>
          <w:color w:val="auto"/>
        </w:rPr>
        <w:t>” has the meaning set forth in the Preamble.</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Background Know-How</w:t>
      </w:r>
      <w:r>
        <w:rPr>
          <w:rFonts w:ascii="Times New Roman" w:cs="Times New Roman" w:eastAsia="Times New Roman" w:hAnsi="Times New Roman"/>
          <w:sz w:val="21"/>
          <w:szCs w:val="21"/>
          <w:color w:val="auto"/>
        </w:rPr>
        <w:t>” means, on a Collaboration Target-by-Collaboration Target basis,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Background Patent</w:t>
      </w:r>
      <w:r>
        <w:rPr>
          <w:rFonts w:ascii="Times New Roman" w:cs="Times New Roman" w:eastAsia="Times New Roman" w:hAnsi="Times New Roman"/>
          <w:sz w:val="21"/>
          <w:szCs w:val="21"/>
          <w:color w:val="auto"/>
        </w:rPr>
        <w:t>” means, on a Collaboration Target-by-Collaboration Target basis, [***].</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1.351</w:t>
      </w:r>
      <w:r>
        <w:rPr>
          <w:sz w:val="20"/>
          <w:szCs w:val="20"/>
          <w:color w:val="auto"/>
        </w:rPr>
        <w:tab/>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Sanofi Background Technology</w:t>
      </w:r>
      <w:r>
        <w:rPr>
          <w:rFonts w:ascii="Times New Roman" w:cs="Times New Roman" w:eastAsia="Times New Roman" w:hAnsi="Times New Roman"/>
          <w:sz w:val="22"/>
          <w:szCs w:val="22"/>
          <w:color w:val="auto"/>
        </w:rPr>
        <w:t>” means the Sanofi Background Know-How and the Sanofi Background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Patents.</w:t>
      </w:r>
    </w:p>
    <w:p>
      <w:pPr>
        <w:spacing w:after="0" w:line="178"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Foreground Know-How</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Foreground Patent</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Foreground Technology</w:t>
      </w:r>
      <w:r>
        <w:rPr>
          <w:rFonts w:ascii="Times New Roman" w:cs="Times New Roman" w:eastAsia="Times New Roman" w:hAnsi="Times New Roman"/>
          <w:sz w:val="21"/>
          <w:szCs w:val="21"/>
          <w:color w:val="auto"/>
        </w:rPr>
        <w:t>” means all Sanofi Foreground Know-How and Sanofi Foreground Patents.</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Indemnified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14.1.2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Material Safety Event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7.6.2</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Participation Election Deadline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Participation Election Effective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1.359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Participation Election Right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1.360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Participation Election Right Exercise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Participation Election Right Exercise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1.362 “ </w:t>
      </w:r>
      <w:r>
        <w:rPr>
          <w:rFonts w:ascii="Times New Roman" w:cs="Times New Roman" w:eastAsia="Times New Roman" w:hAnsi="Times New Roman"/>
          <w:sz w:val="22"/>
          <w:szCs w:val="22"/>
          <w:b w:val="1"/>
          <w:bCs w:val="1"/>
          <w:color w:val="auto"/>
        </w:rPr>
        <w:t>Sanofi Participation Term</w:t>
      </w:r>
      <w:r>
        <w:rPr>
          <w:rFonts w:ascii="Times New Roman" w:cs="Times New Roman" w:eastAsia="Times New Roman" w:hAnsi="Times New Roman"/>
          <w:sz w:val="22"/>
          <w:szCs w:val="22"/>
          <w:color w:val="auto"/>
        </w:rPr>
        <w:t>” means, on a Collaboration Target-by-Collaboration Target basis, the period commencing on the Sanofi Participation Election Effective Date (if any) with respect to such Collaboration Target and ending upon the effective date of expiration or termination of this Agreement with respect to such Collaboration Target. On a Collaboration Target-by-Collaboration Target basis, the Backup Research Term (if any) for a given Collaboration Target will be considered part of the applicable Sanofi Participation Term for such Collaboration Target.</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1.363 “</w:t>
      </w:r>
      <w:r>
        <w:rPr>
          <w:rFonts w:ascii="Times New Roman" w:cs="Times New Roman" w:eastAsia="Times New Roman" w:hAnsi="Times New Roman"/>
          <w:sz w:val="22"/>
          <w:szCs w:val="22"/>
          <w:b w:val="1"/>
          <w:bCs w:val="1"/>
          <w:color w:val="auto"/>
        </w:rPr>
        <w:t>Sanofi Phase 2 Election Notice</w:t>
      </w:r>
      <w:r>
        <w:rPr>
          <w:rFonts w:ascii="Times New Roman" w:cs="Times New Roman" w:eastAsia="Times New Roman" w:hAnsi="Times New Roman"/>
          <w:sz w:val="22"/>
          <w:szCs w:val="22"/>
          <w:color w:val="auto"/>
        </w:rPr>
        <w:t>” means a written notice delivered by Sanofi by Kymera in the format set forth on Exhibit E.</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Sanofi Reversion Technology</w:t>
      </w:r>
      <w:r>
        <w:rPr>
          <w:rFonts w:ascii="Times New Roman" w:cs="Times New Roman" w:eastAsia="Times New Roman" w:hAnsi="Times New Roman"/>
          <w:sz w:val="21"/>
          <w:szCs w:val="21"/>
          <w:color w:val="auto"/>
        </w:rPr>
        <w:t>” means, with respect to a Terminated Target,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1.365</w:t>
      </w:r>
      <w:r>
        <w:rPr>
          <w:sz w:val="20"/>
          <w:szCs w:val="20"/>
          <w:color w:val="auto"/>
        </w:rPr>
        <w:tab/>
      </w:r>
      <w:r>
        <w:rPr>
          <w:rFonts w:ascii="Times New Roman" w:cs="Times New Roman" w:eastAsia="Times New Roman" w:hAnsi="Times New Roman"/>
          <w:sz w:val="21"/>
          <w:szCs w:val="21"/>
          <w:color w:val="auto"/>
        </w:rPr>
        <w:t>“S</w:t>
      </w:r>
      <w:r>
        <w:rPr>
          <w:rFonts w:ascii="Times New Roman" w:cs="Times New Roman" w:eastAsia="Times New Roman" w:hAnsi="Times New Roman"/>
          <w:sz w:val="21"/>
          <w:szCs w:val="21"/>
          <w:b w:val="1"/>
          <w:bCs w:val="1"/>
          <w:color w:val="auto"/>
        </w:rPr>
        <w:t>anofi Safety Review Committee</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1.366 “ </w:t>
      </w:r>
      <w:r>
        <w:rPr>
          <w:rFonts w:ascii="Times New Roman" w:cs="Times New Roman" w:eastAsia="Times New Roman" w:hAnsi="Times New Roman"/>
          <w:sz w:val="22"/>
          <w:szCs w:val="22"/>
          <w:b w:val="1"/>
          <w:bCs w:val="1"/>
          <w:color w:val="auto"/>
        </w:rPr>
        <w:t>Sanofi Technology</w:t>
      </w:r>
      <w:r>
        <w:rPr>
          <w:rFonts w:ascii="Times New Roman" w:cs="Times New Roman" w:eastAsia="Times New Roman" w:hAnsi="Times New Roman"/>
          <w:sz w:val="22"/>
          <w:szCs w:val="22"/>
          <w:color w:val="auto"/>
        </w:rPr>
        <w:t>” means the Sanofi Background Technology, the Sanofi Foreground Technology and Sanofi’s interest in the Joint Foreground Technology.</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1.367 “</w:t>
      </w:r>
      <w:r>
        <w:rPr>
          <w:rFonts w:ascii="Times New Roman" w:cs="Times New Roman" w:eastAsia="Times New Roman" w:hAnsi="Times New Roman"/>
          <w:sz w:val="22"/>
          <w:szCs w:val="22"/>
          <w:b w:val="1"/>
          <w:bCs w:val="1"/>
          <w:color w:val="auto"/>
        </w:rPr>
        <w:t>Screening Criteria</w:t>
      </w:r>
      <w:r>
        <w:rPr>
          <w:rFonts w:ascii="Times New Roman" w:cs="Times New Roman" w:eastAsia="Times New Roman" w:hAnsi="Times New Roman"/>
          <w:sz w:val="22"/>
          <w:szCs w:val="22"/>
          <w:color w:val="auto"/>
        </w:rPr>
        <w:t xml:space="preserve">” means the criteria set forth on </w:t>
      </w:r>
      <w:r>
        <w:rPr>
          <w:rFonts w:ascii="Times New Roman" w:cs="Times New Roman" w:eastAsia="Times New Roman" w:hAnsi="Times New Roman"/>
          <w:sz w:val="22"/>
          <w:szCs w:val="22"/>
          <w:u w:val="single" w:color="auto"/>
          <w:color w:val="auto"/>
        </w:rPr>
        <w:t>Schedule 1.367</w:t>
      </w:r>
      <w:r>
        <w:rPr>
          <w:rFonts w:ascii="Times New Roman" w:cs="Times New Roman" w:eastAsia="Times New Roman" w:hAnsi="Times New Roman"/>
          <w:sz w:val="22"/>
          <w:szCs w:val="22"/>
          <w:color w:val="auto"/>
        </w:rPr>
        <w:t>, as may be reviewed and discussed by the JRDC and amended by the JSC.</w:t>
      </w:r>
    </w:p>
    <w:p>
      <w:pPr>
        <w:spacing w:after="0" w:line="200" w:lineRule="exact"/>
        <w:rPr>
          <w:sz w:val="20"/>
          <w:szCs w:val="20"/>
          <w:color w:val="auto"/>
        </w:rPr>
      </w:pPr>
    </w:p>
    <w:p>
      <w:pPr>
        <w:spacing w:after="0" w:line="3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98" w:name="page199"/>
    <w:bookmarkEnd w:id="198"/>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1.368 “</w:t>
      </w:r>
      <w:r>
        <w:rPr>
          <w:rFonts w:ascii="Times New Roman" w:cs="Times New Roman" w:eastAsia="Times New Roman" w:hAnsi="Times New Roman"/>
          <w:sz w:val="22"/>
          <w:szCs w:val="22"/>
          <w:b w:val="1"/>
          <w:bCs w:val="1"/>
          <w:color w:val="auto"/>
        </w:rPr>
        <w:t>Second Additional Degrader Criteria</w:t>
      </w:r>
      <w:r>
        <w:rPr>
          <w:rFonts w:ascii="Times New Roman" w:cs="Times New Roman" w:eastAsia="Times New Roman" w:hAnsi="Times New Roman"/>
          <w:sz w:val="22"/>
          <w:szCs w:val="22"/>
          <w:color w:val="auto"/>
        </w:rPr>
        <w:t>” means, with respect to a given Degrader, such Degrader meets all of the following criteria: [***].</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1.369</w:t>
      </w:r>
      <w:r>
        <w:rPr>
          <w:sz w:val="20"/>
          <w:szCs w:val="20"/>
          <w:color w:val="auto"/>
        </w:rPr>
        <w:tab/>
      </w:r>
      <w:r>
        <w:rPr>
          <w:rFonts w:ascii="Times New Roman" w:cs="Times New Roman" w:eastAsia="Times New Roman" w:hAnsi="Times New Roman"/>
          <w:sz w:val="21"/>
          <w:szCs w:val="21"/>
          <w:b w:val="1"/>
          <w:bCs w:val="1"/>
          <w:color w:val="auto"/>
        </w:rPr>
        <w:t>“Second Additional Degrader Research Budget</w:t>
      </w:r>
      <w:r>
        <w:rPr>
          <w:rFonts w:ascii="Times New Roman" w:cs="Times New Roman" w:eastAsia="Times New Roman" w:hAnsi="Times New Roman"/>
          <w:sz w:val="21"/>
          <w:szCs w:val="21"/>
          <w:color w:val="auto"/>
        </w:rPr>
        <w:t>” has the meaning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2.3.1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1.370</w:t>
      </w:r>
      <w:r>
        <w:rPr>
          <w:sz w:val="20"/>
          <w:szCs w:val="20"/>
          <w:color w:val="auto"/>
        </w:rPr>
        <w:tab/>
      </w:r>
      <w:r>
        <w:rPr>
          <w:rFonts w:ascii="Times New Roman" w:cs="Times New Roman" w:eastAsia="Times New Roman" w:hAnsi="Times New Roman"/>
          <w:sz w:val="21"/>
          <w:szCs w:val="21"/>
          <w:b w:val="1"/>
          <w:bCs w:val="1"/>
          <w:color w:val="auto"/>
        </w:rPr>
        <w:t>“Second Additional Degrader Research Term</w:t>
      </w:r>
      <w:r>
        <w:rPr>
          <w:rFonts w:ascii="Times New Roman" w:cs="Times New Roman" w:eastAsia="Times New Roman" w:hAnsi="Times New Roman"/>
          <w:sz w:val="21"/>
          <w:szCs w:val="21"/>
          <w:color w:val="auto"/>
        </w:rPr>
        <w:t>” has the meaning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2.5.3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Second Additional Degraders</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Series 2 Permitted Overrun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2.6.4</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Series 2 Research Budget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2.3.1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Series 2 Research Budget Excession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2.6.4</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Series 2 Research Term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2.6.3</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1.376 “ </w:t>
      </w:r>
      <w:r>
        <w:rPr>
          <w:rFonts w:ascii="Times New Roman" w:cs="Times New Roman" w:eastAsia="Times New Roman" w:hAnsi="Times New Roman"/>
          <w:sz w:val="22"/>
          <w:szCs w:val="22"/>
          <w:b w:val="1"/>
          <w:bCs w:val="1"/>
          <w:color w:val="auto"/>
        </w:rPr>
        <w:t>Serious Adverse Event</w:t>
      </w:r>
      <w:r>
        <w:rPr>
          <w:rFonts w:ascii="Times New Roman" w:cs="Times New Roman" w:eastAsia="Times New Roman" w:hAnsi="Times New Roman"/>
          <w:sz w:val="22"/>
          <w:szCs w:val="22"/>
          <w:color w:val="auto"/>
        </w:rPr>
        <w:t>” means an adverse drug experience or circumstance that results in any of the following outcomes (a) death, (b) life threatening condition, (c) inpatient hospitalization or a prolongation of existing hospitalization, (d) persistent or significant disability or incapacity or substantial disruption of the ability to conduct normal life functions, (e) or a congenital anomaly/birth defect, (f) significant intervention required to prevent permanent impairment or damage, or (g) a medical event that may not result in death, be life threatening, or require hospitalization but, based on appropriate medical judgment, that may jeopardize the patient or subject and may require medical or surgical intervention to prevent one of the outcomes described in clauses (a) through (f).</w:t>
      </w:r>
    </w:p>
    <w:p>
      <w:pPr>
        <w:spacing w:after="0" w:line="17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1.377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SOPs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Specifically Claim</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Specifically Claims</w:t>
      </w:r>
      <w:r>
        <w:rPr>
          <w:rFonts w:ascii="Times New Roman" w:cs="Times New Roman" w:eastAsia="Times New Roman" w:hAnsi="Times New Roman"/>
          <w:sz w:val="21"/>
          <w:szCs w:val="21"/>
          <w:color w:val="auto"/>
        </w:rPr>
        <w:t>” means, as to a compound, product or [***] and a Patent, that,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1.379 “ </w:t>
      </w:r>
      <w:r>
        <w:rPr>
          <w:rFonts w:ascii="Times New Roman" w:cs="Times New Roman" w:eastAsia="Times New Roman" w:hAnsi="Times New Roman"/>
          <w:sz w:val="22"/>
          <w:szCs w:val="22"/>
          <w:b w:val="1"/>
          <w:bCs w:val="1"/>
          <w:color w:val="auto"/>
        </w:rPr>
        <w:t>Specifically Disclose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Specifically Disclosed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Specifically Discloses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Specifically Disclosing</w:t>
      </w:r>
      <w:r>
        <w:rPr>
          <w:rFonts w:ascii="Times New Roman" w:cs="Times New Roman" w:eastAsia="Times New Roman" w:hAnsi="Times New Roman"/>
          <w:sz w:val="22"/>
          <w:szCs w:val="22"/>
          <w:color w:val="auto"/>
        </w:rPr>
        <w:t>” means, as to a [***], compound or product and a Patent, that [***].</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1.380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Standard Cost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1.381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Step-In Activities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15.2.4</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Step-In Triggers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15.2.4</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1.383 “</w:t>
      </w:r>
      <w:r>
        <w:rPr>
          <w:rFonts w:ascii="Times New Roman" w:cs="Times New Roman" w:eastAsia="Times New Roman" w:hAnsi="Times New Roman"/>
          <w:sz w:val="22"/>
          <w:szCs w:val="22"/>
          <w:b w:val="1"/>
          <w:bCs w:val="1"/>
          <w:color w:val="auto"/>
        </w:rPr>
        <w:t>Subcommittee</w:t>
      </w:r>
      <w:r>
        <w:rPr>
          <w:rFonts w:ascii="Times New Roman" w:cs="Times New Roman" w:eastAsia="Times New Roman" w:hAnsi="Times New Roman"/>
          <w:sz w:val="22"/>
          <w:szCs w:val="22"/>
          <w:color w:val="auto"/>
        </w:rPr>
        <w:t xml:space="preserve">” means JCC, JFC, JMC, JPC, JRDC, JTT and any other subcommittee formed by the JSC in accordance with </w:t>
      </w:r>
      <w:r>
        <w:rPr>
          <w:rFonts w:ascii="Times New Roman" w:cs="Times New Roman" w:eastAsia="Times New Roman" w:hAnsi="Times New Roman"/>
          <w:sz w:val="22"/>
          <w:szCs w:val="22"/>
          <w:u w:val="single" w:color="auto"/>
          <w:color w:val="auto"/>
        </w:rPr>
        <w:t>Section 9.1.2(s)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21"/>
          <w:szCs w:val="21"/>
          <w:color w:val="auto"/>
        </w:rPr>
        <w:t xml:space="preserve">1.384 “ </w:t>
      </w:r>
      <w:r>
        <w:rPr>
          <w:rFonts w:ascii="Times New Roman" w:cs="Times New Roman" w:eastAsia="Times New Roman" w:hAnsi="Times New Roman"/>
          <w:sz w:val="21"/>
          <w:szCs w:val="21"/>
          <w:b w:val="1"/>
          <w:bCs w:val="1"/>
          <w:color w:val="auto"/>
        </w:rPr>
        <w:t>Subcontractor</w:t>
      </w:r>
      <w:r>
        <w:rPr>
          <w:rFonts w:ascii="Times New Roman" w:cs="Times New Roman" w:eastAsia="Times New Roman" w:hAnsi="Times New Roman"/>
          <w:sz w:val="21"/>
          <w:szCs w:val="21"/>
          <w:color w:val="auto"/>
        </w:rPr>
        <w:t>” means a consultant, subcontractor, contract researcher, contract manufacturer, academic researcher or other vendor engaged by a Party to conduct activities on behalf of such Party or its Affiliate under this Agreement.</w:t>
      </w:r>
    </w:p>
    <w:p>
      <w:pPr>
        <w:spacing w:after="0" w:line="200" w:lineRule="exact"/>
        <w:rPr>
          <w:sz w:val="20"/>
          <w:szCs w:val="20"/>
          <w:color w:val="auto"/>
        </w:rPr>
      </w:pPr>
    </w:p>
    <w:p>
      <w:pPr>
        <w:spacing w:after="0" w:line="3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1.385 “</w:t>
      </w:r>
      <w:r>
        <w:rPr>
          <w:rFonts w:ascii="Times New Roman" w:cs="Times New Roman" w:eastAsia="Times New Roman" w:hAnsi="Times New Roman"/>
          <w:sz w:val="22"/>
          <w:szCs w:val="22"/>
          <w:b w:val="1"/>
          <w:bCs w:val="1"/>
          <w:color w:val="auto"/>
        </w:rPr>
        <w:t>Sublicense</w:t>
      </w:r>
      <w:r>
        <w:rPr>
          <w:rFonts w:ascii="Times New Roman" w:cs="Times New Roman" w:eastAsia="Times New Roman" w:hAnsi="Times New Roman"/>
          <w:sz w:val="22"/>
          <w:szCs w:val="22"/>
          <w:color w:val="auto"/>
        </w:rPr>
        <w:t>” means, directly or indirectly, to sublicense, grant any other right with respect to, or agree not to assert, the rights granted to Sanofi hereunder. When used as a noun, “Sublicense” means any agreement to Sublicense.</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Sublicense Revenues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1.387 “</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an Affiliate or Third Party, other than a Distributor, to whom Sanofi (or a Sublicensee or Affiliate) sublicenses any of the rights granted to Sanofi hereunder during the Term.</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1.388 “ </w:t>
      </w:r>
      <w:r>
        <w:rPr>
          <w:rFonts w:ascii="Times New Roman" w:cs="Times New Roman" w:eastAsia="Times New Roman" w:hAnsi="Times New Roman"/>
          <w:sz w:val="22"/>
          <w:szCs w:val="22"/>
          <w:b w:val="1"/>
          <w:bCs w:val="1"/>
          <w:color w:val="auto"/>
        </w:rPr>
        <w:t>Successful Completion</w:t>
      </w:r>
      <w:r>
        <w:rPr>
          <w:rFonts w:ascii="Times New Roman" w:cs="Times New Roman" w:eastAsia="Times New Roman" w:hAnsi="Times New Roman"/>
          <w:sz w:val="22"/>
          <w:szCs w:val="22"/>
          <w:color w:val="auto"/>
        </w:rPr>
        <w:t>” means, (a) with respect to a Licensed Product containing a First Additional Degrader or Second Additional Degrader, [***], (b) with respect to a Licensed Product Directed Against Collaboration Target 2, [***].</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1.389 “</w:t>
      </w:r>
      <w:r>
        <w:rPr>
          <w:rFonts w:ascii="Times New Roman" w:cs="Times New Roman" w:eastAsia="Times New Roman" w:hAnsi="Times New Roman"/>
          <w:sz w:val="22"/>
          <w:szCs w:val="22"/>
          <w:b w:val="1"/>
          <w:bCs w:val="1"/>
          <w:color w:val="auto"/>
        </w:rPr>
        <w:t>Target</w:t>
      </w:r>
      <w:r>
        <w:rPr>
          <w:rFonts w:ascii="Times New Roman" w:cs="Times New Roman" w:eastAsia="Times New Roman" w:hAnsi="Times New Roman"/>
          <w:sz w:val="22"/>
          <w:szCs w:val="22"/>
          <w:color w:val="auto"/>
        </w:rPr>
        <w:t>” means a specific protein that is associated with an ENSEMBL GENE ID (as listed in the database available at https://www.genenames.org or any successor website) (together with any and all naturally occurring mutations, variants and alternative sequences thereof).</w:t>
      </w:r>
    </w:p>
    <w:p>
      <w:pPr>
        <w:spacing w:after="0" w:line="16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Target Binding Moiety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1.86</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1.391</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1.392</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15.1</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1.394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Terminated Degraders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15.2.3(f)</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1.395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Terminated Products</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1.396 “ </w:t>
      </w:r>
      <w:r>
        <w:rPr>
          <w:rFonts w:ascii="Times New Roman" w:cs="Times New Roman" w:eastAsia="Times New Roman" w:hAnsi="Times New Roman"/>
          <w:sz w:val="22"/>
          <w:szCs w:val="22"/>
          <w:b w:val="1"/>
          <w:bCs w:val="1"/>
          <w:color w:val="auto"/>
        </w:rPr>
        <w:t>Terminated Target</w:t>
      </w:r>
      <w:r>
        <w:rPr>
          <w:rFonts w:ascii="Times New Roman" w:cs="Times New Roman" w:eastAsia="Times New Roman" w:hAnsi="Times New Roman"/>
          <w:sz w:val="22"/>
          <w:szCs w:val="22"/>
          <w:color w:val="auto"/>
        </w:rPr>
        <w:t xml:space="preserve">” means any Collaboration Target with respect to which this Agreement has been terminated in accordance with any of the provisions of </w:t>
      </w:r>
      <w:r>
        <w:rPr>
          <w:rFonts w:ascii="Times New Roman" w:cs="Times New Roman" w:eastAsia="Times New Roman" w:hAnsi="Times New Roman"/>
          <w:sz w:val="22"/>
          <w:szCs w:val="22"/>
          <w:u w:val="single" w:color="auto"/>
          <w:color w:val="auto"/>
        </w:rPr>
        <w:t>Sections 15.2.1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15.2.2</w:t>
      </w:r>
      <w:r>
        <w:rPr>
          <w:rFonts w:ascii="Times New Roman" w:cs="Times New Roman" w:eastAsia="Times New Roman" w:hAnsi="Times New Roman"/>
          <w:sz w:val="22"/>
          <w:szCs w:val="22"/>
          <w:color w:val="auto"/>
        </w:rPr>
        <w:t xml:space="preserve">, 15.2.3, and </w:t>
      </w:r>
      <w:r>
        <w:rPr>
          <w:rFonts w:ascii="Times New Roman" w:cs="Times New Roman" w:eastAsia="Times New Roman" w:hAnsi="Times New Roman"/>
          <w:sz w:val="22"/>
          <w:szCs w:val="22"/>
          <w:u w:val="single" w:color="auto"/>
          <w:color w:val="auto"/>
        </w:rPr>
        <w:t>15.2.6</w:t>
      </w:r>
      <w:r>
        <w:rPr>
          <w:rFonts w:ascii="Times New Roman" w:cs="Times New Roman" w:eastAsia="Times New Roman" w:hAnsi="Times New Roman"/>
          <w:sz w:val="22"/>
          <w:szCs w:val="22"/>
          <w:color w:val="auto"/>
        </w:rPr>
        <w:t xml:space="preserve">. For clarity, (a) if Sanofi fails to timely exercise the Sanofi Participation Election Right with respect to a Collaboration Target prior to the Sanofi Participation Election Deadline in accordance with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this Agreement will automatically terminate with respect to such Collaboration Target in accordance with </w:t>
      </w:r>
      <w:r>
        <w:rPr>
          <w:rFonts w:ascii="Times New Roman" w:cs="Times New Roman" w:eastAsia="Times New Roman" w:hAnsi="Times New Roman"/>
          <w:sz w:val="22"/>
          <w:szCs w:val="22"/>
          <w:u w:val="single" w:color="auto"/>
          <w:color w:val="auto"/>
        </w:rPr>
        <w:t>Section 15.2.1</w:t>
      </w:r>
      <w:r>
        <w:rPr>
          <w:rFonts w:ascii="Times New Roman" w:cs="Times New Roman" w:eastAsia="Times New Roman" w:hAnsi="Times New Roman"/>
          <w:sz w:val="22"/>
          <w:szCs w:val="22"/>
          <w:color w:val="auto"/>
        </w:rPr>
        <w:t xml:space="preserve"> and such Collaboration Target will become a Terminated Target and (b) if this Agreement is terminated in its entirety, all Collaboration Targets will be Terminated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-656590</wp:posOffset>
            </wp:positionV>
            <wp:extent cx="3771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7">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5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worldwide.</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1.398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Person other than Sanofi, Kymera or their respective Affiliates.</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1.399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Agreement</w:t>
      </w:r>
      <w:r>
        <w:rPr>
          <w:rFonts w:ascii="Times New Roman" w:cs="Times New Roman" w:eastAsia="Times New Roman" w:hAnsi="Times New Roman"/>
          <w:sz w:val="21"/>
          <w:szCs w:val="21"/>
          <w:color w:val="auto"/>
        </w:rPr>
        <w:t>” means [***].</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1.400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Third-Party Infringement Claim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12.3</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1.401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Payments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1.402 “ </w:t>
      </w:r>
      <w:r>
        <w:rPr>
          <w:rFonts w:ascii="Times New Roman" w:cs="Times New Roman" w:eastAsia="Times New Roman" w:hAnsi="Times New Roman"/>
          <w:sz w:val="22"/>
          <w:szCs w:val="22"/>
          <w:b w:val="1"/>
          <w:bCs w:val="1"/>
          <w:color w:val="auto"/>
        </w:rPr>
        <w:t>Trigger End Date</w:t>
      </w:r>
      <w:r>
        <w:rPr>
          <w:rFonts w:ascii="Times New Roman" w:cs="Times New Roman" w:eastAsia="Times New Roman" w:hAnsi="Times New Roman"/>
          <w:sz w:val="22"/>
          <w:szCs w:val="22"/>
          <w:color w:val="auto"/>
        </w:rPr>
        <w:t>” means, (a) in respect of Collaboration Target 1, [***], and (b) in respect of Collaboration Target 2, [***].</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1.403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Trigger Point</w:t>
      </w:r>
      <w:r>
        <w:rPr>
          <w:rFonts w:ascii="Times New Roman" w:cs="Times New Roman" w:eastAsia="Times New Roman" w:hAnsi="Times New Roman"/>
          <w:sz w:val="21"/>
          <w:szCs w:val="21"/>
          <w:color w:val="auto"/>
        </w:rPr>
        <w:t>” means (a) for Collaboration Target 1, [***], and (b) for Collaboration Target 2, [***].</w:t>
      </w:r>
    </w:p>
    <w:p>
      <w:pPr>
        <w:spacing w:after="0" w:line="204"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1.404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United States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means the United States of America and its territories, possessions and districts.</w:t>
      </w:r>
    </w:p>
    <w:p>
      <w:pPr>
        <w:spacing w:after="0" w:line="208"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1.405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Budget Excession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1.406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Development Activities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5.3.3(a)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1.407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Development Budget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5.3.3(a)</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1.408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Development Costs</w:t>
      </w:r>
      <w:r>
        <w:rPr>
          <w:rFonts w:ascii="Times New Roman" w:cs="Times New Roman" w:eastAsia="Times New Roman" w:hAnsi="Times New Roman"/>
          <w:sz w:val="21"/>
          <w:szCs w:val="21"/>
          <w:color w:val="auto"/>
        </w:rPr>
        <w:t>” [***].</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1.409 “</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xml:space="preserve">” means a claim (a) of any issued, unexpired United States or foreign Patent, which has not, in the country of issuance, been irrevocably donated to the public, disclaimed, held invalid or unenforceable by a court of competent jurisdiction in an unappealed or unappealable decision, or (b) of any United States or foreign patent application, which has not, in the country in question, been finally cancelled, withdrawn, or abandoned;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of this clause (b), (i) notwithstanding the foregoing, on a country-by-country basis, a patent application pending beyond the [***] will not be considered to have any Valid Claim for purposes of this Agreement unless and until a patent that meets the criteria set forth in clause (a) above with respect to such application issues, and (ii) a patent application filed after the date of the First Commercial Sale of a Licensed Product in a country will not be included in clause (b) of the definition of Valid Claim for such Licensed Product in such country unless and until (A) a patent that meets the criteria set forth in clause (a) above with respect to such application issues, or (B) Sanofi consents to the filing of such patent application (evidence of such consent may be given to the JPC).</w:t>
      </w:r>
    </w:p>
    <w:p>
      <w:pPr>
        <w:spacing w:after="0" w:line="17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1.410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Withholding Action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11.8</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RESEARCH</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u w:val="single" w:color="auto"/>
          <w:color w:val="auto"/>
        </w:rPr>
        <w:t>Generally</w:t>
      </w:r>
      <w:r>
        <w:rPr>
          <w:rFonts w:ascii="Times New Roman" w:cs="Times New Roman" w:eastAsia="Times New Roman" w:hAnsi="Times New Roman"/>
          <w:sz w:val="22"/>
          <w:szCs w:val="22"/>
          <w:color w:val="auto"/>
        </w:rPr>
        <w:t xml:space="preserve">. Subject to the terms and conditions of this Agreement, on a Collaboration Target-by-Collaboration Target basis, during the Research Term, Kymera will be responsible for conducting certain Research activities for the Collaboration Compounds and Collaboration Candidates (but not, for clarity, Excluded Compounds) Directed Against such Collaboration Target in the Field (and not, for clarity, in the Excluded Field) in the Territory in accordance with the Research Plan, as further set forth in this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u w:val="single" w:color="auto"/>
          <w:color w:val="auto"/>
        </w:rPr>
        <w:t>Prior Research</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01" w:name="page202"/>
    <w:bookmarkEnd w:id="201"/>
    <w:p>
      <w:pPr>
        <w:ind w:left="91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2.2.1 The Parties acknowledge that Kymera has performed certain Research Activities with respect to Collaboration Target 1 prior to the Original Agreement Execution Date, and agree that for purposes of this Agreement, [***].</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2.2.2 Under the Original Agreement, Kymera provided Sanofi (via the JRDC) a list of [***], for discussion by the JRDC. Kymera will provide a list of [***] to the JRDC at the first JRDC meeting after the Restatement Effective Date.</w:t>
      </w:r>
    </w:p>
    <w:p>
      <w:pPr>
        <w:spacing w:after="0" w:line="173"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u w:val="single" w:color="auto"/>
          <w:color w:val="auto"/>
        </w:rPr>
        <w:t>Research Plan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2.3.1 On a Collaboration Target-by-Collaboration Target basis, during the Research Term, Kymera will conduct the Research activities under this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for the Collaboration Compounds and Collaboration Candidates Directed Against each Collaboration Target in the Field in accordance with a written plan (the “</w:t>
      </w:r>
      <w:r>
        <w:rPr>
          <w:rFonts w:ascii="Times New Roman" w:cs="Times New Roman" w:eastAsia="Times New Roman" w:hAnsi="Times New Roman"/>
          <w:sz w:val="22"/>
          <w:szCs w:val="22"/>
          <w:b w:val="1"/>
          <w:bCs w:val="1"/>
          <w:color w:val="auto"/>
        </w:rPr>
        <w:t>Research Plan</w:t>
      </w:r>
      <w:r>
        <w:rPr>
          <w:rFonts w:ascii="Times New Roman" w:cs="Times New Roman" w:eastAsia="Times New Roman" w:hAnsi="Times New Roman"/>
          <w:sz w:val="22"/>
          <w:szCs w:val="22"/>
          <w:color w:val="auto"/>
        </w:rPr>
        <w:t xml:space="preserve">”) that includes (a) [***] (b) [***] (c) [***] (d) [***] (e) [***] (f)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 updated draft of each such budget will be provided by Kymera every [***]. A copy of the current Research Plan as of the Restatement Execution Date is attached hereto as </w:t>
      </w:r>
      <w:r>
        <w:rPr>
          <w:rFonts w:ascii="Times New Roman" w:cs="Times New Roman" w:eastAsia="Times New Roman" w:hAnsi="Times New Roman"/>
          <w:sz w:val="22"/>
          <w:szCs w:val="22"/>
          <w:u w:val="single" w:color="auto"/>
          <w:color w:val="auto"/>
        </w:rPr>
        <w:t>Schedule 2.3.1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 In the event Sanofi provides notice to Kymera under </w:t>
      </w:r>
      <w:r>
        <w:rPr>
          <w:rFonts w:ascii="Times New Roman" w:cs="Times New Roman" w:eastAsia="Times New Roman" w:hAnsi="Times New Roman"/>
          <w:sz w:val="22"/>
          <w:szCs w:val="22"/>
          <w:u w:val="single" w:color="auto"/>
          <w:color w:val="auto"/>
        </w:rPr>
        <w:t>Section 2.5.2</w:t>
      </w:r>
      <w:r>
        <w:rPr>
          <w:rFonts w:ascii="Times New Roman" w:cs="Times New Roman" w:eastAsia="Times New Roman" w:hAnsi="Times New Roman"/>
          <w:sz w:val="22"/>
          <w:szCs w:val="22"/>
          <w:color w:val="auto"/>
        </w:rPr>
        <w:t xml:space="preserve"> that Sanofi desires to have Kymera conduct new Research activities with respect to Second Additional Degraders, Kymera will prepare an amendment to the Research Plan to include such new Research Activities no later than [***] from the date of Kymera’s receipt of written notice thereof [***]. [***]. Any amendments to the Research Plan will be subject to </w:t>
      </w:r>
      <w:r>
        <w:rPr>
          <w:rFonts w:ascii="Times New Roman" w:cs="Times New Roman" w:eastAsia="Times New Roman" w:hAnsi="Times New Roman"/>
          <w:sz w:val="22"/>
          <w:szCs w:val="22"/>
          <w:u w:val="single" w:color="auto"/>
          <w:color w:val="auto"/>
        </w:rPr>
        <w:t>Section 2.3.2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9.2.2(b)</w:t>
      </w:r>
      <w:r>
        <w:rPr>
          <w:rFonts w:ascii="Times New Roman" w:cs="Times New Roman" w:eastAsia="Times New Roman" w:hAnsi="Times New Roman"/>
          <w:sz w:val="22"/>
          <w:szCs w:val="22"/>
          <w:color w:val="auto"/>
        </w:rPr>
        <w:t>. In the event of any inconsistency between the Research Plan and this Agreement, the terms of this Agreement will prevail.</w:t>
      </w:r>
    </w:p>
    <w:p>
      <w:pPr>
        <w:spacing w:after="0" w:line="18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2.3.2 Kymera may propose amendments to the Research Plan at any time to reflect any material developments or adjustments to the applicable Research activities,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any such amended Research Plan will at all times meet the requirements set forth in </w:t>
      </w:r>
      <w:r>
        <w:rPr>
          <w:rFonts w:ascii="Times New Roman" w:cs="Times New Roman" w:eastAsia="Times New Roman" w:hAnsi="Times New Roman"/>
          <w:sz w:val="22"/>
          <w:szCs w:val="22"/>
          <w:u w:val="single" w:color="auto"/>
          <w:color w:val="auto"/>
        </w:rPr>
        <w:t>Section 2.3.1[</w:t>
      </w:r>
      <w:r>
        <w:rPr>
          <w:rFonts w:ascii="Times New Roman" w:cs="Times New Roman" w:eastAsia="Times New Roman" w:hAnsi="Times New Roman"/>
          <w:sz w:val="22"/>
          <w:szCs w:val="22"/>
          <w:color w:val="auto"/>
        </w:rPr>
        <w:t xml:space="preserve">[***] through [***], and (b) in no event will Sanofi conduct any activities under the Research Plan except as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or as mutually agreed by the Parties. Kymera will promptly provide any such proposed amendment to the Research Plan to the JRDC for review and discussion. No update or material amendment to the Research Plan will be effective unless and until approved by the JRDC in accordance with </w:t>
      </w:r>
      <w:r>
        <w:rPr>
          <w:rFonts w:ascii="Times New Roman" w:cs="Times New Roman" w:eastAsia="Times New Roman" w:hAnsi="Times New Roman"/>
          <w:sz w:val="22"/>
          <w:szCs w:val="22"/>
          <w:u w:val="single" w:color="auto"/>
          <w:color w:val="auto"/>
        </w:rPr>
        <w:t>Section 9.2.2(b)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u w:val="single" w:color="auto"/>
          <w:color w:val="auto"/>
        </w:rPr>
        <w:t>First Additional Degraders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2.4.1 For Collaboration Target 1, in addition to the Research activities relating to the Initial Collaboration Target 1 Degrader and the Second Additional Degraders (as set forth more fully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below), Kymera will conduct Research activities, in accordance with the Research Plan during the First Additional Degrader Research Term with the goal of identifying one (1) new Collaboration Compound that satisfies the First Additional Degrader Criteria. For clarity, a “new Collaboration Compound”, as used in the prior sentence, may be a Degrader which was identified or synthesized prior to the Original Agreement Effective Date, so long as it has not previously been designated as the Initial</w:t>
      </w:r>
    </w:p>
    <w:p>
      <w:pPr>
        <w:spacing w:after="0" w:line="200" w:lineRule="exact"/>
        <w:rPr>
          <w:sz w:val="20"/>
          <w:szCs w:val="20"/>
          <w:color w:val="auto"/>
        </w:rPr>
      </w:pPr>
    </w:p>
    <w:p>
      <w:pPr>
        <w:spacing w:after="0" w:line="38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Collaboration Target 1 Degrader or a Second Additional Degrader. Without limiting the foregoing, Kymera shall assign personnel under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in accordance with the Research Plan.</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2.4.2 Kymera will conduct the Research activities under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during the period commencing on the Original Agreement Effective Date and ending on the earliest to occur of the following: (a) the date of selection of the First Additional Degrader in accordance with </w:t>
      </w:r>
      <w:r>
        <w:rPr>
          <w:rFonts w:ascii="Times New Roman" w:cs="Times New Roman" w:eastAsia="Times New Roman" w:hAnsi="Times New Roman"/>
          <w:sz w:val="22"/>
          <w:szCs w:val="22"/>
          <w:u w:val="single" w:color="auto"/>
          <w:color w:val="auto"/>
        </w:rPr>
        <w:t>Section 2.4.7</w:t>
      </w:r>
      <w:r>
        <w:rPr>
          <w:rFonts w:ascii="Times New Roman" w:cs="Times New Roman" w:eastAsia="Times New Roman" w:hAnsi="Times New Roman"/>
          <w:sz w:val="22"/>
          <w:szCs w:val="22"/>
          <w:color w:val="auto"/>
        </w:rPr>
        <w:t>, (b) [***], and (c) the effective date of termination of this Agreement with respect to Collaboration Target 1 or in its entirety (the “</w:t>
      </w:r>
      <w:r>
        <w:rPr>
          <w:rFonts w:ascii="Times New Roman" w:cs="Times New Roman" w:eastAsia="Times New Roman" w:hAnsi="Times New Roman"/>
          <w:sz w:val="22"/>
          <w:szCs w:val="22"/>
          <w:b w:val="1"/>
          <w:bCs w:val="1"/>
          <w:color w:val="auto"/>
        </w:rPr>
        <w:t>A&amp;R FAD Research Term</w:t>
      </w:r>
      <w:r>
        <w:rPr>
          <w:rFonts w:ascii="Times New Roman" w:cs="Times New Roman" w:eastAsia="Times New Roman" w:hAnsi="Times New Roman"/>
          <w:sz w:val="22"/>
          <w:szCs w:val="22"/>
          <w:color w:val="auto"/>
        </w:rPr>
        <w:t xml:space="preserve">”); provided that, as long as the A&amp;R FAD Research Term has not otherwise expired or terminated, Sanofi will [***] have the one-time right upon written notice to Kymera to extend the term of Kymera’s Research activities under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until the [***] (the “</w:t>
      </w:r>
      <w:r>
        <w:rPr>
          <w:rFonts w:ascii="Times New Roman" w:cs="Times New Roman" w:eastAsia="Times New Roman" w:hAnsi="Times New Roman"/>
          <w:sz w:val="22"/>
          <w:szCs w:val="22"/>
          <w:b w:val="1"/>
          <w:bCs w:val="1"/>
          <w:color w:val="auto"/>
        </w:rPr>
        <w:t>FAD Term Extension</w:t>
      </w:r>
      <w:r>
        <w:rPr>
          <w:rFonts w:ascii="Times New Roman" w:cs="Times New Roman" w:eastAsia="Times New Roman" w:hAnsi="Times New Roman"/>
          <w:sz w:val="22"/>
          <w:szCs w:val="22"/>
          <w:color w:val="auto"/>
        </w:rPr>
        <w:t>”, and with the A&amp;R FAD Research Term, collectively, the “</w:t>
      </w:r>
      <w:r>
        <w:rPr>
          <w:rFonts w:ascii="Times New Roman" w:cs="Times New Roman" w:eastAsia="Times New Roman" w:hAnsi="Times New Roman"/>
          <w:sz w:val="22"/>
          <w:szCs w:val="22"/>
          <w:b w:val="1"/>
          <w:bCs w:val="1"/>
          <w:color w:val="auto"/>
        </w:rPr>
        <w:t>First Additional Degrader Research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2.4.3</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2.4.4</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2.4.5</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2.4.6 During the First Additional Degrader Research Term, Kymera will use the screening assays in accordance with the procedures set forth in the Research Plan to determine whether a given Degrader that is Researched under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satisfies the Screening Criteria or the First Additional Degrader Criteria. All Degraders that meet the Screening Criteria during the First Additional Degrader Research Term will be Collaboration Compounds under this Agreement, subject to the reversion rights set forth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Notwithstanding anything herein to the contrary, any Degraders that are Researched by or on behalf of Kymera under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that do not meet the Screening Criteria will be classified as Excluded Compounds, unless [***].</w:t>
      </w:r>
    </w:p>
    <w:p>
      <w:pPr>
        <w:spacing w:after="0" w:line="18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2.4.7 During the First Additional Degrader Research Term, within [***] after Kymera reasonably believes that it has identified a Collaboration Compound that has satisfied all of the First Additional Degrader Criteria, Kymera will present a written report to Sanofi that identifies [***]. In addition, Sanofi may, in its discretion and through the JRDC, request that Kymera provide additional information, results or data in accordance with </w:t>
      </w:r>
      <w:r>
        <w:rPr>
          <w:rFonts w:ascii="Times New Roman" w:cs="Times New Roman" w:eastAsia="Times New Roman" w:hAnsi="Times New Roman"/>
          <w:sz w:val="22"/>
          <w:szCs w:val="22"/>
          <w:u w:val="single" w:color="auto"/>
          <w:color w:val="auto"/>
        </w:rPr>
        <w:t>Section 2.11.3</w:t>
      </w:r>
      <w:r>
        <w:rPr>
          <w:rFonts w:ascii="Times New Roman" w:cs="Times New Roman" w:eastAsia="Times New Roman" w:hAnsi="Times New Roman"/>
          <w:sz w:val="22"/>
          <w:szCs w:val="22"/>
          <w:color w:val="auto"/>
        </w:rPr>
        <w:t>. Within [***] after the delivery of such report (or such longer period of time as may be reasonably determined by the JRDC, but in no event longer than [***]), the JRDC will (a) meet, discuss and review the report and associated material data, results and information and (b) determine whether such Collaboration Compound satisfies the First Additional Degrader Criteria. If the JRDC determines that such Collaboration Compound satisfies the First Additional Degrader Criteria, then (i) such Collaboration Compound will be classified as a “</w:t>
      </w:r>
      <w:r>
        <w:rPr>
          <w:rFonts w:ascii="Times New Roman" w:cs="Times New Roman" w:eastAsia="Times New Roman" w:hAnsi="Times New Roman"/>
          <w:sz w:val="22"/>
          <w:szCs w:val="22"/>
          <w:b w:val="1"/>
          <w:bCs w:val="1"/>
          <w:color w:val="auto"/>
        </w:rPr>
        <w:t>First Additional Degrader</w:t>
      </w:r>
      <w:r>
        <w:rPr>
          <w:rFonts w:ascii="Times New Roman" w:cs="Times New Roman" w:eastAsia="Times New Roman" w:hAnsi="Times New Roman"/>
          <w:sz w:val="22"/>
          <w:szCs w:val="22"/>
          <w:color w:val="auto"/>
        </w:rPr>
        <w:t xml:space="preserve">” under this Agreement, (ii) the First Additional Degrader Research Term will expire, (iii) Kymera will perform Early Development Activities with respect to such First Additional Degrader in accordance with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the Early Development Plan, and (iv) Kymera will have no further obligation to conduct any further additional Research activities under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If the JRDC does not believe that such</w:t>
      </w:r>
    </w:p>
    <w:p>
      <w:pPr>
        <w:spacing w:after="0" w:line="200" w:lineRule="exact"/>
        <w:rPr>
          <w:sz w:val="20"/>
          <w:szCs w:val="20"/>
          <w:color w:val="auto"/>
        </w:rPr>
      </w:pPr>
    </w:p>
    <w:p>
      <w:pPr>
        <w:spacing w:after="0" w:line="38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03" w:name="page204"/>
    <w:bookmarkEnd w:id="203"/>
    <w:p>
      <w:pPr>
        <w:ind w:left="91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Collaboration Compound satisfies the First Additional Degrader Criteria, then Kymera will use diligent efforts during the remainder of the First Additional Degrader Research Term to conduct additional Research activities in accordance with the Research Plan, and thereafter present a report to the JRDC as and to the extent applicable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In the event that the JRDC does not agree on whether such Collaboration Compound satisfies the First Additional Degrader Criteria, then such dispute will be resolved in accordance with </w:t>
      </w:r>
      <w:r>
        <w:rPr>
          <w:rFonts w:ascii="Times New Roman" w:cs="Times New Roman" w:eastAsia="Times New Roman" w:hAnsi="Times New Roman"/>
          <w:sz w:val="22"/>
          <w:szCs w:val="22"/>
          <w:u w:val="single" w:color="auto"/>
          <w:color w:val="auto"/>
        </w:rPr>
        <w:t>Section 9.9.2(b)(iii)</w:t>
      </w:r>
      <w:r>
        <w:rPr>
          <w:rFonts w:ascii="Times New Roman" w:cs="Times New Roman" w:eastAsia="Times New Roman" w:hAnsi="Times New Roman"/>
          <w:sz w:val="22"/>
          <w:szCs w:val="22"/>
          <w:color w:val="auto"/>
        </w:rPr>
        <w:t xml:space="preserve">. Notwithstanding the foregoing, Sanofi may determine [***]. Any selection of a Collaboration Compound as a First Additional Degrader by the JRDC, by the R&amp;D Expert in accordance with </w:t>
      </w:r>
      <w:r>
        <w:rPr>
          <w:rFonts w:ascii="Times New Roman" w:cs="Times New Roman" w:eastAsia="Times New Roman" w:hAnsi="Times New Roman"/>
          <w:sz w:val="22"/>
          <w:szCs w:val="22"/>
          <w:u w:val="single" w:color="auto"/>
          <w:color w:val="auto"/>
        </w:rPr>
        <w:t>Section 9.9.2(b)</w:t>
      </w:r>
      <w:r>
        <w:rPr>
          <w:rFonts w:ascii="Times New Roman" w:cs="Times New Roman" w:eastAsia="Times New Roman" w:hAnsi="Times New Roman"/>
          <w:sz w:val="22"/>
          <w:szCs w:val="22"/>
          <w:color w:val="auto"/>
        </w:rPr>
        <w:t>, or by Sanofi pursuant to the preceding sentence, will be recorded in the minutes of the JRDC.</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b w:val="1"/>
          <w:bCs w:val="1"/>
          <w:u w:val="single" w:color="auto"/>
          <w:color w:val="auto"/>
        </w:rPr>
        <w:t>Second Additional Degraders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2.5.1</w:t>
      </w:r>
      <w:r>
        <w:rPr>
          <w:sz w:val="20"/>
          <w:szCs w:val="20"/>
          <w:color w:val="auto"/>
        </w:rPr>
        <w:tab/>
      </w:r>
      <w:r>
        <w:rPr>
          <w:rFonts w:ascii="Times New Roman" w:cs="Times New Roman" w:eastAsia="Times New Roman" w:hAnsi="Times New Roman"/>
          <w:sz w:val="21"/>
          <w:szCs w:val="21"/>
          <w:color w:val="auto"/>
        </w:rPr>
        <w:t>Under the Original Agreement, Research activities relating to [***].</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2.5.2 During the period commencing on the Restatement Effective Date and ending on [***], Sanofi will have the right to provide written notice to Kymera that Sanofi desires to have Kymera conduct new Research activities in accordance with the Research Plan during the Second Additional Degrader Research Term with the goal of identifying one (1) new Collaboration Compound that satisfies the Second Additional Degrader Criteria. For clarity, a “new Collaboration Compound”, as used in the prior sentence, may be a Degrader which was identified or synthesized by or on behalf of Kymera or its Affiliates prior to the Restatement Effective Date, so long as such Degrader has not previously been identified by the Parties pursuant to this Agreement as the Initial Collaboration Target 1 Degrader or a First Additional Degrader. In addition, in the event that the Sanofi provides written notice to Kymera in accordance with the first sentence of this </w:t>
      </w:r>
      <w:r>
        <w:rPr>
          <w:rFonts w:ascii="Times New Roman" w:cs="Times New Roman" w:eastAsia="Times New Roman" w:hAnsi="Times New Roman"/>
          <w:sz w:val="22"/>
          <w:szCs w:val="22"/>
          <w:u w:val="single" w:color="auto"/>
          <w:color w:val="auto"/>
        </w:rPr>
        <w:t>Section 2.5.2</w:t>
      </w:r>
      <w:r>
        <w:rPr>
          <w:rFonts w:ascii="Times New Roman" w:cs="Times New Roman" w:eastAsia="Times New Roman" w:hAnsi="Times New Roman"/>
          <w:sz w:val="22"/>
          <w:szCs w:val="22"/>
          <w:color w:val="auto"/>
        </w:rPr>
        <w:t>, the Degraders to be researched under the Research Plan during the Second Additional Degrader Research Term may include all [***] that the Parties believe in good faith, as of the date of such written notice to Kymera, would have [***].</w:t>
      </w:r>
    </w:p>
    <w:p>
      <w:pPr>
        <w:spacing w:after="0" w:line="18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2.5.3 In the event that Sanofi provides written notice to Kymera in accordance with </w:t>
      </w:r>
      <w:r>
        <w:rPr>
          <w:rFonts w:ascii="Times New Roman" w:cs="Times New Roman" w:eastAsia="Times New Roman" w:hAnsi="Times New Roman"/>
          <w:sz w:val="22"/>
          <w:szCs w:val="22"/>
          <w:u w:val="single" w:color="auto"/>
          <w:color w:val="auto"/>
        </w:rPr>
        <w:t>Section 2.5.2</w:t>
      </w:r>
      <w:r>
        <w:rPr>
          <w:rFonts w:ascii="Times New Roman" w:cs="Times New Roman" w:eastAsia="Times New Roman" w:hAnsi="Times New Roman"/>
          <w:sz w:val="22"/>
          <w:szCs w:val="22"/>
          <w:color w:val="auto"/>
        </w:rPr>
        <w:t xml:space="preserve">, Kymera provide the JRDC with an amendment to the Research Plan in accordance with </w:t>
      </w:r>
      <w:r>
        <w:rPr>
          <w:rFonts w:ascii="Times New Roman" w:cs="Times New Roman" w:eastAsia="Times New Roman" w:hAnsi="Times New Roman"/>
          <w:sz w:val="22"/>
          <w:szCs w:val="22"/>
          <w:u w:val="single" w:color="auto"/>
          <w:color w:val="auto"/>
        </w:rPr>
        <w:t>Section 2.3.1</w:t>
      </w:r>
      <w:r>
        <w:rPr>
          <w:rFonts w:ascii="Times New Roman" w:cs="Times New Roman" w:eastAsia="Times New Roman" w:hAnsi="Times New Roman"/>
          <w:sz w:val="22"/>
          <w:szCs w:val="22"/>
          <w:color w:val="auto"/>
        </w:rPr>
        <w:t xml:space="preserve">. [***] Kymera will conduct new Research activities under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pursuant to the amended Research Plan during the period commencing [***] after the date of [***] (“</w:t>
      </w:r>
      <w:r>
        <w:rPr>
          <w:rFonts w:ascii="Times New Roman" w:cs="Times New Roman" w:eastAsia="Times New Roman" w:hAnsi="Times New Roman"/>
          <w:sz w:val="22"/>
          <w:szCs w:val="22"/>
          <w:b w:val="1"/>
          <w:bCs w:val="1"/>
          <w:color w:val="auto"/>
        </w:rPr>
        <w:t>SAD Term Commencement Date</w:t>
      </w:r>
      <w:r>
        <w:rPr>
          <w:rFonts w:ascii="Times New Roman" w:cs="Times New Roman" w:eastAsia="Times New Roman" w:hAnsi="Times New Roman"/>
          <w:sz w:val="22"/>
          <w:szCs w:val="22"/>
          <w:color w:val="auto"/>
        </w:rPr>
        <w:t xml:space="preserve">”) and ending on the earliest to occur of the following: (i) the date of selection of the Second Additional Degrader in accordance with </w:t>
      </w:r>
      <w:r>
        <w:rPr>
          <w:rFonts w:ascii="Times New Roman" w:cs="Times New Roman" w:eastAsia="Times New Roman" w:hAnsi="Times New Roman"/>
          <w:sz w:val="22"/>
          <w:szCs w:val="22"/>
          <w:u w:val="single" w:color="auto"/>
          <w:color w:val="auto"/>
        </w:rPr>
        <w:t>Section 2.5.6</w:t>
      </w:r>
      <w:r>
        <w:rPr>
          <w:rFonts w:ascii="Times New Roman" w:cs="Times New Roman" w:eastAsia="Times New Roman" w:hAnsi="Times New Roman"/>
          <w:sz w:val="22"/>
          <w:szCs w:val="22"/>
          <w:color w:val="auto"/>
        </w:rPr>
        <w:t xml:space="preserve">, (ii) [***] (iii) the effective date of termination of this Agreement with respect to Collaboration Target 1 or in its entirety or (iv) the effective date of termination of the SAD Termination. The period of time during which Kymera conducts new Research activities under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(if any) will be the “</w:t>
      </w:r>
      <w:r>
        <w:rPr>
          <w:rFonts w:ascii="Times New Roman" w:cs="Times New Roman" w:eastAsia="Times New Roman" w:hAnsi="Times New Roman"/>
          <w:sz w:val="22"/>
          <w:szCs w:val="22"/>
          <w:b w:val="1"/>
          <w:bCs w:val="1"/>
          <w:color w:val="auto"/>
        </w:rPr>
        <w:t>Second Additional Degrader Research Term</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2.5.4 During the Second Additional Degrader Research Term (if any), Sanofi will reimburse Kymera in accordance with </w:t>
      </w:r>
      <w:r>
        <w:rPr>
          <w:rFonts w:ascii="Times New Roman" w:cs="Times New Roman" w:eastAsia="Times New Roman" w:hAnsi="Times New Roman"/>
          <w:sz w:val="22"/>
          <w:szCs w:val="22"/>
          <w:u w:val="single" w:color="auto"/>
          <w:color w:val="auto"/>
        </w:rPr>
        <w:t>Section 11.6.2</w:t>
      </w:r>
      <w:r>
        <w:rPr>
          <w:rFonts w:ascii="Times New Roman" w:cs="Times New Roman" w:eastAsia="Times New Roman" w:hAnsi="Times New Roman"/>
          <w:sz w:val="22"/>
          <w:szCs w:val="22"/>
          <w:color w:val="auto"/>
        </w:rPr>
        <w:t xml:space="preserve"> for [***] actually incurred by or on behalf of Kymera or its Affiliates (a) in accordance with the Second Additional Degrader Research Budget, and (b) in connection with conducting Research activities under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in accordance with the Research Plan.</w:t>
      </w:r>
    </w:p>
    <w:p>
      <w:pPr>
        <w:spacing w:after="0" w:line="200" w:lineRule="exact"/>
        <w:rPr>
          <w:sz w:val="20"/>
          <w:szCs w:val="20"/>
          <w:color w:val="auto"/>
        </w:rPr>
      </w:pPr>
    </w:p>
    <w:p>
      <w:pPr>
        <w:spacing w:after="0" w:line="38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04" w:name="page205"/>
    <w:bookmarkEnd w:id="204"/>
    <w:p>
      <w:pPr>
        <w:ind w:left="91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2.5.5 During the Second Additional Degrader Research Term (if any), Kymera will use Commercially Reasonable Efforts to ensure that [***].</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2.5.6 During the Second Additional Degrader Research Term (if any), Kymera will use the screening assays in accordance with the procedures set forth in the Research Plan to determine whether a given Degrader that is Researched under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satisfies the Screening Criteria or the Second Additional Degrader Criteria. All Degraders that meet the Screening Criteria during the Second Additional Degrader Research Term will be Collaboration Compounds under this Agreement, subject to the reversion rights set forth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Notwithstanding anything herein to the contrary, any Degraders that are Researched by or on behalf of Kymera under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that do not meet the Screening Criteria will be classified as Excluded Compounds, unless [***].</w:t>
      </w:r>
    </w:p>
    <w:p>
      <w:pPr>
        <w:spacing w:after="0" w:line="183"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2.5.7 During the Second Additional Degrader Research Term (if any), within [***] after Kymera reasonably believes that it has identified a Collaboration Compound that has satisfied all of the Second Additional Degrader Criteria, Kymera will present a written report to Sanofi [***]. In addition, Sanofi may, in its discretion and through the JRDC, request that Kymera provide additional information, results or data in accordance with </w:t>
      </w:r>
      <w:r>
        <w:rPr>
          <w:rFonts w:ascii="Times New Roman" w:cs="Times New Roman" w:eastAsia="Times New Roman" w:hAnsi="Times New Roman"/>
          <w:sz w:val="22"/>
          <w:szCs w:val="22"/>
          <w:u w:val="single" w:color="auto"/>
          <w:color w:val="auto"/>
        </w:rPr>
        <w:t>Section 2.11.3</w:t>
      </w:r>
      <w:r>
        <w:rPr>
          <w:rFonts w:ascii="Times New Roman" w:cs="Times New Roman" w:eastAsia="Times New Roman" w:hAnsi="Times New Roman"/>
          <w:sz w:val="22"/>
          <w:szCs w:val="22"/>
          <w:color w:val="auto"/>
        </w:rPr>
        <w:t>. Within [***] after the delivery of such report (or such longer period of time as may be reasonably determined by the JRDC, but in no event longer than [***]), the JRDC will (a) meet, discuss and review the report and associated material data, results and information, and (b) determine whether such Collaboration Compound satisfies the Second Additional Degrader Criteria. If the JRDC determines that such Collaboration Compound satisfies the Second Additional Degrader Criteria, then (i) such Collaboration Compound will be classified as a “</w:t>
      </w:r>
      <w:r>
        <w:rPr>
          <w:rFonts w:ascii="Times New Roman" w:cs="Times New Roman" w:eastAsia="Times New Roman" w:hAnsi="Times New Roman"/>
          <w:sz w:val="22"/>
          <w:szCs w:val="22"/>
          <w:b w:val="1"/>
          <w:bCs w:val="1"/>
          <w:color w:val="auto"/>
        </w:rPr>
        <w:t>Second Additional Degrader</w:t>
      </w:r>
      <w:r>
        <w:rPr>
          <w:rFonts w:ascii="Times New Roman" w:cs="Times New Roman" w:eastAsia="Times New Roman" w:hAnsi="Times New Roman"/>
          <w:sz w:val="22"/>
          <w:szCs w:val="22"/>
          <w:color w:val="auto"/>
        </w:rPr>
        <w:t xml:space="preserve">” under this Agreement, (ii) the Second Additional Degrader Research Term will expire, (iii) Kymera will perform Early Development Activities with respect to such Second Additional Degrader in accordance with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the Early Development Plan, and (iv) Kymera will have no further obligation to conduct any further additional Research activities under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If the JRDC does not believe that such Collaboration Compound satisfies the Second Additional Degrader Criteria, then Kymera will use diligent efforts during the remainder of the Second Additional Degrader Research Term to conduct additional Research activities in accordance with the Research Plan, and thereafter present a report to the JRDC as and to the extent applicable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In the event that the JRDC does not agree on whether such Collaboration Compound satisfies the Second Additional Degrader Criteria, then such dispute will be resolved in accordance with </w:t>
      </w:r>
      <w:r>
        <w:rPr>
          <w:rFonts w:ascii="Times New Roman" w:cs="Times New Roman" w:eastAsia="Times New Roman" w:hAnsi="Times New Roman"/>
          <w:sz w:val="22"/>
          <w:szCs w:val="22"/>
          <w:u w:val="single" w:color="auto"/>
          <w:color w:val="auto"/>
        </w:rPr>
        <w:t>Section 9.9.2(b)(iii)</w:t>
      </w:r>
      <w:r>
        <w:rPr>
          <w:rFonts w:ascii="Times New Roman" w:cs="Times New Roman" w:eastAsia="Times New Roman" w:hAnsi="Times New Roman"/>
          <w:sz w:val="22"/>
          <w:szCs w:val="22"/>
          <w:color w:val="auto"/>
        </w:rPr>
        <w:t xml:space="preserve">. Notwithstanding the foregoing, [***]. Any selection of a Collaboration Compound as a Second Additional Degrader by the JRDC, by the R&amp;D Expert in accordance with </w:t>
      </w:r>
      <w:r>
        <w:rPr>
          <w:rFonts w:ascii="Times New Roman" w:cs="Times New Roman" w:eastAsia="Times New Roman" w:hAnsi="Times New Roman"/>
          <w:sz w:val="22"/>
          <w:szCs w:val="22"/>
          <w:u w:val="single" w:color="auto"/>
          <w:color w:val="auto"/>
        </w:rPr>
        <w:t>Section 9.9.2(b)(iii)</w:t>
      </w:r>
      <w:r>
        <w:rPr>
          <w:rFonts w:ascii="Times New Roman" w:cs="Times New Roman" w:eastAsia="Times New Roman" w:hAnsi="Times New Roman"/>
          <w:sz w:val="22"/>
          <w:szCs w:val="22"/>
          <w:color w:val="auto"/>
        </w:rPr>
        <w:t>, or by Sanofi pursuant to the preceding sentence, will be recorded in the minutes of the JRDC.</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b w:val="1"/>
          <w:bCs w:val="1"/>
          <w:u w:val="single" w:color="auto"/>
          <w:color w:val="auto"/>
        </w:rPr>
        <w:t>Initial Collaboration Target 2 Degraders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40" w:firstLine="1497"/>
        <w:spacing w:after="0" w:line="258" w:lineRule="auto"/>
        <w:rPr>
          <w:sz w:val="20"/>
          <w:szCs w:val="20"/>
          <w:color w:val="auto"/>
        </w:rPr>
      </w:pPr>
      <w:r>
        <w:rPr>
          <w:rFonts w:ascii="Times New Roman" w:cs="Times New Roman" w:eastAsia="Times New Roman" w:hAnsi="Times New Roman"/>
          <w:sz w:val="22"/>
          <w:szCs w:val="22"/>
          <w:color w:val="auto"/>
        </w:rPr>
        <w:t>2.6.1 For Collaboration Target 2, during the Research Term, Kymera will, at its cost and expense, conduct Research activities in accordance with the Research Plan with the goal of advancing [***].</w:t>
      </w:r>
    </w:p>
    <w:p>
      <w:pPr>
        <w:spacing w:after="0" w:line="200" w:lineRule="exact"/>
        <w:rPr>
          <w:sz w:val="20"/>
          <w:szCs w:val="20"/>
          <w:color w:val="auto"/>
        </w:rPr>
      </w:pPr>
    </w:p>
    <w:p>
      <w:pPr>
        <w:spacing w:after="0" w:line="36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2.6.2 In the event that the first Collaboration Candidate Directed Against Collaboration Target 2 is designated in accordance with </w:t>
      </w:r>
      <w:r>
        <w:rPr>
          <w:rFonts w:ascii="Times New Roman" w:cs="Times New Roman" w:eastAsia="Times New Roman" w:hAnsi="Times New Roman"/>
          <w:sz w:val="22"/>
          <w:szCs w:val="22"/>
          <w:u w:val="single" w:color="auto"/>
          <w:color w:val="auto"/>
        </w:rPr>
        <w:t>Section 2.6.5</w:t>
      </w:r>
      <w:r>
        <w:rPr>
          <w:rFonts w:ascii="Times New Roman" w:cs="Times New Roman" w:eastAsia="Times New Roman" w:hAnsi="Times New Roman"/>
          <w:sz w:val="22"/>
          <w:szCs w:val="22"/>
          <w:color w:val="auto"/>
        </w:rPr>
        <w:t>, Kymera will [***] continue to conduct any applicable Research activities with respect to such first Collaboration Candidate in accordance with the Research Plan or Development activities with respect to such Collaboration Candidate in accordance with the Early Development Plan, as applicable.</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2.6.3 In addition, from and after the designation of the first Collaboration Candidate Directed Against Collaboration Target 2 in accordance with </w:t>
      </w:r>
      <w:r>
        <w:rPr>
          <w:rFonts w:ascii="Times New Roman" w:cs="Times New Roman" w:eastAsia="Times New Roman" w:hAnsi="Times New Roman"/>
          <w:sz w:val="22"/>
          <w:szCs w:val="22"/>
          <w:u w:val="single" w:color="auto"/>
          <w:color w:val="auto"/>
        </w:rPr>
        <w:t>Section 2.6.5</w:t>
      </w:r>
      <w:r>
        <w:rPr>
          <w:rFonts w:ascii="Times New Roman" w:cs="Times New Roman" w:eastAsia="Times New Roman" w:hAnsi="Times New Roman"/>
          <w:sz w:val="22"/>
          <w:szCs w:val="22"/>
          <w:color w:val="auto"/>
        </w:rPr>
        <w:t xml:space="preserve">, Kymera will continue to conduct Research activities in accordance with the Research Plan in order to [***]. Kymera will conduct activities under this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xml:space="preserve"> until the earliest of (a) the date that the JRDC or the R&amp;D Expert determines that a second Collaboration Compound Directed Against Collaboration Target 2 satisfies [***] and is classified as a Collaboration Candidate, (b) the Sanofi Participation Election Effective Date for Collaboration Target 2, (c) the date that the JRDC determines such Research Activities should be discontinued, or (d) the expiration or termination of the Research Term with respect to Collaboration Target 2 (the “</w:t>
      </w:r>
      <w:r>
        <w:rPr>
          <w:rFonts w:ascii="Times New Roman" w:cs="Times New Roman" w:eastAsia="Times New Roman" w:hAnsi="Times New Roman"/>
          <w:sz w:val="22"/>
          <w:szCs w:val="22"/>
          <w:b w:val="1"/>
          <w:bCs w:val="1"/>
          <w:color w:val="auto"/>
        </w:rPr>
        <w:t>Series 2 Research Term</w:t>
      </w:r>
      <w:r>
        <w:rPr>
          <w:rFonts w:ascii="Times New Roman" w:cs="Times New Roman" w:eastAsia="Times New Roman" w:hAnsi="Times New Roman"/>
          <w:sz w:val="22"/>
          <w:szCs w:val="22"/>
          <w:color w:val="auto"/>
        </w:rPr>
        <w:t xml:space="preserve">”). During the Series 2 Research Term, Sanofi will reimburse Kymera in accordance with </w:t>
      </w:r>
      <w:r>
        <w:rPr>
          <w:rFonts w:ascii="Times New Roman" w:cs="Times New Roman" w:eastAsia="Times New Roman" w:hAnsi="Times New Roman"/>
          <w:sz w:val="22"/>
          <w:szCs w:val="22"/>
          <w:u w:val="single" w:color="auto"/>
          <w:color w:val="auto"/>
        </w:rPr>
        <w:t>Section 11.6.1</w:t>
      </w:r>
      <w:r>
        <w:rPr>
          <w:rFonts w:ascii="Times New Roman" w:cs="Times New Roman" w:eastAsia="Times New Roman" w:hAnsi="Times New Roman"/>
          <w:sz w:val="22"/>
          <w:szCs w:val="22"/>
          <w:color w:val="auto"/>
        </w:rPr>
        <w:t xml:space="preserve"> for Kymera’s [***] actually incurred by or on behalf of Kymera or its Affiliates in connection with conducting Research activities under this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w:t>
      </w:r>
    </w:p>
    <w:p>
      <w:pPr>
        <w:spacing w:after="0" w:line="179"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2.6.4</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2.6.5 During the Research Term, within [***] after Kymera reasonably believes that it has identified a Collaboration Compound Directed Against Collaboration Target 2 that has satisfied [***], Kymera will present a written report to Sanofi that [***]. Sanofi may, in its discretion and through the JRDC, request any other information, results or data with respect to such Collaboration Compound as set forth more fully in </w:t>
      </w:r>
      <w:r>
        <w:rPr>
          <w:rFonts w:ascii="Times New Roman" w:cs="Times New Roman" w:eastAsia="Times New Roman" w:hAnsi="Times New Roman"/>
          <w:sz w:val="21"/>
          <w:szCs w:val="21"/>
          <w:u w:val="single" w:color="auto"/>
          <w:color w:val="auto"/>
        </w:rPr>
        <w:t>Section 2.11.3</w:t>
      </w:r>
      <w:r>
        <w:rPr>
          <w:rFonts w:ascii="Times New Roman" w:cs="Times New Roman" w:eastAsia="Times New Roman" w:hAnsi="Times New Roman"/>
          <w:sz w:val="21"/>
          <w:szCs w:val="21"/>
          <w:color w:val="auto"/>
        </w:rPr>
        <w:t xml:space="preserve">. Within [***] after the delivery of such report (or such longer period of time as may be reasonably determined by the JRDC, but in no event longer than [***]), the JRDC will (a) meet, discuss and review the report and associated material data, results and information, and (b) determine whether such Collaboration Compound satisfies [***]. If the JRDC determines that such Collaboration Compound satisfies [***], then such Collaboration Compound will be classified as a Collaboration Candidate. If the JRDC does not believe that such Collaboration Compound satisfies [***], then Kymera will use diligent efforts during the remainder of the Research Term to conduct additional Research activities in accordance with the Research Plan, and thereafter present a report to the JRDC as and to the extent applicable in this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In the event that the JRDC does not agree on whether such Collaboration Compound satisfies [***], then such dispute will be resolved in accordance with </w:t>
      </w:r>
      <w:r>
        <w:rPr>
          <w:rFonts w:ascii="Times New Roman" w:cs="Times New Roman" w:eastAsia="Times New Roman" w:hAnsi="Times New Roman"/>
          <w:sz w:val="21"/>
          <w:szCs w:val="21"/>
          <w:u w:val="single" w:color="auto"/>
          <w:color w:val="auto"/>
        </w:rPr>
        <w:t>Section 9.9.2(b)(iii)</w:t>
      </w:r>
      <w:r>
        <w:rPr>
          <w:rFonts w:ascii="Times New Roman" w:cs="Times New Roman" w:eastAsia="Times New Roman" w:hAnsi="Times New Roman"/>
          <w:sz w:val="21"/>
          <w:szCs w:val="21"/>
          <w:color w:val="auto"/>
        </w:rPr>
        <w:t xml:space="preserve">. Any designation of a Collaboration Compound as a Collaboration Candidate by the JRDC, by the R&amp;D Expert in accordance with </w:t>
      </w:r>
      <w:r>
        <w:rPr>
          <w:rFonts w:ascii="Times New Roman" w:cs="Times New Roman" w:eastAsia="Times New Roman" w:hAnsi="Times New Roman"/>
          <w:sz w:val="21"/>
          <w:szCs w:val="21"/>
          <w:u w:val="single" w:color="auto"/>
          <w:color w:val="auto"/>
        </w:rPr>
        <w:t>Section 9.9.2(b)(iii)</w:t>
      </w:r>
      <w:r>
        <w:rPr>
          <w:rFonts w:ascii="Times New Roman" w:cs="Times New Roman" w:eastAsia="Times New Roman" w:hAnsi="Times New Roman"/>
          <w:sz w:val="21"/>
          <w:szCs w:val="21"/>
          <w:color w:val="auto"/>
        </w:rPr>
        <w:t xml:space="preserve"> will be recorded in the minutes of the JRDC.</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2.6.6 If the JRDC designates [***] Collaboration Candidates under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xml:space="preserve">, then Kymera will have no further obligation to conduct any further additional Research activities under this </w:t>
      </w:r>
      <w:r>
        <w:rPr>
          <w:rFonts w:ascii="Times New Roman" w:cs="Times New Roman" w:eastAsia="Times New Roman" w:hAnsi="Times New Roman"/>
          <w:sz w:val="22"/>
          <w:szCs w:val="22"/>
          <w:u w:val="single" w:color="auto"/>
          <w:color w:val="auto"/>
        </w:rPr>
        <w:t>Section 2.6.</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b w:val="1"/>
          <w:bCs w:val="1"/>
          <w:u w:val="single" w:color="auto"/>
          <w:color w:val="auto"/>
        </w:rPr>
        <w:t>Diligence; Decision-Making</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right="40" w:firstLine="1497"/>
        <w:spacing w:after="0" w:line="258" w:lineRule="auto"/>
        <w:rPr>
          <w:sz w:val="20"/>
          <w:szCs w:val="20"/>
          <w:color w:val="auto"/>
        </w:rPr>
      </w:pPr>
      <w:r>
        <w:rPr>
          <w:rFonts w:ascii="Times New Roman" w:cs="Times New Roman" w:eastAsia="Times New Roman" w:hAnsi="Times New Roman"/>
          <w:sz w:val="22"/>
          <w:szCs w:val="22"/>
          <w:color w:val="auto"/>
        </w:rPr>
        <w:t>2.7.1 On a Collaboration Target-by-Collaboration Target basis, during the Research Term, Kymera, directly or through its Affiliates or Subcontractors, will [***].</w:t>
      </w:r>
    </w:p>
    <w:p>
      <w:pPr>
        <w:spacing w:after="0" w:line="15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2.7.2 Subject to </w:t>
      </w:r>
      <w:r>
        <w:rPr>
          <w:rFonts w:ascii="Times New Roman" w:cs="Times New Roman" w:eastAsia="Times New Roman" w:hAnsi="Times New Roman"/>
          <w:sz w:val="22"/>
          <w:szCs w:val="22"/>
          <w:u w:val="single" w:color="auto"/>
          <w:color w:val="auto"/>
        </w:rPr>
        <w:t>Sections 2.4.7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9.9.2(b)(i)</w:t>
      </w:r>
      <w:r>
        <w:rPr>
          <w:rFonts w:ascii="Times New Roman" w:cs="Times New Roman" w:eastAsia="Times New Roman" w:hAnsi="Times New Roman"/>
          <w:sz w:val="22"/>
          <w:szCs w:val="22"/>
          <w:color w:val="auto"/>
        </w:rPr>
        <w:t xml:space="preserve">, on a Collaboration Target-by-Collaboration Target basis, during the Research Term, Kymera will have the final decision-making authority with respect to the Research activities for the Collaboration Compounds, Collaboration Candidates and Licensed Products Directed Against such Collaboration Target under this Agreement prior to the Sanofi Participation Election Right Exercise (if any) with respect to such Collaboration Target, including the prioritization of the Research activities and allocation of resources among the Research activities;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decision is consistent with the terms and conditions of this Agreement.</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2.8  [***].</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2.8.1 Sanofi shall be entitled to conduct [***]. Sanofi also may, with Kymera’s prior agreement, conduct additional Research activities (including [***]) under the Research Plan. Sanofi will obtain prior written consent from Kymera prior to [***].</w:t>
      </w:r>
    </w:p>
    <w:p>
      <w:pPr>
        <w:spacing w:after="0" w:line="169"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2.8.2 Any and all [***] constitutes “ </w:t>
      </w:r>
      <w:r>
        <w:rPr>
          <w:rFonts w:ascii="Times New Roman" w:cs="Times New Roman" w:eastAsia="Times New Roman" w:hAnsi="Times New Roman"/>
          <w:sz w:val="22"/>
          <w:szCs w:val="22"/>
          <w:b w:val="1"/>
          <w:bCs w:val="1"/>
          <w:color w:val="auto"/>
        </w:rPr>
        <w:t>MTA Research Studies</w:t>
      </w:r>
      <w:r>
        <w:rPr>
          <w:rFonts w:ascii="Times New Roman" w:cs="Times New Roman" w:eastAsia="Times New Roman" w:hAnsi="Times New Roman"/>
          <w:sz w:val="22"/>
          <w:szCs w:val="22"/>
          <w:color w:val="auto"/>
        </w:rPr>
        <w:t>,” and all such MTA Research Studies will be documented in the applicable Research Plan or the relevant JRDC minutes.</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b w:val="1"/>
          <w:bCs w:val="1"/>
          <w:u w:val="single" w:color="auto"/>
          <w:color w:val="auto"/>
        </w:rPr>
        <w:t>Transfer of Materials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2.9.1 To facilitate the conduct of activities under each Research Plan: (a) Sanofi may, at its election, provide Materials to Kymera to facilitate Kymera’s Research activities under the Research Plan (in which case the transfer of such Materials shall be specified in the Research Plan or the minutes of the JRDC), and (b) Kymera will provide to Sanofi reasonable quantities of such Materials as are reasonably necessary to permit Sanofi to [***].</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2.9.2 All Materials transferred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(a) will remain the sole property of the supplying Party (it being understood that jointly-owned Materials will remain jointly-owned, notwithstanding any physical transfer between the Parties), (b) will be used only in the fulfillment of the receiving Party’s obligations or exercise of rights under this Agreement, (c) will remain solely under the control of the receiving Party, (d) will not be used or delivered by the receiving Party to or for the benefit of any Third Party (other than a permitted Subcontractor or Sublicensee) without the prior written consent of the supplying Party, and (e) will not be used in research or testing involving human subjects, unless expressly agreed in writing. The receiving Party will use the Materials in compliance with Applicable Laws and the terms and conditions of this Agreement, and will not reverse engineer or chemically analyze such Materials, except as specified in the Research Plan.</w:t>
      </w:r>
    </w:p>
    <w:p>
      <w:pPr>
        <w:spacing w:after="0" w:line="200" w:lineRule="exact"/>
        <w:rPr>
          <w:sz w:val="20"/>
          <w:szCs w:val="20"/>
          <w:color w:val="auto"/>
        </w:rPr>
      </w:pPr>
    </w:p>
    <w:p>
      <w:pPr>
        <w:spacing w:after="0" w:line="38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left="1900"/>
        <w:spacing w:after="0"/>
        <w:tabs>
          <w:tab w:leader="none" w:pos="2740" w:val="left"/>
        </w:tabs>
        <w:rPr>
          <w:sz w:val="20"/>
          <w:szCs w:val="20"/>
          <w:color w:val="auto"/>
        </w:rPr>
      </w:pPr>
      <w:r>
        <w:rPr>
          <w:rFonts w:ascii="Times New Roman" w:cs="Times New Roman" w:eastAsia="Times New Roman" w:hAnsi="Times New Roman"/>
          <w:sz w:val="22"/>
          <w:szCs w:val="22"/>
          <w:color w:val="auto"/>
        </w:rPr>
        <w:t>2.9.3</w:t>
      </w:r>
      <w:r>
        <w:rPr>
          <w:sz w:val="20"/>
          <w:szCs w:val="20"/>
          <w:color w:val="auto"/>
        </w:rPr>
        <w:tab/>
      </w:r>
      <w:r>
        <w:rPr>
          <w:rFonts w:ascii="Times New Roman" w:cs="Times New Roman" w:eastAsia="Times New Roman" w:hAnsi="Times New Roman"/>
          <w:sz w:val="21"/>
          <w:szCs w:val="21"/>
          <w:color w:val="auto"/>
        </w:rPr>
        <w:t>Any intellectual property generated by or on behalf of either Party in connection with the use of</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 xml:space="preserve">Materials transferred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will be governed by the following:</w:t>
      </w:r>
    </w:p>
    <w:p>
      <w:pPr>
        <w:spacing w:after="0" w:line="182" w:lineRule="exact"/>
        <w:rPr>
          <w:sz w:val="20"/>
          <w:szCs w:val="20"/>
          <w:color w:val="auto"/>
        </w:rPr>
      </w:pPr>
    </w:p>
    <w:p>
      <w:pPr>
        <w:jc w:val="both"/>
        <w:ind w:left="400" w:firstLine="1681"/>
        <w:spacing w:after="0" w:line="238" w:lineRule="auto"/>
        <w:tabs>
          <w:tab w:leader="none" w:pos="251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licenses granted under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the supplying Party will solely own all right, title and interest in and to any data, information, results and reports generated by or on behalf of either Party directly from the use of any transferred Materials that comprise Collaboration Compounds, Collaboration Candidates or Licensed Products, solely within any MTA Research Studies permitted and conducted under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(including [***]), and such data, information, results and reports will be shared with the supplying Party via the JRDC,</w:t>
      </w:r>
    </w:p>
    <w:p>
      <w:pPr>
        <w:spacing w:after="0" w:line="176" w:lineRule="exact"/>
        <w:rPr>
          <w:rFonts w:ascii="Times New Roman" w:cs="Times New Roman" w:eastAsia="Times New Roman" w:hAnsi="Times New Roman"/>
          <w:sz w:val="22"/>
          <w:szCs w:val="22"/>
          <w:color w:val="auto"/>
        </w:rPr>
      </w:pPr>
    </w:p>
    <w:p>
      <w:pPr>
        <w:jc w:val="both"/>
        <w:ind w:left="400" w:firstLine="1681"/>
        <w:spacing w:after="0" w:line="239" w:lineRule="auto"/>
        <w:tabs>
          <w:tab w:leader="none" w:pos="251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2.9.3(a)</w:t>
      </w:r>
      <w:r>
        <w:rPr>
          <w:rFonts w:ascii="Times New Roman" w:cs="Times New Roman" w:eastAsia="Times New Roman" w:hAnsi="Times New Roman"/>
          <w:sz w:val="22"/>
          <w:szCs w:val="22"/>
          <w:color w:val="auto"/>
        </w:rPr>
        <w:t xml:space="preserve">, all intellectual property created, conceived or generated by or on behalf of either Party using Collaboration Compounds, Collaboration Candidates or Licensed Products under this Agreement in connection with the MTA Research Studies will be governed by the provisions of this Agreement, including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40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2.9.4 All Materials supplied under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are supplied “as is”, with no warranties of fitness for a particular purpose and must be used with prudence and appropriate caution in any experimental work, as not all of their characteristics may be known. The receiving Party assumes all liability for damages that may arise from its use, storage or disposal of the Materials. Except as otherwise set forth in this Agreement, the supplying Party will not be liable to the receiving Party for any loss, claim or demand made by the receiving Party, or made against the receiving Party by any Third Party, due to or arising from the use of the Materials under this Agreement, except to the extent such loss, claim or demand is caused by the gross negligence or willful misconduct of the supplying Party.</w:t>
      </w:r>
    </w:p>
    <w:p>
      <w:pPr>
        <w:spacing w:after="0" w:line="183" w:lineRule="exact"/>
        <w:rPr>
          <w:sz w:val="20"/>
          <w:szCs w:val="20"/>
          <w:color w:val="auto"/>
        </w:rPr>
      </w:pPr>
    </w:p>
    <w:p>
      <w:pPr>
        <w:jc w:val="both"/>
        <w:ind w:left="400" w:right="20" w:firstLine="1497"/>
        <w:spacing w:after="0" w:line="258" w:lineRule="auto"/>
        <w:rPr>
          <w:sz w:val="20"/>
          <w:szCs w:val="20"/>
          <w:color w:val="auto"/>
        </w:rPr>
      </w:pPr>
      <w:r>
        <w:rPr>
          <w:rFonts w:ascii="Times New Roman" w:cs="Times New Roman" w:eastAsia="Times New Roman" w:hAnsi="Times New Roman"/>
          <w:sz w:val="22"/>
          <w:szCs w:val="22"/>
          <w:color w:val="auto"/>
        </w:rPr>
        <w:t>2.9.5 For clarity, the transfer of any material owned or Controlled by Sanofi other than Materials will be governed by a to-be-negotiated material transfer agreement.</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b w:val="1"/>
          <w:bCs w:val="1"/>
          <w:u w:val="single" w:color="auto"/>
          <w:color w:val="auto"/>
        </w:rPr>
        <w:t>Subcontracting</w:t>
      </w:r>
      <w:r>
        <w:rPr>
          <w:rFonts w:ascii="Times New Roman" w:cs="Times New Roman" w:eastAsia="Times New Roman" w:hAnsi="Times New Roman"/>
          <w:sz w:val="22"/>
          <w:szCs w:val="22"/>
          <w:color w:val="auto"/>
        </w:rPr>
        <w:t xml:space="preserve">. During the Research Term, Kymera may engage Approved Third Party Contractors to perform Research activities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each contract between Kymera and an Approved Third Party Contractor entered into after the Original Agreement Execution Date will include confidentiality and non-use provisions that are substantially similar to those set forth in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(or such other terms as are otherwise agreed by Sanofi) (but of duration customary in confidentiality agreements entered into for a similar purpose,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duration of confidentiality for any information which constitutes a trade secret will be for as long as such information remains a trade secret under Applicable Law), (b) Kymera will remain at all times fully liable for the acts and omissions by such Approved Third Party Contractors under this Agreement as if they were acts or omissions by Kymera, (c) subject to </w:t>
      </w:r>
      <w:r>
        <w:rPr>
          <w:rFonts w:ascii="Times New Roman" w:cs="Times New Roman" w:eastAsia="Times New Roman" w:hAnsi="Times New Roman"/>
          <w:sz w:val="22"/>
          <w:szCs w:val="22"/>
          <w:u w:val="single" w:color="auto"/>
          <w:color w:val="auto"/>
        </w:rPr>
        <w:t>Section 2.5.3</w:t>
      </w:r>
      <w:r>
        <w:rPr>
          <w:rFonts w:ascii="Times New Roman" w:cs="Times New Roman" w:eastAsia="Times New Roman" w:hAnsi="Times New Roman"/>
          <w:sz w:val="22"/>
          <w:szCs w:val="22"/>
          <w:color w:val="auto"/>
        </w:rPr>
        <w:t>, Kymera will be responsible for the effective and timely management of and payment of its Approved Third Party Contractors hereunder and (d) each contract between Kymera and an Approved Third Party Contractor entered into after the Original Agreement Execution Date will provide that [***].</w:t>
      </w: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08" w:name="page209"/>
    <w:bookmarkEnd w:id="208"/>
    <w:p>
      <w:pPr>
        <w:ind w:left="91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u w:val="single" w:color="auto"/>
          <w:color w:val="auto"/>
        </w:rPr>
        <w:t>Records; Reporting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2.11.1 Each Party will maintain, and [***] to maintain, records of the Research activities under this Agreement in sufficient detail and in good scientific manner appropriate for scientific, patent and regulatory purposes, which will be complete and accurate in all material respects and will fully and properly reflect all work done, data and developments made, and results achieved.</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2.11.2 Each Party will furnish to the JRDC, within [***] after the end of each Calendar Quarter, to the extent applicable to such Party, an update on such Party’s progress under the Research Plan for the applicable Collaboration Target (including with respect to any MTA Research Studies or other activities governed by a separate material transfer agreement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during the relevant Calendar Quarter, including a summary of any results and data generated by such Party under such Research Plan and an overview of the resources (including a summary of all expenditures incurred by such Party in connection with such Research activities and reasonable documentation relating thereto, and an overview of FTEs used by such Party for such Research activities) allocated to activities under such Research Plan during the relevant Calendar Quarter. Such Party will provide the JRDC with such other information, results and data with respect to the Research activities under the Research Plan as any member of the JRDC may reasonably request that are in such Party’s possession or control. Kymera will provide Sanofi a reasonable opportunity via the JRDC to discuss and provide input with respect to Kymera’s Research activities under the Research Plan, including with respect to the prioritization of Research activities for Collaboration Compounds.</w:t>
      </w:r>
    </w:p>
    <w:p>
      <w:pPr>
        <w:spacing w:after="0" w:line="18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2.11.3 In addition to, and without limiting, the reporting requirements in </w:t>
      </w:r>
      <w:r>
        <w:rPr>
          <w:rFonts w:ascii="Times New Roman" w:cs="Times New Roman" w:eastAsia="Times New Roman" w:hAnsi="Times New Roman"/>
          <w:sz w:val="22"/>
          <w:szCs w:val="22"/>
          <w:u w:val="single" w:color="auto"/>
          <w:color w:val="auto"/>
        </w:rPr>
        <w:t>Section 2.11.2</w:t>
      </w:r>
      <w:r>
        <w:rPr>
          <w:rFonts w:ascii="Times New Roman" w:cs="Times New Roman" w:eastAsia="Times New Roman" w:hAnsi="Times New Roman"/>
          <w:sz w:val="22"/>
          <w:szCs w:val="22"/>
          <w:color w:val="auto"/>
        </w:rPr>
        <w:t xml:space="preserve">, during the First Additional Degrader Research Term, Kymera will furnish to the JRDC, within [***], a written report on Kymera’s Research activities with respect to Collaboration Compounds that are Researched under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and have the potential to be classified as First Additional Degraders. Such reports will [***]. Kymera will provide the JRDC with such other information, results and data with respect to the Research activities under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as any member of the JRDC may reasonably request that are in Kymera’s possession or control.</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2.11.4 In addition to, and without limiting, the reporting requirements in </w:t>
      </w:r>
      <w:r>
        <w:rPr>
          <w:rFonts w:ascii="Times New Roman" w:cs="Times New Roman" w:eastAsia="Times New Roman" w:hAnsi="Times New Roman"/>
          <w:sz w:val="22"/>
          <w:szCs w:val="22"/>
          <w:u w:val="single" w:color="auto"/>
          <w:color w:val="auto"/>
        </w:rPr>
        <w:t>Section 2.11.2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2.11.3</w:t>
      </w:r>
      <w:r>
        <w:rPr>
          <w:rFonts w:ascii="Times New Roman" w:cs="Times New Roman" w:eastAsia="Times New Roman" w:hAnsi="Times New Roman"/>
          <w:sz w:val="22"/>
          <w:szCs w:val="22"/>
          <w:color w:val="auto"/>
        </w:rPr>
        <w:t xml:space="preserve">, during the Second Additional Degrader Research Term, Kymera will furnish to the JRDC, within [***], a written report on Kymera’s Research activities with respect to Collaboration Compounds that are Researched under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have the potential to be classified as Second Additional Degraders. Such reports will [***]. Kymera will provide the JRDC with such other information, results and data with respect to the Research activities under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as any member of the JRDC may reasonably request that are in Kymera’s possession or control.</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2.11.5 In the event that Sanofi has provided written notice to Kymera that [***], then, within [***] of the date of receipt of such written notice, Kymera will permit Sanofi to examine the relevant books and records of Kymera and its Affiliates, as may be reasonably necessary to verify the reports provided by Kymera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2.11.3</w:t>
      </w:r>
      <w:r>
        <w:rPr>
          <w:rFonts w:ascii="Times New Roman" w:cs="Times New Roman" w:eastAsia="Times New Roman" w:hAnsi="Times New Roman"/>
          <w:sz w:val="22"/>
          <w:szCs w:val="22"/>
          <w:color w:val="auto"/>
        </w:rPr>
        <w:t>; provided that such examination will be subject to customary and reasonable</w:t>
      </w:r>
    </w:p>
    <w:p>
      <w:pPr>
        <w:spacing w:after="0" w:line="200" w:lineRule="exact"/>
        <w:rPr>
          <w:sz w:val="20"/>
          <w:szCs w:val="20"/>
          <w:color w:val="auto"/>
        </w:rPr>
      </w:pPr>
    </w:p>
    <w:p>
      <w:pPr>
        <w:spacing w:after="0" w:line="38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80"/>
        <w:spacing w:after="0" w:line="232" w:lineRule="auto"/>
        <w:rPr>
          <w:sz w:val="20"/>
          <w:szCs w:val="20"/>
          <w:color w:val="auto"/>
        </w:rPr>
      </w:pPr>
      <w:r>
        <w:rPr>
          <w:rFonts w:ascii="Times New Roman" w:cs="Times New Roman" w:eastAsia="Times New Roman" w:hAnsi="Times New Roman"/>
          <w:sz w:val="22"/>
          <w:szCs w:val="22"/>
          <w:color w:val="auto"/>
        </w:rPr>
        <w:t xml:space="preserve">due diligence procedures to preserve the confidential nature of any books or records. An examination by Sanofi under this </w:t>
      </w:r>
      <w:r>
        <w:rPr>
          <w:rFonts w:ascii="Times New Roman" w:cs="Times New Roman" w:eastAsia="Times New Roman" w:hAnsi="Times New Roman"/>
          <w:sz w:val="22"/>
          <w:szCs w:val="22"/>
          <w:u w:val="single" w:color="auto"/>
          <w:color w:val="auto"/>
        </w:rPr>
        <w:t>Section 2.11.5</w:t>
      </w:r>
      <w:r>
        <w:rPr>
          <w:rFonts w:ascii="Times New Roman" w:cs="Times New Roman" w:eastAsia="Times New Roman" w:hAnsi="Times New Roman"/>
          <w:sz w:val="22"/>
          <w:szCs w:val="22"/>
          <w:color w:val="auto"/>
        </w:rPr>
        <w:t xml:space="preserve"> (a) will occur not more than [***], (b) will be limited to the pertinent books and records for any Calendar Year ending not more than [***]before the date of the written notice, (c) will be conducted in such a manner to minimize, to the extent reasonably possible, the period of examination and in no case shall such period exceed [***], and (d) will be conducted by the minimum number of Sanofi employees as necessary to provide requisite subject matter expertise and conduct the review in the allotted timeframe, each of whom shall have appropriate experience in the Research of small molecule compounds and candidates; provided, that if any examination by Sanofi under this </w:t>
      </w:r>
      <w:r>
        <w:rPr>
          <w:rFonts w:ascii="Times New Roman" w:cs="Times New Roman" w:eastAsia="Times New Roman" w:hAnsi="Times New Roman"/>
          <w:sz w:val="22"/>
          <w:szCs w:val="22"/>
          <w:u w:val="single" w:color="auto"/>
          <w:color w:val="auto"/>
        </w:rPr>
        <w:t>Section 2.11.5</w:t>
      </w:r>
      <w:r>
        <w:rPr>
          <w:rFonts w:ascii="Times New Roman" w:cs="Times New Roman" w:eastAsia="Times New Roman" w:hAnsi="Times New Roman"/>
          <w:sz w:val="22"/>
          <w:szCs w:val="22"/>
          <w:color w:val="auto"/>
        </w:rPr>
        <w:t xml:space="preserve"> reveals any material discrepancy, Kymera will permit Sanofi to conduct additional examination of pertinent books and records for Calendar Years ending not more than [***] before the date of the written notice, during a period limited to minimize the days of examination as much as possible and in no case more than [***]. Sanofi will be provided access to such books and records at Kymera’s facility or facilities where such books and records are normally kept and such examination will be conducted during Kymera’s normal business hours. Upon completion of the examination, Sanofi will provide Kymera and the JRDC a written report disclosing the reason(s) for the difference between the relevant report provided by Kymera and the results and data that should have been generated and the activities that should have been conducted by Kymera during the relevant time. The costs and fees of any examination conducted by Sanofi under this </w:t>
      </w:r>
      <w:r>
        <w:rPr>
          <w:rFonts w:ascii="Times New Roman" w:cs="Times New Roman" w:eastAsia="Times New Roman" w:hAnsi="Times New Roman"/>
          <w:sz w:val="22"/>
          <w:szCs w:val="22"/>
          <w:u w:val="single" w:color="auto"/>
          <w:color w:val="auto"/>
        </w:rPr>
        <w:t>Section 2.11.5</w:t>
      </w:r>
      <w:r>
        <w:rPr>
          <w:rFonts w:ascii="Times New Roman" w:cs="Times New Roman" w:eastAsia="Times New Roman" w:hAnsi="Times New Roman"/>
          <w:sz w:val="22"/>
          <w:szCs w:val="22"/>
          <w:color w:val="auto"/>
        </w:rPr>
        <w:t xml:space="preserve"> will be borne by Sanofi.</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EARLY DEVELOPMENT</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u w:val="single" w:color="auto"/>
          <w:color w:val="auto"/>
        </w:rPr>
        <w:t>Early Development Activities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3.1.1 With respect to Collaboration Target 1, during the Research Term prior to Sanofi’s exercise of the Sanofi Participation Election Right with respect to Collaboration Target 1, the terms and conditions set forth in this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will apply.</w:t>
      </w:r>
    </w:p>
    <w:p>
      <w:pPr>
        <w:spacing w:after="0" w:line="173" w:lineRule="exact"/>
        <w:rPr>
          <w:sz w:val="20"/>
          <w:szCs w:val="20"/>
          <w:color w:val="auto"/>
        </w:rPr>
      </w:pPr>
    </w:p>
    <w:p>
      <w:pPr>
        <w:ind w:firstLine="2254"/>
        <w:spacing w:after="0" w:line="249" w:lineRule="auto"/>
        <w:tabs>
          <w:tab w:leader="none" w:pos="267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Kymera will be solely responsible for (a) conducting all Pre-Clinical Development of Collaboration Candidates and Licensed Products that are Directed Against Collaboration Target 1 in the Field in the Territory, (b) filing all INDs for all Collaboration Candidates and Licensed Products Directed Against Collaboration Target 1 in the Field in the Territory, and (c) for conducting the Kymera Phase 1 Clinical Trials therefor, in each case ((a)-(c)) in accordance with the Early Development Plan (the “</w:t>
      </w:r>
      <w:r>
        <w:rPr>
          <w:rFonts w:ascii="Times New Roman" w:cs="Times New Roman" w:eastAsia="Times New Roman" w:hAnsi="Times New Roman"/>
          <w:sz w:val="21"/>
          <w:szCs w:val="21"/>
          <w:b w:val="1"/>
          <w:bCs w:val="1"/>
          <w:color w:val="auto"/>
        </w:rPr>
        <w:t>Early Development Activities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following the Restatement Effective Date, Kymera will only be required to conduct [***]. For example, Kymera may conduct the [***], but shall not be required to [***].</w:t>
      </w:r>
    </w:p>
    <w:p>
      <w:pPr>
        <w:spacing w:after="0" w:line="170" w:lineRule="exact"/>
        <w:rPr>
          <w:rFonts w:ascii="Times New Roman" w:cs="Times New Roman" w:eastAsia="Times New Roman" w:hAnsi="Times New Roman"/>
          <w:sz w:val="21"/>
          <w:szCs w:val="21"/>
          <w:color w:val="auto"/>
        </w:rPr>
      </w:pPr>
    </w:p>
    <w:p>
      <w:pPr>
        <w:jc w:val="both"/>
        <w:ind w:firstLine="2254"/>
        <w:spacing w:after="0" w:line="236" w:lineRule="auto"/>
        <w:tabs>
          <w:tab w:leader="none" w:pos="267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and subject to the last sentence of this </w:t>
      </w:r>
      <w:r>
        <w:rPr>
          <w:rFonts w:ascii="Times New Roman" w:cs="Times New Roman" w:eastAsia="Times New Roman" w:hAnsi="Times New Roman"/>
          <w:sz w:val="22"/>
          <w:szCs w:val="22"/>
          <w:u w:val="single" w:color="auto"/>
          <w:color w:val="auto"/>
        </w:rPr>
        <w:t>Section 3.1.1(b)</w:t>
      </w:r>
      <w:r>
        <w:rPr>
          <w:rFonts w:ascii="Times New Roman" w:cs="Times New Roman" w:eastAsia="Times New Roman" w:hAnsi="Times New Roman"/>
          <w:sz w:val="22"/>
          <w:szCs w:val="22"/>
          <w:color w:val="auto"/>
        </w:rPr>
        <w:t xml:space="preserve">, Sanofi will be solely responsible for [***], to conduct [***] pursuant to the Phase 2 Development Plan; provided that, subject to any [***], (i) Sanofi shall use Commercially Reasonable Efforts to [***], (ii) [***] Sanofi shall use Commercially Reasonable Efforts to [***] and (iii) Sanofi must [***]. The Parties acknowledge and agree that [***] to determine whether the applicable [***] that are conducted by Sanofi under this </w:t>
      </w:r>
      <w:r>
        <w:rPr>
          <w:rFonts w:ascii="Times New Roman" w:cs="Times New Roman" w:eastAsia="Times New Roman" w:hAnsi="Times New Roman"/>
          <w:sz w:val="22"/>
          <w:szCs w:val="22"/>
          <w:u w:val="single" w:color="auto"/>
          <w:color w:val="auto"/>
        </w:rPr>
        <w:t>Section 3.1.1(b)</w:t>
      </w:r>
      <w:r>
        <w:rPr>
          <w:rFonts w:ascii="Times New Roman" w:cs="Times New Roman" w:eastAsia="Times New Roman" w:hAnsi="Times New Roman"/>
          <w:sz w:val="22"/>
          <w:szCs w:val="22"/>
          <w:color w:val="auto"/>
        </w:rPr>
        <w:t xml:space="preserve"> are designed as [***]; provided, for clarity, that all [***] will be determined in accordance with, and as defined by, Applicable Law and the definitions set forth herein.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firstLine="2254"/>
        <w:spacing w:after="0" w:line="236" w:lineRule="auto"/>
        <w:tabs>
          <w:tab w:leader="none" w:pos="267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 prior to the expected submission of a clinical trial protocol for each Phase 2 Clinical Trial sponsored by Sanofi pursuant to the Phase 2 Development Plan, Sanofi shall provide Kymera with such protocol for each such trial, and within [***] of receipt of such protocol, Kymera may provide Sanofi with comments to such protocol, which Sanofi shall consider in good faith (each such protocol, a “</w:t>
      </w:r>
      <w:r>
        <w:rPr>
          <w:rFonts w:ascii="Times New Roman" w:cs="Times New Roman" w:eastAsia="Times New Roman" w:hAnsi="Times New Roman"/>
          <w:sz w:val="22"/>
          <w:szCs w:val="22"/>
          <w:b w:val="1"/>
          <w:bCs w:val="1"/>
          <w:color w:val="auto"/>
        </w:rPr>
        <w:t>Phase 2 Protocol</w:t>
      </w:r>
      <w:r>
        <w:rPr>
          <w:rFonts w:ascii="Times New Roman" w:cs="Times New Roman" w:eastAsia="Times New Roman" w:hAnsi="Times New Roman"/>
          <w:sz w:val="22"/>
          <w:szCs w:val="22"/>
          <w:color w:val="auto"/>
        </w:rPr>
        <w:t>”); provided that, [***]. [***] shall be permitted to make amendments to the Phase 2 Protocol; provided that, it shall promptly notify [***] of any material changes to any Phase 2 Protocol.</w:t>
      </w:r>
    </w:p>
    <w:p>
      <w:pPr>
        <w:spacing w:after="0" w:line="181"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initial Phase 2 Development Plan as agreed by the Parties as of the Restatement Execution Date is attached as </w:t>
      </w:r>
      <w:r>
        <w:rPr>
          <w:rFonts w:ascii="Times New Roman" w:cs="Times New Roman" w:eastAsia="Times New Roman" w:hAnsi="Times New Roman"/>
          <w:sz w:val="22"/>
          <w:szCs w:val="22"/>
          <w:u w:val="single" w:color="auto"/>
          <w:color w:val="auto"/>
        </w:rPr>
        <w:t>Schedule 3.1.1(d)</w:t>
      </w:r>
      <w:r>
        <w:rPr>
          <w:rFonts w:ascii="Times New Roman" w:cs="Times New Roman" w:eastAsia="Times New Roman" w:hAnsi="Times New Roman"/>
          <w:sz w:val="22"/>
          <w:szCs w:val="22"/>
          <w:color w:val="auto"/>
        </w:rPr>
        <w:t>, and sets forth the high-level details with respect to the [***] (the “</w:t>
      </w:r>
      <w:r>
        <w:rPr>
          <w:rFonts w:ascii="Times New Roman" w:cs="Times New Roman" w:eastAsia="Times New Roman" w:hAnsi="Times New Roman"/>
          <w:sz w:val="22"/>
          <w:szCs w:val="22"/>
          <w:b w:val="1"/>
          <w:bCs w:val="1"/>
          <w:color w:val="auto"/>
        </w:rPr>
        <w:t>Phase 2 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Each Party may propose amendments to the Phase 2 Development Plan at any time. Such Party will promptly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such proposed amendment to the Phase 2 Development Plan to the JRDC for review and discussion. No update or amendment to the Phase 2 Development Plan will be effective unless and until approved by the JRDC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9.2.2(b)</w:t>
      </w:r>
      <w:r>
        <w:rPr>
          <w:rFonts w:ascii="Times New Roman" w:cs="Times New Roman" w:eastAsia="Times New Roman" w:hAnsi="Times New Roman"/>
          <w:sz w:val="22"/>
          <w:szCs w:val="22"/>
          <w:color w:val="auto"/>
        </w:rPr>
        <w:t>; provided that, [***].</w:t>
      </w:r>
    </w:p>
    <w:p>
      <w:pPr>
        <w:spacing w:after="0" w:line="181"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pursuant to the Original Agreement any Phase 2 Clinical Trial with respect to [***] would have constituted an activity occurring during the Sanofi Participation Term under the Late Development Plan. However, pursuant to this Agreement, any such Phase 2 Clinical Trials for [***] conducted prior to Sanofi’s Participant Election Deadline shall be deemed activities occurring during the Research Term. [***].</w:t>
      </w:r>
    </w:p>
    <w:p>
      <w:pPr>
        <w:spacing w:after="0" w:line="180"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Development activities conducted under </w:t>
      </w:r>
      <w:r>
        <w:rPr>
          <w:rFonts w:ascii="Times New Roman" w:cs="Times New Roman" w:eastAsia="Times New Roman" w:hAnsi="Times New Roman"/>
          <w:sz w:val="22"/>
          <w:szCs w:val="22"/>
          <w:u w:val="single" w:color="auto"/>
          <w:color w:val="auto"/>
        </w:rPr>
        <w:t>Section 3.1.1(b)</w:t>
      </w:r>
      <w:r>
        <w:rPr>
          <w:rFonts w:ascii="Times New Roman" w:cs="Times New Roman" w:eastAsia="Times New Roman" w:hAnsi="Times New Roman"/>
          <w:sz w:val="22"/>
          <w:szCs w:val="22"/>
          <w:color w:val="auto"/>
        </w:rPr>
        <w:t xml:space="preserve"> for the Phase 2 Clinical Trials for</w:t>
      </w:r>
    </w:p>
    <w:p>
      <w:pPr>
        <w:spacing w:after="0" w:line="14"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or on behalf of Sanofi pursuant to the Phase 2 Development Plan will be the “</w:t>
      </w:r>
      <w:r>
        <w:rPr>
          <w:rFonts w:ascii="Times New Roman" w:cs="Times New Roman" w:eastAsia="Times New Roman" w:hAnsi="Times New Roman"/>
          <w:sz w:val="22"/>
          <w:szCs w:val="22"/>
          <w:b w:val="1"/>
          <w:bCs w:val="1"/>
          <w:color w:val="auto"/>
        </w:rPr>
        <w:t>Phase 2 Activities</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right="80" w:firstLine="2254"/>
        <w:spacing w:after="0" w:line="258" w:lineRule="auto"/>
        <w:tabs>
          <w:tab w:leader="none" w:pos="267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will be responsible for the costs and expenses of the Development activities contemplated in this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u w:val="single" w:color="auto"/>
          <w:color w:val="auto"/>
        </w:rPr>
        <w:t>Section 11.6.4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480" w:firstLine="1497"/>
        <w:spacing w:after="0" w:line="236" w:lineRule="auto"/>
        <w:rPr>
          <w:sz w:val="20"/>
          <w:szCs w:val="20"/>
          <w:color w:val="auto"/>
        </w:rPr>
      </w:pPr>
      <w:r>
        <w:rPr>
          <w:rFonts w:ascii="Times New Roman" w:cs="Times New Roman" w:eastAsia="Times New Roman" w:hAnsi="Times New Roman"/>
          <w:sz w:val="22"/>
          <w:szCs w:val="22"/>
          <w:color w:val="auto"/>
        </w:rPr>
        <w:t>3.1.2 With respect to Collaboration Target 2, during the Research Term prior to Sanofi’s exercise of the Sanofi Participation Election Right with respect to Collaboration Target 2, Kymera will be solely responsible, at its cost and expense and in accordance with the applicable Early Development Plan, for (a) conducting all Pre-Clinical Development of Collaboration Candidates and Licensed Products Directed Against Collaboration Target 2 in the Field in the Territory, and (b) filing the first IND therefor for the first Indication in the Field in the first Major Market Country, in each case ((a)-(b)) in accordance with the Early Development Plan.</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u w:val="single" w:color="auto"/>
          <w:color w:val="auto"/>
        </w:rPr>
        <w:t>Early Development Plan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3.2.1 On a Collaboration Target-by-Collaboration Target basis, during the Research Term, Kymera will conduct its Development activities under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for the Collaboration Candidates and Licensed Products Directed Against each Collaboration Target in the Field in accordance with a written plan (the “</w:t>
      </w:r>
      <w:r>
        <w:rPr>
          <w:rFonts w:ascii="Times New Roman" w:cs="Times New Roman" w:eastAsia="Times New Roman" w:hAnsi="Times New Roman"/>
          <w:sz w:val="22"/>
          <w:szCs w:val="22"/>
          <w:b w:val="1"/>
          <w:bCs w:val="1"/>
          <w:color w:val="auto"/>
        </w:rPr>
        <w:t>Early Development Plan</w:t>
      </w:r>
      <w:r>
        <w:rPr>
          <w:rFonts w:ascii="Times New Roman" w:cs="Times New Roman" w:eastAsia="Times New Roman" w:hAnsi="Times New Roman"/>
          <w:sz w:val="22"/>
          <w:szCs w:val="22"/>
          <w:color w:val="auto"/>
        </w:rPr>
        <w:t xml:space="preserve">”) that includes [***]. A copy of the current Early Development Plan as of the Restatement Execution Date is attached hereto as </w:t>
      </w:r>
      <w:r>
        <w:rPr>
          <w:rFonts w:ascii="Times New Roman" w:cs="Times New Roman" w:eastAsia="Times New Roman" w:hAnsi="Times New Roman"/>
          <w:sz w:val="22"/>
          <w:szCs w:val="22"/>
          <w:u w:val="single" w:color="auto"/>
          <w:color w:val="auto"/>
        </w:rPr>
        <w:t>Schedule 3.2.1</w:t>
      </w:r>
      <w:r>
        <w:rPr>
          <w:rFonts w:ascii="Times New Roman" w:cs="Times New Roman" w:eastAsia="Times New Roman" w:hAnsi="Times New Roman"/>
          <w:sz w:val="22"/>
          <w:szCs w:val="22"/>
          <w:color w:val="auto"/>
        </w:rPr>
        <w:t>. Any amendments to the Early Development Plan will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11" w:name="page212"/>
    <w:bookmarkEnd w:id="211"/>
    <w:p>
      <w:pPr>
        <w:ind w:left="91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be subject to </w:t>
      </w:r>
      <w:r>
        <w:rPr>
          <w:rFonts w:ascii="Times New Roman" w:cs="Times New Roman" w:eastAsia="Times New Roman" w:hAnsi="Times New Roman"/>
          <w:sz w:val="22"/>
          <w:szCs w:val="22"/>
          <w:u w:val="single" w:color="auto"/>
          <w:color w:val="auto"/>
        </w:rPr>
        <w:t>Section 3.2.2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9.2.2(b)</w:t>
      </w:r>
      <w:r>
        <w:rPr>
          <w:rFonts w:ascii="Times New Roman" w:cs="Times New Roman" w:eastAsia="Times New Roman" w:hAnsi="Times New Roman"/>
          <w:sz w:val="22"/>
          <w:szCs w:val="22"/>
          <w:color w:val="auto"/>
        </w:rPr>
        <w:t>. In the event of any inconsistency between the Early Development Plan and this Agreement, the terms of this Agreement will prevail.</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3.2.2 Kymera may propose amendments to the Early Development Plan at any time to reflect any material developments or adjustments to the applicable Development activities,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any such amended Early Development Plan will at all times meet the requirements set forth in </w:t>
      </w:r>
      <w:r>
        <w:rPr>
          <w:rFonts w:ascii="Times New Roman" w:cs="Times New Roman" w:eastAsia="Times New Roman" w:hAnsi="Times New Roman"/>
          <w:sz w:val="22"/>
          <w:szCs w:val="22"/>
          <w:u w:val="single" w:color="auto"/>
          <w:color w:val="auto"/>
        </w:rPr>
        <w:t>Section 3.2.1</w:t>
      </w:r>
      <w:r>
        <w:rPr>
          <w:rFonts w:ascii="Times New Roman" w:cs="Times New Roman" w:eastAsia="Times New Roman" w:hAnsi="Times New Roman"/>
          <w:sz w:val="22"/>
          <w:szCs w:val="22"/>
          <w:color w:val="auto"/>
        </w:rPr>
        <w:t xml:space="preserve">, and (b) in no event will Sanofi conduct any activities under the Early Development Plan except as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or as otherwise mutually agreed by the Parties. Kymera will promptly provide any such proposed amendment to the Early Development Plan to the JRDC for review and discussion. No update or material amendment to the Early Development Plan will be effective unless and until approved by the JRDC in accordance with </w:t>
      </w:r>
      <w:r>
        <w:rPr>
          <w:rFonts w:ascii="Times New Roman" w:cs="Times New Roman" w:eastAsia="Times New Roman" w:hAnsi="Times New Roman"/>
          <w:sz w:val="22"/>
          <w:szCs w:val="22"/>
          <w:u w:val="single" w:color="auto"/>
          <w:color w:val="auto"/>
        </w:rPr>
        <w:t>Section 9.2.2(b)</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3.2.3 Sanofi may propose amendments to the Early Development Plan at any time to include [***] to be conducted by or on behalf of Sanofi [***]. Sanofi will promptly provide any such proposed amendment to the Early Development Plan to the JRDC for review and discussion. No update or material amendment to the Early Development Plan will be effective unless and until approved by the JRDC in accordance with </w:t>
      </w:r>
      <w:r>
        <w:rPr>
          <w:rFonts w:ascii="Times New Roman" w:cs="Times New Roman" w:eastAsia="Times New Roman" w:hAnsi="Times New Roman"/>
          <w:sz w:val="22"/>
          <w:szCs w:val="22"/>
          <w:u w:val="single" w:color="auto"/>
          <w:color w:val="auto"/>
        </w:rPr>
        <w:t>Section 9.2.2(b)</w:t>
      </w:r>
      <w:r>
        <w:rPr>
          <w:rFonts w:ascii="Times New Roman" w:cs="Times New Roman" w:eastAsia="Times New Roman" w:hAnsi="Times New Roman"/>
          <w:sz w:val="22"/>
          <w:szCs w:val="22"/>
          <w:color w:val="auto"/>
        </w:rPr>
        <w:t>; provided that, Sanofi shall have final decision-making authority in the event that such [***].</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u w:val="single" w:color="auto"/>
          <w:color w:val="auto"/>
        </w:rPr>
        <w:t>Diligence; Decision-Making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3.3.1 On a Collaboration Target-by-Collaboration Target basis, during the Research Term, Kymera, directly or through its Affiliates or Subcontractors, will (a) [***] (b) use Commercially Reasonable Efforts to Research and Develop one (1) Collaboration Candidate that achieves Successful Completion for Collaboration Target 2, (c) use Commercially Reasonable Efforts to Research and Develop one (1) Collaboration Candidate that achieves Successful Completion for Collaboration Target 1, and (d) use Commercially Reasonable Efforts to conduct the Kymera Existing Phase 1 Clinical Trial.</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3.3.2 Subject to </w:t>
      </w:r>
      <w:r>
        <w:rPr>
          <w:rFonts w:ascii="Times New Roman" w:cs="Times New Roman" w:eastAsia="Times New Roman" w:hAnsi="Times New Roman"/>
          <w:sz w:val="22"/>
          <w:szCs w:val="22"/>
          <w:u w:val="single" w:color="auto"/>
          <w:color w:val="auto"/>
        </w:rPr>
        <w:t>Section 9.9.2(b)(i)</w:t>
      </w:r>
      <w:r>
        <w:rPr>
          <w:rFonts w:ascii="Times New Roman" w:cs="Times New Roman" w:eastAsia="Times New Roman" w:hAnsi="Times New Roman"/>
          <w:sz w:val="22"/>
          <w:szCs w:val="22"/>
          <w:color w:val="auto"/>
        </w:rPr>
        <w:t xml:space="preserve">, on a Collaboration Target-by-Collaboration Target basis, during the Research Term, Kymera will have the final decision-making authority with respect to its Development activities for the Collaboration Candidates and Licensed Products Directed Against such Collaboration Target under this Agreement prior to the Sanofi Participation Election Right Exercise (if any) with respect to such Collaboration Target, including the prioritization of its Development activities and the allocation of resources among the Development activities;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decision is consistent with the terms and conditions of this Agreement. In the event that a Material Safety Event occurs in connection with any Clinical Trials conducted by or on behalf of Kymera, then Kymera will have the right, at its sole election, to wind-down such Clinical Trials in accordance with Applicable Law.</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3.3.3 Subject to </w:t>
      </w:r>
      <w:r>
        <w:rPr>
          <w:rFonts w:ascii="Times New Roman" w:cs="Times New Roman" w:eastAsia="Times New Roman" w:hAnsi="Times New Roman"/>
          <w:sz w:val="22"/>
          <w:szCs w:val="22"/>
          <w:u w:val="single" w:color="auto"/>
          <w:color w:val="auto"/>
        </w:rPr>
        <w:t>Section 9.9.2(b)(i)</w:t>
      </w:r>
      <w:r>
        <w:rPr>
          <w:rFonts w:ascii="Times New Roman" w:cs="Times New Roman" w:eastAsia="Times New Roman" w:hAnsi="Times New Roman"/>
          <w:sz w:val="22"/>
          <w:szCs w:val="22"/>
          <w:color w:val="auto"/>
        </w:rPr>
        <w:t xml:space="preserve">, during the Research Term, Sanofi will have the final decision-making authority with respect to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decision is consistent with the terms and conditions of this Agreement. In the event that a Material Safety Event occurs in connection with any Phase 2 Clinical Trial that Sanofi is</w:t>
      </w:r>
    </w:p>
    <w:p>
      <w:pPr>
        <w:spacing w:after="0" w:line="200" w:lineRule="exact"/>
        <w:rPr>
          <w:sz w:val="20"/>
          <w:szCs w:val="20"/>
          <w:color w:val="auto"/>
        </w:rPr>
      </w:pPr>
    </w:p>
    <w:p>
      <w:pPr>
        <w:spacing w:after="0" w:line="3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12" w:name="page213"/>
    <w:bookmarkEnd w:id="212"/>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22"/>
          <w:szCs w:val="22"/>
          <w:color w:val="auto"/>
        </w:rPr>
        <w:t>conducting for [***], then Sanofi will have the right, at its sole election, to wind-down such Phase 2 Clinical Trial in accordance with Applicable Law.</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3.4  [***]</w:t>
      </w:r>
    </w:p>
    <w:p>
      <w:pPr>
        <w:spacing w:after="0" w:line="206"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3.4.1 Sanofi shall be entitled to conduct [***]. Sanofi also may, with Kymera’s prior agreement, conduct additional Development activities (including [***]) under the Early Development Plan; provided that, for the avoidance of doubt, no such consent shall be required for Sanofi to perform the Phase 2 Activities. Sanofi will obtain prior written consent from Kymera prior to [***].</w:t>
      </w:r>
    </w:p>
    <w:p>
      <w:pPr>
        <w:spacing w:after="0" w:line="176" w:lineRule="exact"/>
        <w:rPr>
          <w:sz w:val="20"/>
          <w:szCs w:val="20"/>
          <w:color w:val="auto"/>
        </w:rPr>
      </w:pPr>
    </w:p>
    <w:p>
      <w:pPr>
        <w:jc w:val="both"/>
        <w:ind w:left="48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3.4.2 Any and all [***] permitted and conducted under </w:t>
      </w:r>
      <w:r>
        <w:rPr>
          <w:rFonts w:ascii="Times New Roman" w:cs="Times New Roman" w:eastAsia="Times New Roman" w:hAnsi="Times New Roman"/>
          <w:sz w:val="22"/>
          <w:szCs w:val="22"/>
          <w:u w:val="single" w:color="auto"/>
          <w:color w:val="auto"/>
        </w:rPr>
        <w:t>Section 3.4.1</w:t>
      </w:r>
      <w:r>
        <w:rPr>
          <w:rFonts w:ascii="Times New Roman" w:cs="Times New Roman" w:eastAsia="Times New Roman" w:hAnsi="Times New Roman"/>
          <w:sz w:val="22"/>
          <w:szCs w:val="22"/>
          <w:color w:val="auto"/>
        </w:rPr>
        <w:t>, collectively, constitute “</w:t>
      </w:r>
      <w:r>
        <w:rPr>
          <w:rFonts w:ascii="Times New Roman" w:cs="Times New Roman" w:eastAsia="Times New Roman" w:hAnsi="Times New Roman"/>
          <w:sz w:val="22"/>
          <w:szCs w:val="22"/>
          <w:b w:val="1"/>
          <w:bCs w:val="1"/>
          <w:color w:val="auto"/>
        </w:rPr>
        <w:t>MTA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Development Studies</w:t>
      </w:r>
      <w:r>
        <w:rPr>
          <w:rFonts w:ascii="Times New Roman" w:cs="Times New Roman" w:eastAsia="Times New Roman" w:hAnsi="Times New Roman"/>
          <w:sz w:val="22"/>
          <w:szCs w:val="22"/>
          <w:color w:val="auto"/>
        </w:rPr>
        <w:t>,” and all such MTA Development Studies will be documented in the applicable Early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or the relevant JRDC minutes.</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u w:val="single" w:color="auto"/>
          <w:color w:val="auto"/>
        </w:rPr>
        <w:t>Transfer of Materials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80" w:right="20" w:firstLine="1497"/>
        <w:spacing w:after="0" w:line="249" w:lineRule="auto"/>
        <w:rPr>
          <w:sz w:val="20"/>
          <w:szCs w:val="20"/>
          <w:color w:val="auto"/>
        </w:rPr>
      </w:pPr>
      <w:r>
        <w:rPr>
          <w:rFonts w:ascii="Times New Roman" w:cs="Times New Roman" w:eastAsia="Times New Roman" w:hAnsi="Times New Roman"/>
          <w:sz w:val="21"/>
          <w:szCs w:val="21"/>
          <w:color w:val="auto"/>
        </w:rPr>
        <w:t>3.5.1 To facilitate the conduct of activities under each Early Development Plan: (a) Sanofi may, at its election, provide Materials to Kymera to facilitate Kymera’s Development activities under the Early Development Plan (in which case the transfer of such Materials shall be specified in the Early Development Plan or the minutes of the JRDC), and</w:t>
      </w:r>
    </w:p>
    <w:p>
      <w:pPr>
        <w:spacing w:after="0" w:line="1" w:lineRule="exact"/>
        <w:rPr>
          <w:sz w:val="20"/>
          <w:szCs w:val="20"/>
          <w:color w:val="auto"/>
        </w:rPr>
      </w:pPr>
    </w:p>
    <w:p>
      <w:pPr>
        <w:ind w:left="480" w:hanging="3"/>
        <w:spacing w:after="0" w:line="237" w:lineRule="auto"/>
        <w:tabs>
          <w:tab w:leader="none" w:pos="80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provide to Sanofi reasonable quantities of such Materials as are reasonably necessary to permit Sanofi to conduct [***].</w:t>
      </w:r>
    </w:p>
    <w:p>
      <w:pPr>
        <w:spacing w:after="0" w:line="178" w:lineRule="exact"/>
        <w:rPr>
          <w:sz w:val="20"/>
          <w:szCs w:val="20"/>
          <w:color w:val="auto"/>
        </w:rPr>
      </w:pPr>
    </w:p>
    <w:p>
      <w:pPr>
        <w:jc w:val="both"/>
        <w:ind w:left="480" w:firstLine="1497"/>
        <w:spacing w:after="0" w:line="234" w:lineRule="auto"/>
        <w:rPr>
          <w:sz w:val="20"/>
          <w:szCs w:val="20"/>
          <w:color w:val="auto"/>
        </w:rPr>
      </w:pPr>
      <w:r>
        <w:rPr>
          <w:rFonts w:ascii="Times New Roman" w:cs="Times New Roman" w:eastAsia="Times New Roman" w:hAnsi="Times New Roman"/>
          <w:sz w:val="22"/>
          <w:szCs w:val="22"/>
          <w:color w:val="auto"/>
        </w:rPr>
        <w:t xml:space="preserve">3.5.2 All Materials transferred pursuant to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(a) will remain the sole property of the supplying Party (it being understood that jointly-owned Materials will remain jointly-owned, notwithstanding any physical transfer between the Parties), (b) will be used only in the fulfillment of the receiving Party’s obligations or exercise of rights under this Agreement, (c) will remain solely under the control of the receiving Party, (d) will not be used or delivered by the receiving Party to or for the benefit of any Third Party (other than a permitted Subcontractor or Sublicensee) without the prior written consent of the supplying Party, and (e) will not be used in research or testing involving human subjects, unless expressly agreed in writing. The receiving Party will use the Materials in compliance with Applicable Laws and the terms and conditions of this Agreement, and will not reverse engineer or chemically analyze such Materials, except as specified in the Early Development Plan.</w:t>
      </w:r>
    </w:p>
    <w:p>
      <w:pPr>
        <w:spacing w:after="0" w:line="183"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3.5.3</w:t>
      </w:r>
      <w:r>
        <w:rPr>
          <w:sz w:val="20"/>
          <w:szCs w:val="20"/>
          <w:color w:val="auto"/>
        </w:rPr>
        <w:tab/>
      </w:r>
      <w:r>
        <w:rPr>
          <w:rFonts w:ascii="Times New Roman" w:cs="Times New Roman" w:eastAsia="Times New Roman" w:hAnsi="Times New Roman"/>
          <w:sz w:val="21"/>
          <w:szCs w:val="21"/>
          <w:color w:val="auto"/>
        </w:rPr>
        <w:t>Any intellectual property generated by or on behalf of either Party in connection with the use of</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 xml:space="preserve">Materials transferred pursuant to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will be governed by the following:</w:t>
      </w:r>
    </w:p>
    <w:p>
      <w:pPr>
        <w:spacing w:after="0" w:line="182" w:lineRule="exact"/>
        <w:rPr>
          <w:sz w:val="20"/>
          <w:szCs w:val="20"/>
          <w:color w:val="auto"/>
        </w:rPr>
      </w:pPr>
    </w:p>
    <w:p>
      <w:pPr>
        <w:jc w:val="both"/>
        <w:ind w:firstLine="2254"/>
        <w:spacing w:after="0" w:line="238" w:lineRule="auto"/>
        <w:tabs>
          <w:tab w:leader="none" w:pos="267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licenses granted under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the supplying Party will solely own all right, title and interest in and to any data, information, results and reports generated by or on behalf of either Party directly from the use of any transferred Materials that comprise Collaboration Compounds, Collaboration Candidates or Licensed Products, solely within any MTA Development Studies permitted and conducted under </w:t>
      </w:r>
      <w:r>
        <w:rPr>
          <w:rFonts w:ascii="Times New Roman" w:cs="Times New Roman" w:eastAsia="Times New Roman" w:hAnsi="Times New Roman"/>
          <w:sz w:val="22"/>
          <w:szCs w:val="22"/>
          <w:u w:val="single" w:color="auto"/>
          <w:color w:val="auto"/>
        </w:rPr>
        <w:t>Section 3.5.1</w:t>
      </w:r>
      <w:r>
        <w:rPr>
          <w:rFonts w:ascii="Times New Roman" w:cs="Times New Roman" w:eastAsia="Times New Roman" w:hAnsi="Times New Roman"/>
          <w:sz w:val="22"/>
          <w:szCs w:val="22"/>
          <w:color w:val="auto"/>
        </w:rPr>
        <w:t>, and such data, information, results and reports will be shared with the supplying Party via the JRDC;</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13" w:name="page214"/>
    <w:bookmarkEnd w:id="213"/>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firstLine="2254"/>
        <w:spacing w:after="0" w:line="239" w:lineRule="auto"/>
        <w:tabs>
          <w:tab w:leader="none" w:pos="267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3.5.3(a)</w:t>
      </w:r>
      <w:r>
        <w:rPr>
          <w:rFonts w:ascii="Times New Roman" w:cs="Times New Roman" w:eastAsia="Times New Roman" w:hAnsi="Times New Roman"/>
          <w:sz w:val="22"/>
          <w:szCs w:val="22"/>
          <w:color w:val="auto"/>
        </w:rPr>
        <w:t xml:space="preserve">, all intellectual property created, conceived or generated by or on behalf of either Party using Collaboration Compounds, Collaboration Candidates or Licensed Products under this Agreement in connection with the MTA Development Studies will be governed by the provisions of this Agreement, including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48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3.5.4 All Materials supplied under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are supplied “as is”, with no warranties of fitness for a particular purpose and must be used with prudence and appropriate caution in any experimental work, as not all of their characteristics may be known. The receiving Party assumes all liability for damages that may arise from its use, storage or disposal of the Materials. Except as otherwise set forth in this Agreement, the supplying Party will not be liable to the receiving Party for any loss, claim or demand made by the receiving Party, or made against the receiving Party by any Third Party, due to or arising from the use of the Materials under this Agreement, except to the extent such loss, claim or demand is caused by the gross negligence or willful misconduct of the supplying Party.</w:t>
      </w:r>
    </w:p>
    <w:p>
      <w:pPr>
        <w:spacing w:after="0" w:line="183" w:lineRule="exact"/>
        <w:rPr>
          <w:sz w:val="20"/>
          <w:szCs w:val="20"/>
          <w:color w:val="auto"/>
        </w:rPr>
      </w:pPr>
    </w:p>
    <w:p>
      <w:pPr>
        <w:jc w:val="both"/>
        <w:ind w:left="480" w:right="20" w:firstLine="1497"/>
        <w:spacing w:after="0" w:line="258" w:lineRule="auto"/>
        <w:rPr>
          <w:sz w:val="20"/>
          <w:szCs w:val="20"/>
          <w:color w:val="auto"/>
        </w:rPr>
      </w:pPr>
      <w:r>
        <w:rPr>
          <w:rFonts w:ascii="Times New Roman" w:cs="Times New Roman" w:eastAsia="Times New Roman" w:hAnsi="Times New Roman"/>
          <w:sz w:val="22"/>
          <w:szCs w:val="22"/>
          <w:color w:val="auto"/>
        </w:rPr>
        <w:t>3.5.5 For clarity, the transfer of any material owned or Controlled by Sanofi other than Materials will be governed by a to-be-negotiated material transfer agreement.</w:t>
      </w:r>
    </w:p>
    <w:p>
      <w:pPr>
        <w:spacing w:after="0" w:line="154" w:lineRule="exact"/>
        <w:rPr>
          <w:sz w:val="20"/>
          <w:szCs w:val="20"/>
          <w:color w:val="auto"/>
        </w:rPr>
      </w:pPr>
    </w:p>
    <w:p>
      <w:pPr>
        <w:jc w:val="both"/>
        <w:ind w:left="80" w:firstLine="749"/>
        <w:spacing w:after="0" w:line="233"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u w:val="single" w:color="auto"/>
          <w:color w:val="auto"/>
        </w:rPr>
        <w:t>Subcontracting</w:t>
      </w:r>
      <w:r>
        <w:rPr>
          <w:rFonts w:ascii="Times New Roman" w:cs="Times New Roman" w:eastAsia="Times New Roman" w:hAnsi="Times New Roman"/>
          <w:sz w:val="22"/>
          <w:szCs w:val="22"/>
          <w:color w:val="auto"/>
        </w:rPr>
        <w:t xml:space="preserve">. During the Research Term, Kymera may engage Approved Third Party Contractors to perform Development activities hereunder; (a) each contract between Kymera and an Approved Third Party Contractor entered into after the Original Agreement Execution Date will be consistent with the provisions of this Agreement, including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and will include confidentiality provisions that are at least as restrictive as those described in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(b) Kymera will remain at all times fully liable for the acts and omissions such Approved Third Party Contractors under this Agreement as if they were acts or omissions by Kymera, and (c) Kymera will be responsible for the effective and timely management of and payment of its Approved Third Party Contractors hereunder. The engagement of any Approved Third Party Contractor in compliance with this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will not relieve Kymera of its obligations under this Agreement. Additionally, Sanofi may engage Third Party contractors to perform the Phase 2 Activities; provided that, (a) each contract between Sanofi and a Third Party contractor entered into after the Restatement Execution Date will be consistent with the provisions of this Agreement, including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w:t>
      </w:r>
      <w:r>
        <w:rPr>
          <w:rFonts w:ascii="Times New Roman" w:cs="Times New Roman" w:eastAsia="Times New Roman" w:hAnsi="Times New Roman"/>
          <w:sz w:val="22"/>
          <w:szCs w:val="22"/>
          <w:color w:val="auto"/>
        </w:rPr>
        <w:t xml:space="preserve">, and will include confidentiality provisions that are at least as restrictive as those described in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(b) Sanofi will remain at all times fully liable for the acts and omissions such Third Party contractors under this Agreement as if they were acts or omissions by Sanofi, (c) Sanofi will be responsible for the effective and timely management of and payment of its Third Party contractors hereunder and (d) the engagement of any Approved Third Party Contractor in compliance with this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will not relieve Sanofi of its obligations under this Agreement.</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b w:val="1"/>
          <w:bCs w:val="1"/>
          <w:u w:val="single" w:color="auto"/>
          <w:color w:val="auto"/>
        </w:rPr>
        <w:t>Records; Reporting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80" w:firstLine="1497"/>
        <w:spacing w:after="0" w:line="244" w:lineRule="auto"/>
        <w:rPr>
          <w:sz w:val="20"/>
          <w:szCs w:val="20"/>
          <w:color w:val="auto"/>
        </w:rPr>
      </w:pPr>
      <w:r>
        <w:rPr>
          <w:rFonts w:ascii="Times New Roman" w:cs="Times New Roman" w:eastAsia="Times New Roman" w:hAnsi="Times New Roman"/>
          <w:sz w:val="22"/>
          <w:szCs w:val="22"/>
          <w:color w:val="auto"/>
        </w:rPr>
        <w:t>3.7.1 Each Party will maintain, and [***] to maintain, records of the Development activities under this Agreement in sufficient detail and in good scientific manner appropriate for scientific, patent and regulatory purposes, which will be complete and accurate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14" w:name="page215"/>
    <w:bookmarkEnd w:id="214"/>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in all material respects and will fully and properly reflect all work done, data and developments made, and results achieved.</w:t>
      </w:r>
    </w:p>
    <w:p>
      <w:pPr>
        <w:spacing w:after="0" w:line="218" w:lineRule="exact"/>
        <w:rPr>
          <w:sz w:val="20"/>
          <w:szCs w:val="20"/>
          <w:color w:val="auto"/>
        </w:rPr>
      </w:pPr>
    </w:p>
    <w:p>
      <w:pPr>
        <w:jc w:val="both"/>
        <w:ind w:right="20" w:firstLine="2254"/>
        <w:spacing w:after="0" w:line="239" w:lineRule="auto"/>
        <w:tabs>
          <w:tab w:leader="none" w:pos="267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prior to the Restatement Effective Date, Kymera provided to Sanofi the Pre-Clinical and SAD/MAD Data Package for the Kymera Existing Phase 1 Clinical Trial, the MAD Data Package, the Phase 1 Patient Data Package for the Kymera Existing Phase 1 Clinical Trial and the Remaining Patient Data Package. [***].</w:t>
      </w:r>
    </w:p>
    <w:p>
      <w:pPr>
        <w:spacing w:after="0" w:line="180" w:lineRule="exact"/>
        <w:rPr>
          <w:sz w:val="20"/>
          <w:szCs w:val="20"/>
          <w:color w:val="auto"/>
        </w:rPr>
      </w:pPr>
    </w:p>
    <w:p>
      <w:pPr>
        <w:jc w:val="both"/>
        <w:ind w:left="480" w:firstLine="1497"/>
        <w:spacing w:after="0" w:line="244" w:lineRule="auto"/>
        <w:rPr>
          <w:sz w:val="20"/>
          <w:szCs w:val="20"/>
          <w:color w:val="auto"/>
        </w:rPr>
      </w:pPr>
      <w:r>
        <w:rPr>
          <w:rFonts w:ascii="Times New Roman" w:cs="Times New Roman" w:eastAsia="Times New Roman" w:hAnsi="Times New Roman"/>
          <w:sz w:val="21"/>
          <w:szCs w:val="21"/>
          <w:color w:val="auto"/>
        </w:rPr>
        <w:t>3.7.2 Each Party will furnish to the JRDC, within [***], to the extent applicable to such Party, an update on such Party’s progress under the Early Development Plan or the Phase 2 Development Plan (as applicable) for the applicable Collaboration Target (including with respect to any MTA Development Studies or other activities governed by a separate material transfer agreement) during the relevant Calendar Quarter, including a summary of any results and data generated by such Party under such Early Development Plan or the Phase 2 Development Plan (as applicable) and an overview of the resources (including a summary of all expenditures incurred by such Party in connection with such Development activities and reasonable documentation relating thereto, and an overview of FTEs used by such Party for such Development activities), allocated to activities under such Early Development Plan or the Phase 2 Development Plan (as applicable) during the relevant Calendar Quarter. Such Party will provide the JRDC with such other information, results and data with respect to the Development activities under the Early Development Plan or the Phase 2 Development Plan (as applicable) as any member of the JRDC may reasonably request that are in such Party’s possession or control. Each Party will provide the other Party a reasonable opportunity via the JRDC to discuss and provide input with respect to such Party’s Development activities under the Early Development Plan or the Phase 2 Development Plan (as applicable), including with respect to the prioritization of Development activities for Collaboration Candidates and Licensed Products.</w:t>
      </w:r>
    </w:p>
    <w:p>
      <w:pPr>
        <w:spacing w:after="0" w:line="177" w:lineRule="exact"/>
        <w:rPr>
          <w:sz w:val="20"/>
          <w:szCs w:val="20"/>
          <w:color w:val="auto"/>
        </w:rPr>
      </w:pPr>
    </w:p>
    <w:p>
      <w:pPr>
        <w:jc w:val="both"/>
        <w:ind w:left="480" w:firstLine="1497"/>
        <w:spacing w:after="0" w:line="233" w:lineRule="auto"/>
        <w:rPr>
          <w:sz w:val="20"/>
          <w:szCs w:val="20"/>
          <w:color w:val="auto"/>
        </w:rPr>
      </w:pPr>
      <w:r>
        <w:rPr>
          <w:rFonts w:ascii="Times New Roman" w:cs="Times New Roman" w:eastAsia="Times New Roman" w:hAnsi="Times New Roman"/>
          <w:sz w:val="22"/>
          <w:szCs w:val="22"/>
          <w:color w:val="auto"/>
        </w:rPr>
        <w:t xml:space="preserve">3.7.3 In the event that Sanofi has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written notice to Kymera (including via the JRDC) that [***], then, within [***] of the date of receipt of such written notice, Kymera will permit Sanofi to examine the relevant books and records of Kymera and its Affiliates, as may be reasonably necessary to verify the Research updates and progress reports submitted by Kymera in accordance with this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examination will be subject to customary and reasonable due diligence procedures to preserve the confidential nature of any books or records. An examination by Sanofi under this </w:t>
      </w:r>
      <w:r>
        <w:rPr>
          <w:rFonts w:ascii="Times New Roman" w:cs="Times New Roman" w:eastAsia="Times New Roman" w:hAnsi="Times New Roman"/>
          <w:sz w:val="22"/>
          <w:szCs w:val="22"/>
          <w:u w:val="single" w:color="auto"/>
          <w:color w:val="auto"/>
        </w:rPr>
        <w:t>Section 3.7.3</w:t>
      </w:r>
      <w:r>
        <w:rPr>
          <w:rFonts w:ascii="Times New Roman" w:cs="Times New Roman" w:eastAsia="Times New Roman" w:hAnsi="Times New Roman"/>
          <w:sz w:val="22"/>
          <w:szCs w:val="22"/>
          <w:color w:val="auto"/>
        </w:rPr>
        <w:t xml:space="preserve"> (a) will occur not more than [***], (b) will be limited to the pertinent books and records for any Calendar Year ending not more than [***] before the date of the written notice, (c) will be conducted in a such a manner to minimize, to the extent reasonably possible, the period of examination and in no case shall such period exceed [***], and (d) will be conducted by the minimum number of Sanofi employees as necessary to provide requisite subject matter expertise and conduct the review in the allotted timeframe, each of whom shall have appropriate experience in the Development of small molecule compounds and candidates;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examination by Sanofi under this </w:t>
      </w:r>
      <w:r>
        <w:rPr>
          <w:rFonts w:ascii="Times New Roman" w:cs="Times New Roman" w:eastAsia="Times New Roman" w:hAnsi="Times New Roman"/>
          <w:sz w:val="22"/>
          <w:szCs w:val="22"/>
          <w:u w:val="single" w:color="auto"/>
          <w:color w:val="auto"/>
        </w:rPr>
        <w:t>Section 3.7.3</w:t>
      </w:r>
      <w:r>
        <w:rPr>
          <w:rFonts w:ascii="Times New Roman" w:cs="Times New Roman" w:eastAsia="Times New Roman" w:hAnsi="Times New Roman"/>
          <w:sz w:val="22"/>
          <w:szCs w:val="22"/>
          <w:color w:val="auto"/>
        </w:rPr>
        <w:t xml:space="preserve"> reveals any material discrepancy, Kymera will permit Sanofi to conduct additional examination of pertinent books and records for Calendar Years ending not more than [***] before the date of the written notice, during a period limited to minimize the days of examination as much as possible and in no case more than [***]. Sanofi will be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access to such books and records at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15" w:name="page216"/>
    <w:bookmarkEnd w:id="215"/>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left="400"/>
        <w:spacing w:after="0" w:line="251" w:lineRule="auto"/>
        <w:rPr>
          <w:sz w:val="20"/>
          <w:szCs w:val="20"/>
          <w:color w:val="auto"/>
        </w:rPr>
      </w:pPr>
      <w:r>
        <w:rPr>
          <w:rFonts w:ascii="Times New Roman" w:cs="Times New Roman" w:eastAsia="Times New Roman" w:hAnsi="Times New Roman"/>
          <w:sz w:val="21"/>
          <w:szCs w:val="21"/>
          <w:color w:val="auto"/>
        </w:rPr>
        <w:t xml:space="preserve">Kymera’s facility or facilities where such books and records are normally kept and such examination will be conducted during Kymera’s normal business hours. Upon completion of the examination, Sanofi will provide Kymera and the JRDC a written report disclosing the reason(s) for the difference between the relevant report provided by Kymera and the results and data that should have been generated and the activities that should have been conducted by Kymera during the relevant time. The costs and fees of any examination conducted by Sanofi under this </w:t>
      </w:r>
      <w:r>
        <w:rPr>
          <w:rFonts w:ascii="Times New Roman" w:cs="Times New Roman" w:eastAsia="Times New Roman" w:hAnsi="Times New Roman"/>
          <w:sz w:val="21"/>
          <w:szCs w:val="21"/>
          <w:u w:val="single" w:color="auto"/>
          <w:color w:val="auto"/>
        </w:rPr>
        <w:t>Section 3.7.3</w:t>
      </w:r>
      <w:r>
        <w:rPr>
          <w:rFonts w:ascii="Times New Roman" w:cs="Times New Roman" w:eastAsia="Times New Roman" w:hAnsi="Times New Roman"/>
          <w:sz w:val="21"/>
          <w:szCs w:val="21"/>
          <w:color w:val="auto"/>
        </w:rPr>
        <w:t xml:space="preserve"> will be borne by Sanofi.</w:t>
      </w:r>
    </w:p>
    <w:p>
      <w:pPr>
        <w:spacing w:after="0" w:line="1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SANOFI PARTICIPATION ELECTION RIGHT</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u w:val="single" w:color="auto"/>
          <w:color w:val="auto"/>
        </w:rPr>
        <w:t>Sanofi Participation Election Right</w:t>
      </w:r>
      <w:r>
        <w:rPr>
          <w:rFonts w:ascii="Times New Roman" w:cs="Times New Roman" w:eastAsia="Times New Roman" w:hAnsi="Times New Roman"/>
          <w:sz w:val="22"/>
          <w:szCs w:val="22"/>
          <w:color w:val="auto"/>
        </w:rPr>
        <w:t>. On a Collaboration Target-by-Collaboration Target basis, during the Research Term, Kymera hereby grants to Sanofi an exclusive right, exercisable in Sanofi’s sole discretion, to continue, in collaboration with Kymera as specified herein, the Research, Development, Manufacture and Commercialization of Collaboration Candidates and Licensed Products Directed Against such Collaboration Target (each a “</w:t>
      </w:r>
      <w:r>
        <w:rPr>
          <w:rFonts w:ascii="Times New Roman" w:cs="Times New Roman" w:eastAsia="Times New Roman" w:hAnsi="Times New Roman"/>
          <w:sz w:val="22"/>
          <w:szCs w:val="22"/>
          <w:b w:val="1"/>
          <w:bCs w:val="1"/>
          <w:color w:val="auto"/>
        </w:rPr>
        <w:t>Sanofi Participation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Election Right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40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u w:val="single" w:color="auto"/>
          <w:color w:val="auto"/>
        </w:rPr>
        <w:t>Participation Data Package</w:t>
      </w:r>
      <w:r>
        <w:rPr>
          <w:rFonts w:ascii="Times New Roman" w:cs="Times New Roman" w:eastAsia="Times New Roman" w:hAnsi="Times New Roman"/>
          <w:sz w:val="22"/>
          <w:szCs w:val="22"/>
          <w:color w:val="auto"/>
        </w:rPr>
        <w:t xml:space="preserve">. Except in the case of a Phase 2 Trigger Point, on a Collaboration Target-by-Collaboration Target basis, within [***] after the Trigger Point for a given Collaboration Target, Kymera will provide Sanofi with the Participation Data Package with respect to such Collaboration Target, and Sanofi will use such Participation Data Package (and any additional information provided by Kymera pursuant to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solely to determine whether to exercise the corresponding Sanofi Participation Election Right with respect to such Collaboration Target. Additionally, Kymera will make all data within the Participation Data Package for such Collaboration Target available to Sanofi through an electronic data room. [***] For clarity, Kymera will not be required to provide Sanofi with the Participation Data Package in the event of a Phase 2 Trigger Point.</w:t>
      </w:r>
    </w:p>
    <w:p>
      <w:pPr>
        <w:spacing w:after="0" w:line="17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b w:val="1"/>
          <w:bCs w:val="1"/>
          <w:u w:val="single" w:color="auto"/>
          <w:color w:val="auto"/>
        </w:rPr>
        <w:t>Incomplete Participation Data Package</w:t>
      </w:r>
      <w:r>
        <w:rPr>
          <w:rFonts w:ascii="Times New Roman" w:cs="Times New Roman" w:eastAsia="Times New Roman" w:hAnsi="Times New Roman"/>
          <w:sz w:val="21"/>
          <w:szCs w:val="21"/>
          <w:color w:val="auto"/>
        </w:rPr>
        <w:t xml:space="preserve">. On a Collaboration Target-by-Collaboration Target basis, if such Participation Data Package for a given Collaboration Target is incomplete, Sanofi may notify Kymera of the incomplete status of such Participation Data Package in writing including any items that, in Sanofi’s reasonable determination made in good faith, should have been included in the Participation Data Package but were not included therein within [***] after receipt thereof. Following receipt of such notice, Kymera will promptly deliver to Sanofi the additional information requested by Sanofi to complete such Participation Data Package. For clarity, delivery of such incomplete Participation Data Package will not trigger the [***] period after which the Sanofi Participation Election Deadline would occur pursuant to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 xml:space="preserve">, but such [***] period after which the Sanofi Participation Election Deadline would occur pursuant to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 xml:space="preserve"> will thereafter be triggered on the date of Sanofi’s receipt of the additional information requested by Sanofi to complete such Participation Data Package.</w:t>
      </w:r>
    </w:p>
    <w:p>
      <w:pPr>
        <w:spacing w:after="0" w:line="166" w:lineRule="exact"/>
        <w:rPr>
          <w:sz w:val="20"/>
          <w:szCs w:val="20"/>
          <w:color w:val="auto"/>
        </w:rPr>
      </w:pPr>
    </w:p>
    <w:p>
      <w:pPr>
        <w:jc w:val="both"/>
        <w:ind w:left="400" w:firstLine="1497"/>
        <w:spacing w:after="0" w:line="241"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b w:val="1"/>
          <w:bCs w:val="1"/>
          <w:u w:val="single" w:color="auto"/>
          <w:color w:val="auto"/>
        </w:rPr>
        <w:t>Due Diligence Following Participation Data Package</w:t>
      </w:r>
      <w:r>
        <w:rPr>
          <w:rFonts w:ascii="Times New Roman" w:cs="Times New Roman" w:eastAsia="Times New Roman" w:hAnsi="Times New Roman"/>
          <w:sz w:val="22"/>
          <w:szCs w:val="22"/>
          <w:color w:val="auto"/>
        </w:rPr>
        <w:t>. On a Collaboration Target-by-Collaboration Target basis, following the date of delivery of the Participation Data Package for a given Collaboration Target, to assist Sanofi in conducting thorough due diligence to decide whether to exercise the corresponding Sanofi Participation</w:t>
      </w: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00"/>
        <w:spacing w:after="0" w:line="236" w:lineRule="auto"/>
        <w:rPr>
          <w:sz w:val="20"/>
          <w:szCs w:val="20"/>
          <w:color w:val="auto"/>
        </w:rPr>
      </w:pPr>
      <w:r>
        <w:rPr>
          <w:rFonts w:ascii="Times New Roman" w:cs="Times New Roman" w:eastAsia="Times New Roman" w:hAnsi="Times New Roman"/>
          <w:sz w:val="22"/>
          <w:szCs w:val="22"/>
          <w:color w:val="auto"/>
        </w:rPr>
        <w:t xml:space="preserve">Election Right with respect to such Collaboration Target, Kymera will afford to Sanofi and its representatives reasonable access during normal business hours to Kymera’s personnel, records and data, offices, laboratories, and manufacturing and supplier sites that Sanofi may reasonably request regarding such Collaboration Target and Collaboration Candidates and Licensed Products Directed Against such Collaboration Target;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obligation to supply such records, data and information will be limited to those records, data and information then available to Kymera and will be subject to customary and reasonable due diligence procedures to preserve the confidential nature of any such information.</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u w:val="single" w:color="auto"/>
          <w:color w:val="auto"/>
        </w:rPr>
        <w:t>Exercise of Participation Election Right</w:t>
      </w:r>
      <w:r>
        <w:rPr>
          <w:rFonts w:ascii="Times New Roman" w:cs="Times New Roman" w:eastAsia="Times New Roman" w:hAnsi="Times New Roman"/>
          <w:sz w:val="22"/>
          <w:szCs w:val="22"/>
          <w:color w:val="auto"/>
        </w:rPr>
        <w:t>. On a Collaboration Target-by-Collaboration Target basis, during the Research Term, Sanofi will have the right, in its sole discretion, to exercise the Sanofi Participation Election Right (each such exercise, the “</w:t>
      </w:r>
      <w:r>
        <w:rPr>
          <w:rFonts w:ascii="Times New Roman" w:cs="Times New Roman" w:eastAsia="Times New Roman" w:hAnsi="Times New Roman"/>
          <w:sz w:val="22"/>
          <w:szCs w:val="22"/>
          <w:b w:val="1"/>
          <w:bCs w:val="1"/>
          <w:color w:val="auto"/>
        </w:rPr>
        <w:t>Sanofi Participation Election Right Exercise</w:t>
      </w:r>
      <w:r>
        <w:rPr>
          <w:rFonts w:ascii="Times New Roman" w:cs="Times New Roman" w:eastAsia="Times New Roman" w:hAnsi="Times New Roman"/>
          <w:sz w:val="22"/>
          <w:szCs w:val="22"/>
          <w:color w:val="auto"/>
        </w:rPr>
        <w:t>”) for a given Collaboration Target by delivering to Kymera written notice of such exercise (each such notice, the “</w:t>
      </w:r>
      <w:r>
        <w:rPr>
          <w:rFonts w:ascii="Times New Roman" w:cs="Times New Roman" w:eastAsia="Times New Roman" w:hAnsi="Times New Roman"/>
          <w:sz w:val="22"/>
          <w:szCs w:val="22"/>
          <w:b w:val="1"/>
          <w:bCs w:val="1"/>
          <w:color w:val="auto"/>
        </w:rPr>
        <w:t>Sanofi Participation Election Right Exercise Notice</w:t>
      </w:r>
      <w:r>
        <w:rPr>
          <w:rFonts w:ascii="Times New Roman" w:cs="Times New Roman" w:eastAsia="Times New Roman" w:hAnsi="Times New Roman"/>
          <w:sz w:val="22"/>
          <w:szCs w:val="22"/>
          <w:color w:val="auto"/>
        </w:rPr>
        <w:t>”) within [***] after either the date of delivery of the Participation Data Package with respect to such Collaboration Target or the date of the Phase 2 Trigger Point, as applicable (the end of such [***] period, the “</w:t>
      </w:r>
      <w:r>
        <w:rPr>
          <w:rFonts w:ascii="Times New Roman" w:cs="Times New Roman" w:eastAsia="Times New Roman" w:hAnsi="Times New Roman"/>
          <w:sz w:val="22"/>
          <w:szCs w:val="22"/>
          <w:b w:val="1"/>
          <w:bCs w:val="1"/>
          <w:color w:val="auto"/>
        </w:rPr>
        <w:t>Sanofi Participation Election Deadline</w:t>
      </w:r>
      <w:r>
        <w:rPr>
          <w:rFonts w:ascii="Times New Roman" w:cs="Times New Roman" w:eastAsia="Times New Roman" w:hAnsi="Times New Roman"/>
          <w:sz w:val="22"/>
          <w:szCs w:val="22"/>
          <w:color w:val="auto"/>
        </w:rPr>
        <w:t>”). If Sanofi provides the Sanofi Participation Election Right Exercise Notice prior to the Sanofi Participation Election Deadline with respect to such Collaboration Target, then the date of receipt of such Sanofi Participation Election Right Exercise Notice will be the “</w:t>
      </w:r>
      <w:r>
        <w:rPr>
          <w:rFonts w:ascii="Times New Roman" w:cs="Times New Roman" w:eastAsia="Times New Roman" w:hAnsi="Times New Roman"/>
          <w:sz w:val="22"/>
          <w:szCs w:val="22"/>
          <w:b w:val="1"/>
          <w:bCs w:val="1"/>
          <w:color w:val="auto"/>
        </w:rPr>
        <w:t>Sanofi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Participation Election Effective Date</w:t>
      </w:r>
      <w:r>
        <w:rPr>
          <w:rFonts w:ascii="Times New Roman" w:cs="Times New Roman" w:eastAsia="Times New Roman" w:hAnsi="Times New Roman"/>
          <w:sz w:val="22"/>
          <w:szCs w:val="22"/>
          <w:color w:val="auto"/>
        </w:rPr>
        <w:t>” with respect to such Collaboration Target.</w:t>
      </w:r>
    </w:p>
    <w:p>
      <w:pPr>
        <w:spacing w:after="0" w:line="17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u w:val="single" w:color="auto"/>
          <w:color w:val="auto"/>
        </w:rPr>
        <w:t>No Participation Election Right Exercise</w:t>
      </w:r>
      <w:r>
        <w:rPr>
          <w:rFonts w:ascii="Times New Roman" w:cs="Times New Roman" w:eastAsia="Times New Roman" w:hAnsi="Times New Roman"/>
          <w:sz w:val="22"/>
          <w:szCs w:val="22"/>
          <w:color w:val="auto"/>
        </w:rPr>
        <w:t xml:space="preserve">. On a Collaboration Target-by-Collaboration Target basis, if Sanofi declines to exercise its Sanofi Participation Election Right or fails to provide a Sanofi Participation Election Right Exercise Notice in accordance with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with respect to a Collaboration Target, in each case, prior to the Sanofi Participation Election Deadline for such Sanofi Participation Election Right, then (a) the Sanofi Participation Election Right will expire and be of no further force or effect with respect to such Collaboration Target, (b) such Collaboration Target will no longer be a Collaboration Target and this Agreement will automatically terminate with respect to such Collaboration Target in accordance with </w:t>
      </w:r>
      <w:r>
        <w:rPr>
          <w:rFonts w:ascii="Times New Roman" w:cs="Times New Roman" w:eastAsia="Times New Roman" w:hAnsi="Times New Roman"/>
          <w:sz w:val="22"/>
          <w:szCs w:val="22"/>
          <w:u w:val="single" w:color="auto"/>
          <w:color w:val="auto"/>
        </w:rPr>
        <w:t>Section 15.2.1</w:t>
      </w:r>
      <w:r>
        <w:rPr>
          <w:rFonts w:ascii="Times New Roman" w:cs="Times New Roman" w:eastAsia="Times New Roman" w:hAnsi="Times New Roman"/>
          <w:sz w:val="22"/>
          <w:szCs w:val="22"/>
          <w:color w:val="auto"/>
        </w:rPr>
        <w:t xml:space="preserve"> with such Collaboration Target becoming a Terminated Target, and (c) except as set forth in </w:t>
      </w:r>
      <w:r>
        <w:rPr>
          <w:rFonts w:ascii="Times New Roman" w:cs="Times New Roman" w:eastAsia="Times New Roman" w:hAnsi="Times New Roman"/>
          <w:sz w:val="22"/>
          <w:szCs w:val="22"/>
          <w:u w:val="single" w:color="auto"/>
          <w:color w:val="auto"/>
        </w:rPr>
        <w:t>Section 5.6.7</w:t>
      </w:r>
      <w:r>
        <w:rPr>
          <w:rFonts w:ascii="Times New Roman" w:cs="Times New Roman" w:eastAsia="Times New Roman" w:hAnsi="Times New Roman"/>
          <w:sz w:val="22"/>
          <w:szCs w:val="22"/>
          <w:color w:val="auto"/>
        </w:rPr>
        <w:t>, Kymera will retain all right, title and interest in and to such Collaboration Target, including with respect to all Collaboration Compounds, Collaboration Candidates and Licensed Products Directed Against such Collaboration Target. For the avoidance of doubt, [***].</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DEVELOPMENT AFTER SANOFI PARTICIPATION ELECTION</w:t>
      </w:r>
    </w:p>
    <w:p>
      <w:pPr>
        <w:spacing w:after="0" w:line="17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b w:val="1"/>
          <w:bCs w:val="1"/>
          <w:u w:val="single" w:color="auto"/>
          <w:color w:val="auto"/>
        </w:rPr>
        <w:t>Generally</w:t>
      </w:r>
      <w:r>
        <w:rPr>
          <w:rFonts w:ascii="Times New Roman" w:cs="Times New Roman" w:eastAsia="Times New Roman" w:hAnsi="Times New Roman"/>
          <w:sz w:val="21"/>
          <w:szCs w:val="21"/>
          <w:color w:val="auto"/>
        </w:rPr>
        <w:t xml:space="preserve">. On a Collaboration Target-by-Collaboration Target basis, during the Sanofi Participation Term (if any) with respect to a Collaboration Target and subject to Kymera’s obligations under </w:t>
      </w:r>
      <w:r>
        <w:rPr>
          <w:rFonts w:ascii="Times New Roman" w:cs="Times New Roman" w:eastAsia="Times New Roman" w:hAnsi="Times New Roman"/>
          <w:sz w:val="21"/>
          <w:szCs w:val="21"/>
          <w:u w:val="single" w:color="auto"/>
          <w:color w:val="auto"/>
        </w:rPr>
        <w:t>Sections 2.4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5.2</w:t>
      </w:r>
      <w:r>
        <w:rPr>
          <w:rFonts w:ascii="Times New Roman" w:cs="Times New Roman" w:eastAsia="Times New Roman" w:hAnsi="Times New Roman"/>
          <w:sz w:val="21"/>
          <w:szCs w:val="21"/>
          <w:color w:val="auto"/>
        </w:rPr>
        <w:t xml:space="preserve"> and the Kymera Opt-In Right, Sanofi will be solely responsible for all further Research and Development of Collaboration Candidates and Licensed Products (but not, for clarity, Excluded Compounds) Directed Against such Collaboration Target in the Field (but not, for clarity, in the Excluded Field) in the Territory in accordance with the terms and conditions of this Agreement. For clarity, [***].</w:t>
      </w:r>
    </w:p>
    <w:p>
      <w:pPr>
        <w:spacing w:after="0" w:line="200" w:lineRule="exact"/>
        <w:rPr>
          <w:sz w:val="20"/>
          <w:szCs w:val="20"/>
          <w:color w:val="auto"/>
        </w:rPr>
      </w:pPr>
    </w:p>
    <w:p>
      <w:pPr>
        <w:spacing w:after="0" w:line="3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17" w:name="page218"/>
    <w:bookmarkEnd w:id="217"/>
    <w:p>
      <w:pPr>
        <w:ind w:left="91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u w:val="single" w:color="auto"/>
          <w:color w:val="auto"/>
        </w:rPr>
        <w:t>Transfer</w:t>
      </w:r>
      <w:r>
        <w:rPr>
          <w:rFonts w:ascii="Times New Roman" w:cs="Times New Roman" w:eastAsia="Times New Roman" w:hAnsi="Times New Roman"/>
          <w:sz w:val="22"/>
          <w:szCs w:val="22"/>
          <w:color w:val="auto"/>
        </w:rPr>
        <w:t xml:space="preserve">. To the extent not already completed pursuant to </w:t>
      </w:r>
      <w:r>
        <w:rPr>
          <w:rFonts w:ascii="Times New Roman" w:cs="Times New Roman" w:eastAsia="Times New Roman" w:hAnsi="Times New Roman"/>
          <w:sz w:val="22"/>
          <w:szCs w:val="22"/>
          <w:u w:val="single" w:color="auto"/>
          <w:color w:val="auto"/>
        </w:rPr>
        <w:t>Section 3.7.2</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5.2.1 On a Collaboration Target-by-Collaboration Target basis, Kymera will promptly (but no later than [***]) following the Sanofi Participation Election Effective Date with respect to a Collaboration Target (if any), transfer to Sanofi or its designated Affiliate a copy of all Licensed Know-How and Regulatory Filings (if applicable) related to Collaboration Candidates and Licensed Products Directed Against such Collaboration Target in its possession or control as of such Sanofi Participation Election Effective Date, including any documentation (whether held in paper or electronic format) or similar removable media (including e-mails, documents, spreadsheets, copies of standard operating procedures or technical specifications);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documentation transferred electronically will be in an electronic format reasonably acceptable to Sanofi.</w:t>
      </w:r>
    </w:p>
    <w:p>
      <w:pPr>
        <w:spacing w:after="0" w:line="17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5.2.2 During the Sanofi Participation Term (if any), on a Collaboration Target-by-Collaboration Target basis, (a) Kymera shall disclose to Sanofi on a [***] basis any Licensed Know-How created, generated, invented or developed by or on behalf of Kymera under this Agreement and not previously transferred to Sanofi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5.2.1</w:t>
      </w:r>
      <w:r>
        <w:rPr>
          <w:rFonts w:ascii="Times New Roman" w:cs="Times New Roman" w:eastAsia="Times New Roman" w:hAnsi="Times New Roman"/>
          <w:sz w:val="22"/>
          <w:szCs w:val="22"/>
          <w:color w:val="auto"/>
        </w:rPr>
        <w:t xml:space="preserve">, and (b) in the event that Sanofi or Kymera reasonably believes additional Licensed Know-How is necessary for the continued Research, Development or Commercialization of the Collaboration Candidates or Licensed Products Directed Against such Collaboration Target, Sanofi may reasonably request a copy of such additional Licensed Know-How from Kymera. Sanofi and Kymera will discuss in good faith and Kymera will transfer to Sanofi a copy of such additional Licensed Know-How in Kymera’s possession or control, including any documentation (whether held in paper or electronic format) or similar removable media (including e-mails, documents, spreadsheets, copies of standard operating procedures or technical specifications), following mutual agreement by the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documentation transferred electronically will be in an electronic format reasonably acceptable to Sanofi.</w:t>
      </w:r>
    </w:p>
    <w:p>
      <w:pPr>
        <w:spacing w:after="0" w:line="18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5.2.3 To assist with the transfer of Licensed Know-How (excluding CMC) under this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and Sanofi’s exploitation thereof in accordance with the terms of this Agreement, for [***] after the Sanofi Participation Election Effective Date with respect to a Collaboration Target (if any), Kymera will make its personnel reasonably available to Sanofi during normal business hours to transfer such Licensed Know-How to Sanofi and respond to Sanofi’s reasonable inquiries with respect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Kymera fails to timely and fully complete the technology transfer set forth in </w:t>
      </w:r>
      <w:r>
        <w:rPr>
          <w:rFonts w:ascii="Times New Roman" w:cs="Times New Roman" w:eastAsia="Times New Roman" w:hAnsi="Times New Roman"/>
          <w:sz w:val="21"/>
          <w:szCs w:val="21"/>
          <w:u w:val="single" w:color="auto"/>
          <w:color w:val="auto"/>
        </w:rPr>
        <w:t>Section 5.2.1</w:t>
      </w:r>
      <w:r>
        <w:rPr>
          <w:rFonts w:ascii="Times New Roman" w:cs="Times New Roman" w:eastAsia="Times New Roman" w:hAnsi="Times New Roman"/>
          <w:sz w:val="21"/>
          <w:szCs w:val="21"/>
          <w:color w:val="auto"/>
        </w:rPr>
        <w:t xml:space="preserve">, the JRDC will agree on a reasonable extension of time during which Kymera will make its personnel reasonably available. Following such [***] period with respect to such Collaboration Target (as it may be extended by the JRDC), upon Sanofi’s request, Kymera will make up to [***] of its personnel that worked on the applicable Collaboration Target reasonably available to Sanofi during normal business hours at a mutually agreeable date and time to transfer such Licensed Know-How (excluding CMC) to Sanofi and respond to Sanofi’s reasonable inquiries with respect thereto,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following such period with respect to a Collaboration Target, such assistance with respect to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Collaboration Target will not exceed [***] of time provided by Kymera employees unless otherwise agreed by Kymera. All assistance provided pursuant to this </w:t>
      </w:r>
      <w:r>
        <w:rPr>
          <w:rFonts w:ascii="Times New Roman" w:cs="Times New Roman" w:eastAsia="Times New Roman" w:hAnsi="Times New Roman"/>
          <w:sz w:val="21"/>
          <w:szCs w:val="21"/>
          <w:u w:val="single" w:color="auto"/>
          <w:color w:val="auto"/>
        </w:rPr>
        <w:t>Section 5.2.3</w:t>
      </w:r>
      <w:r>
        <w:rPr>
          <w:rFonts w:ascii="Times New Roman" w:cs="Times New Roman" w:eastAsia="Times New Roman" w:hAnsi="Times New Roman"/>
          <w:sz w:val="21"/>
          <w:szCs w:val="21"/>
          <w:color w:val="auto"/>
        </w:rPr>
        <w:t xml:space="preserve"> will be at [***] sole cost and expense;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t>
      </w:r>
    </w:p>
    <w:p>
      <w:pPr>
        <w:spacing w:after="0" w:line="200" w:lineRule="exact"/>
        <w:rPr>
          <w:sz w:val="20"/>
          <w:szCs w:val="20"/>
          <w:color w:val="auto"/>
        </w:rPr>
      </w:pPr>
    </w:p>
    <w:p>
      <w:pPr>
        <w:spacing w:after="0" w:line="38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5.2.4</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480" w:firstLine="1497"/>
        <w:spacing w:after="0" w:line="235" w:lineRule="auto"/>
        <w:rPr>
          <w:sz w:val="20"/>
          <w:szCs w:val="20"/>
          <w:color w:val="auto"/>
        </w:rPr>
      </w:pPr>
      <w:r>
        <w:rPr>
          <w:rFonts w:ascii="Times New Roman" w:cs="Times New Roman" w:eastAsia="Times New Roman" w:hAnsi="Times New Roman"/>
          <w:sz w:val="22"/>
          <w:szCs w:val="22"/>
          <w:color w:val="auto"/>
        </w:rPr>
        <w:t>5.2.5 On a Collaboration Target-by-Collaboration Target basis, at Sanofi’s reasonable request following the Sanofi Participation Election Effective Date with respect to a Collaboration Target (if any), Kymera will use Commercially Reasonable Efforts to facilitate the establishment of a business relationship between Sanofi and any Approved Third Party Contractor that Kymera has engaged in the Research or Development activities of Collaboration Candidates or Licensed Products Directed Against the applicable Collaboration Target, including by facilitating introductions with such Approved Third Party Contractors, and use Commercially Reasonable Efforts to assign to Sanofi any agreements with any such Approved Third Party Contractor that are exclusively related to such Collaboration Target in the Field.</w:t>
      </w:r>
    </w:p>
    <w:p>
      <w:pPr>
        <w:spacing w:after="0" w:line="178" w:lineRule="exact"/>
        <w:rPr>
          <w:sz w:val="20"/>
          <w:szCs w:val="20"/>
          <w:color w:val="auto"/>
        </w:rPr>
      </w:pPr>
    </w:p>
    <w:p>
      <w:pPr>
        <w:ind w:left="480" w:right="40" w:firstLine="1497"/>
        <w:spacing w:after="0" w:line="258" w:lineRule="auto"/>
        <w:rPr>
          <w:sz w:val="20"/>
          <w:szCs w:val="20"/>
          <w:color w:val="auto"/>
        </w:rPr>
      </w:pPr>
      <w:r>
        <w:rPr>
          <w:rFonts w:ascii="Times New Roman" w:cs="Times New Roman" w:eastAsia="Times New Roman" w:hAnsi="Times New Roman"/>
          <w:sz w:val="22"/>
          <w:szCs w:val="22"/>
          <w:color w:val="auto"/>
        </w:rPr>
        <w:t>5.2.6 On a Collaboration Target-by-Collaboration Target basis, if the Sanofi Participation Election Right was triggered by a Trigger End Date for such Collaboration Target, the following additional provisions will apply:</w:t>
      </w:r>
    </w:p>
    <w:p>
      <w:pPr>
        <w:spacing w:after="0" w:line="158" w:lineRule="exact"/>
        <w:rPr>
          <w:sz w:val="20"/>
          <w:szCs w:val="20"/>
          <w:color w:val="auto"/>
        </w:rPr>
      </w:pPr>
    </w:p>
    <w:p>
      <w:pPr>
        <w:jc w:val="both"/>
        <w:ind w:firstLine="2254"/>
        <w:spacing w:after="0" w:line="239" w:lineRule="auto"/>
        <w:tabs>
          <w:tab w:leader="none" w:pos="267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Kymera is performing ongoing Research activities under the relevant Research Plan, then Kymera will, at Sanofi’s election, either (i) complete those Research activities remaining under the relevant Research Plan at Sanofi’s expense, or (ii) transfer such activities to Sanofi, which such transfer will include any support necessary for Sanofi to complete the remainder of such activities without unnecessary delay in timelines or unnecessary incremental expense.</w:t>
      </w:r>
    </w:p>
    <w:p>
      <w:pPr>
        <w:spacing w:after="0" w:line="180"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Kymera is performing ongoing Development activities under the Early Development Plan, then Kymera will (i) with respect to Clinical Trials, complete those Clinical Trials ongoing as of the Sanofi Participation Election Effective Date at Sanofi’s expense, and (ii) with respect to Pre-Clinical Development activities, (A) if such activities can be completed within [***] after the Sanofi Participation Election Effective Date, complete such activities, or (B) if such activities cannot be completed within [***] after the Sanofi Participation Election Effective Date, transfer such activities to Sanofi, which transfer will include any transfer support necessary for Sanofi to complete the remainder of the Early Development Plan without unnecessary delay in timelines or unnecessary incremental expense.</w:t>
      </w:r>
    </w:p>
    <w:p>
      <w:pPr>
        <w:spacing w:after="0" w:line="183"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Sanofi will reimburse Kymera for all reasonable and documented [***] incurred by or on behalf of Kymera or its Affiliates in the performance of its obligations in this </w:t>
      </w:r>
      <w:r>
        <w:rPr>
          <w:rFonts w:ascii="Times New Roman" w:cs="Times New Roman" w:eastAsia="Times New Roman" w:hAnsi="Times New Roman"/>
          <w:sz w:val="22"/>
          <w:szCs w:val="22"/>
          <w:u w:val="single" w:color="auto"/>
          <w:color w:val="auto"/>
        </w:rPr>
        <w:t>Section 5.2.6</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u w:val="single" w:color="auto"/>
          <w:color w:val="auto"/>
        </w:rPr>
        <w:t>Late Development Plan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5.3.1 During the Sanofi Participation Term (if any), on a Collaboration Target-by-Collaboration Target basis, Sanofi will Research and Develop Collaboration Candidates and Licensed Products Directed Against such Collaboration Target in the Field in the Territory in accordance with a written plan (the “</w:t>
      </w:r>
      <w:r>
        <w:rPr>
          <w:rFonts w:ascii="Times New Roman" w:cs="Times New Roman" w:eastAsia="Times New Roman" w:hAnsi="Times New Roman"/>
          <w:sz w:val="22"/>
          <w:szCs w:val="22"/>
          <w:b w:val="1"/>
          <w:bCs w:val="1"/>
          <w:color w:val="auto"/>
        </w:rPr>
        <w:t>Late Development Plan</w:t>
      </w:r>
      <w:r>
        <w:rPr>
          <w:rFonts w:ascii="Times New Roman" w:cs="Times New Roman" w:eastAsia="Times New Roman" w:hAnsi="Times New Roman"/>
          <w:sz w:val="22"/>
          <w:szCs w:val="22"/>
          <w:color w:val="auto"/>
        </w:rPr>
        <w:t xml:space="preserve">”) that [***]. An initial draft of the Late Development Plan is attached as </w:t>
      </w:r>
      <w:r>
        <w:rPr>
          <w:rFonts w:ascii="Times New Roman" w:cs="Times New Roman" w:eastAsia="Times New Roman" w:hAnsi="Times New Roman"/>
          <w:sz w:val="22"/>
          <w:szCs w:val="22"/>
          <w:u w:val="single" w:color="auto"/>
          <w:color w:val="auto"/>
        </w:rPr>
        <w:t>Schedule 5.3.1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480" w:right="60" w:firstLine="1497"/>
        <w:spacing w:after="0" w:line="258" w:lineRule="auto"/>
        <w:rPr>
          <w:sz w:val="20"/>
          <w:szCs w:val="20"/>
          <w:color w:val="auto"/>
        </w:rPr>
      </w:pPr>
      <w:r>
        <w:rPr>
          <w:rFonts w:ascii="Times New Roman" w:cs="Times New Roman" w:eastAsia="Times New Roman" w:hAnsi="Times New Roman"/>
          <w:sz w:val="22"/>
          <w:szCs w:val="22"/>
          <w:color w:val="auto"/>
        </w:rPr>
        <w:t>5.3.2 Sanofi will promptly (but no later than [***]) following the Sanofi Participation Election Effective Date with respect to a Collaboration Target (if any) prepare,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19" w:name="page220"/>
    <w:bookmarkEnd w:id="219"/>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480"/>
        <w:spacing w:after="0" w:line="258" w:lineRule="auto"/>
        <w:rPr>
          <w:sz w:val="20"/>
          <w:szCs w:val="20"/>
          <w:color w:val="auto"/>
        </w:rPr>
      </w:pPr>
      <w:r>
        <w:rPr>
          <w:rFonts w:ascii="Times New Roman" w:cs="Times New Roman" w:eastAsia="Times New Roman" w:hAnsi="Times New Roman"/>
          <w:sz w:val="22"/>
          <w:szCs w:val="22"/>
          <w:color w:val="auto"/>
        </w:rPr>
        <w:t xml:space="preserve">in consultation with Kymera through the JSC, an updated Late Development Plan for JSC review and approval in accordance with </w:t>
      </w:r>
      <w:r>
        <w:rPr>
          <w:rFonts w:ascii="Times New Roman" w:cs="Times New Roman" w:eastAsia="Times New Roman" w:hAnsi="Times New Roman"/>
          <w:sz w:val="22"/>
          <w:szCs w:val="22"/>
          <w:u w:val="single" w:color="auto"/>
          <w:color w:val="auto"/>
        </w:rPr>
        <w:t>Section 5.3.3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5.3.3</w:t>
      </w:r>
      <w:r>
        <w:rPr>
          <w:sz w:val="20"/>
          <w:szCs w:val="20"/>
          <w:color w:val="auto"/>
        </w:rPr>
        <w:tab/>
      </w:r>
      <w:r>
        <w:rPr>
          <w:rFonts w:ascii="Times New Roman" w:cs="Times New Roman" w:eastAsia="Times New Roman" w:hAnsi="Times New Roman"/>
          <w:sz w:val="21"/>
          <w:szCs w:val="21"/>
          <w:color w:val="auto"/>
        </w:rPr>
        <w:t>During the Opt-In Period, on a Collaboration Target-by-Collaboration Target basis:</w:t>
      </w:r>
    </w:p>
    <w:p>
      <w:pPr>
        <w:spacing w:after="0" w:line="206" w:lineRule="exact"/>
        <w:rPr>
          <w:sz w:val="20"/>
          <w:szCs w:val="20"/>
          <w:color w:val="auto"/>
        </w:rPr>
      </w:pPr>
    </w:p>
    <w:p>
      <w:pPr>
        <w:jc w:val="both"/>
        <w:ind w:firstLine="2254"/>
        <w:spacing w:after="0" w:line="233" w:lineRule="auto"/>
        <w:tabs>
          <w:tab w:leader="none" w:pos="26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Late Development Plan will contain a plan for Development activities to be undertaken by the Parties until [***] (the “</w:t>
      </w:r>
      <w:r>
        <w:rPr>
          <w:rFonts w:ascii="Times New Roman" w:cs="Times New Roman" w:eastAsia="Times New Roman" w:hAnsi="Times New Roman"/>
          <w:sz w:val="22"/>
          <w:szCs w:val="22"/>
          <w:b w:val="1"/>
          <w:bCs w:val="1"/>
          <w:color w:val="auto"/>
        </w:rPr>
        <w:t>U.S. Development Activities</w:t>
      </w:r>
      <w:r>
        <w:rPr>
          <w:rFonts w:ascii="Times New Roman" w:cs="Times New Roman" w:eastAsia="Times New Roman" w:hAnsi="Times New Roman"/>
          <w:sz w:val="22"/>
          <w:szCs w:val="22"/>
          <w:color w:val="auto"/>
        </w:rPr>
        <w:t>”), which plan will include an anticipated [***] budget of U.S. Development Costs for all activities conducted by the Parties in connection therewith (the “</w:t>
      </w:r>
      <w:r>
        <w:rPr>
          <w:rFonts w:ascii="Times New Roman" w:cs="Times New Roman" w:eastAsia="Times New Roman" w:hAnsi="Times New Roman"/>
          <w:sz w:val="22"/>
          <w:szCs w:val="22"/>
          <w:b w:val="1"/>
          <w:bCs w:val="1"/>
          <w:color w:val="auto"/>
        </w:rPr>
        <w:t>U.S. Development Budget</w:t>
      </w:r>
      <w:r>
        <w:rPr>
          <w:rFonts w:ascii="Times New Roman" w:cs="Times New Roman" w:eastAsia="Times New Roman" w:hAnsi="Times New Roman"/>
          <w:sz w:val="22"/>
          <w:szCs w:val="22"/>
          <w:color w:val="auto"/>
        </w:rPr>
        <w:t>”). On or before [***] during the Opt-In Period, Sanofi will provide to the JSC the then-current Late Development Plan (if any) for the Opt-In Products Directed Against such Collaboration Target, which will include a rolling [***] year U.S. Development Budget. The [***] of the initial U.S. Development Budget will be binding, and [***] of the U.S. Development Budget will be binding only to the extent that Sanofi provides such budget to Kymera after it has completed all necessary internal approvals, otherwise such [***] in such initial U.S. Development Budget will be non-binding. Subsequent Calendar Years of the U.S. Development Budget will be non-binding. The U.S. Development Budget, and each update thereto, will be prepared by the Parties based on each Party’s good faith estimation, consistent with its standard internal practices, of the probable Development activities to be conducted during the relevant U.S. Development Budget period for the United States, and based on and consistent with the documents and information related to the Licensed Products prepared by such Party for its internal use and reference in the budgeting process. Upon request by a Party, the JSC will discuss the appropriate level of detail to include in the U.S. Development Budget for the applicable Development activities to be performed during the period covered by such U.S. Development Budget.</w:t>
      </w:r>
    </w:p>
    <w:p>
      <w:pPr>
        <w:spacing w:after="0" w:line="177"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will (i) review the Late Development Plan at least annually during the period covered by such Late Development Plan for the purpose of considering appropriate amendments thereto to be proposed to the JSC and (ii) then no later than [***] of the then-current Calendar Year beginning with the first full Calendar Year of the Late Development Plan, provide the JSC with a proposed updated Late Development Plan for the JSC’s review and discussion.</w:t>
      </w:r>
    </w:p>
    <w:p>
      <w:pPr>
        <w:spacing w:after="0" w:line="180"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Annual updates to the U.S. Development Budget will contain a proposed U.S. Development Budget covering [***], in accordance with the requirements set forth in this </w:t>
      </w:r>
      <w:r>
        <w:rPr>
          <w:rFonts w:ascii="Times New Roman" w:cs="Times New Roman" w:eastAsia="Times New Roman" w:hAnsi="Times New Roman"/>
          <w:sz w:val="22"/>
          <w:szCs w:val="22"/>
          <w:u w:val="single" w:color="auto"/>
          <w:color w:val="auto"/>
        </w:rPr>
        <w:t>Section 5.3.3</w:t>
      </w:r>
      <w:r>
        <w:rPr>
          <w:rFonts w:ascii="Times New Roman" w:cs="Times New Roman" w:eastAsia="Times New Roman" w:hAnsi="Times New Roman"/>
          <w:sz w:val="22"/>
          <w:szCs w:val="22"/>
          <w:color w:val="auto"/>
        </w:rPr>
        <w:t>. The annual updates to the U.S. Development Budget for the United States will further contain any proposed Development activities that were not previously included as Development activities in the then-current Late Development Plan (including any new Indications).</w:t>
      </w:r>
    </w:p>
    <w:p>
      <w:pPr>
        <w:spacing w:after="0" w:line="180"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annual updates, either Party, through its representatives on the JSC, may propose amendments to any Late Development Plan at any time until such time as no further Development activities are occurring or expected to occur under such Late Development Plan, including amendments to add Development activities to such Late Development Plan (including new Indications). In addition, at least [***], Sanofi will prepare an updated Late Development Plan (including an updated U.S. Development Budget) for JSC review in accordance with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firstLine="2254"/>
        <w:spacing w:after="0" w:line="258" w:lineRule="auto"/>
        <w:tabs>
          <w:tab w:leader="none" w:pos="267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9.9.2(b)(ii)</w:t>
      </w:r>
      <w:r>
        <w:rPr>
          <w:rFonts w:ascii="Times New Roman" w:cs="Times New Roman" w:eastAsia="Times New Roman" w:hAnsi="Times New Roman"/>
          <w:sz w:val="22"/>
          <w:szCs w:val="22"/>
          <w:color w:val="auto"/>
        </w:rPr>
        <w:t>, during the applicable Opt-In Period, no annual update or material amendment to the Late Development Plan will be effective unless and until approved by the JSC.</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9.9.2(b)(ii)</w:t>
      </w:r>
      <w:r>
        <w:rPr>
          <w:rFonts w:ascii="Times New Roman" w:cs="Times New Roman" w:eastAsia="Times New Roman" w:hAnsi="Times New Roman"/>
          <w:sz w:val="22"/>
          <w:szCs w:val="22"/>
          <w:color w:val="auto"/>
        </w:rPr>
        <w:t xml:space="preserve">, during the applicable Opt-In Period, any additional amendments to the Late Development Plan will be subject to JSC approval in accordance with </w:t>
      </w:r>
      <w:r>
        <w:rPr>
          <w:rFonts w:ascii="Times New Roman" w:cs="Times New Roman" w:eastAsia="Times New Roman" w:hAnsi="Times New Roman"/>
          <w:sz w:val="22"/>
          <w:szCs w:val="22"/>
          <w:u w:val="single" w:color="auto"/>
          <w:color w:val="auto"/>
        </w:rPr>
        <w:t>Sections 5.3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9.1.2</w:t>
      </w:r>
      <w:r>
        <w:rPr>
          <w:rFonts w:ascii="Times New Roman" w:cs="Times New Roman" w:eastAsia="Times New Roman" w:hAnsi="Times New Roman"/>
          <w:sz w:val="22"/>
          <w:szCs w:val="22"/>
          <w:color w:val="auto"/>
        </w:rPr>
        <w:t>. In the event of any inconsistency between the Late Development Plan and this Agreement, the terms of this Agreement will prevail.</w:t>
      </w:r>
    </w:p>
    <w:p>
      <w:pPr>
        <w:spacing w:after="0" w:line="169" w:lineRule="exact"/>
        <w:rPr>
          <w:sz w:val="20"/>
          <w:szCs w:val="20"/>
          <w:color w:val="auto"/>
        </w:rPr>
      </w:pPr>
    </w:p>
    <w:p>
      <w:pPr>
        <w:jc w:val="both"/>
        <w:ind w:left="80" w:firstLine="749"/>
        <w:spacing w:after="0" w:line="24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u w:val="single" w:color="auto"/>
          <w:color w:val="auto"/>
        </w:rPr>
        <w:t>Diligence</w:t>
      </w:r>
      <w:r>
        <w:rPr>
          <w:rFonts w:ascii="Times New Roman" w:cs="Times New Roman" w:eastAsia="Times New Roman" w:hAnsi="Times New Roman"/>
          <w:sz w:val="22"/>
          <w:szCs w:val="22"/>
          <w:color w:val="auto"/>
        </w:rPr>
        <w:t>. On a Collaboration Target-by-Collaboration Target basis, during the Sanofi Participation Term, Sanofi will (a) [***], and (b) use Commercially Reasonable Efforts to (i) Develop and (ii) seek Marketing Approval for, in each case ((i)-(ii)), at least one (1) Licensed Product Directed Against such Collaboration Target in at least one (1) Indication in the Field in [***].</w:t>
      </w:r>
    </w:p>
    <w:p>
      <w:pPr>
        <w:spacing w:after="0" w:line="1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b w:val="1"/>
          <w:bCs w:val="1"/>
          <w:u w:val="single" w:color="auto"/>
          <w:color w:val="auto"/>
        </w:rPr>
        <w:t>Backup Degraders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5.5.1 If, [***], Kymera will, upon Sanofi’s written request [***], perform additional Research activities, including to identify and synthesize Backup Degraders (“</w:t>
      </w:r>
      <w:r>
        <w:rPr>
          <w:rFonts w:ascii="Times New Roman" w:cs="Times New Roman" w:eastAsia="Times New Roman" w:hAnsi="Times New Roman"/>
          <w:sz w:val="22"/>
          <w:szCs w:val="22"/>
          <w:b w:val="1"/>
          <w:bCs w:val="1"/>
          <w:color w:val="auto"/>
        </w:rPr>
        <w:t>Backup Research</w:t>
      </w:r>
      <w:r>
        <w:rPr>
          <w:rFonts w:ascii="Times New Roman" w:cs="Times New Roman" w:eastAsia="Times New Roman" w:hAnsi="Times New Roman"/>
          <w:sz w:val="22"/>
          <w:szCs w:val="22"/>
          <w:color w:val="auto"/>
        </w:rPr>
        <w:t xml:space="preserve">”),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Sanofi will not have a right to request such Backup Research with respect to a Collaboration Target after the first Marketing Approval of a Licensed Product Directed Against such Collaboration Target.</w:t>
      </w:r>
    </w:p>
    <w:p>
      <w:pPr>
        <w:spacing w:after="0" w:line="180" w:lineRule="exact"/>
        <w:rPr>
          <w:sz w:val="20"/>
          <w:szCs w:val="20"/>
          <w:color w:val="auto"/>
        </w:rPr>
      </w:pPr>
    </w:p>
    <w:p>
      <w:pPr>
        <w:jc w:val="both"/>
        <w:ind w:left="480" w:firstLine="1497"/>
        <w:spacing w:after="0" w:line="248" w:lineRule="auto"/>
        <w:rPr>
          <w:sz w:val="20"/>
          <w:szCs w:val="20"/>
          <w:color w:val="auto"/>
        </w:rPr>
      </w:pPr>
      <w:r>
        <w:rPr>
          <w:rFonts w:ascii="Times New Roman" w:cs="Times New Roman" w:eastAsia="Times New Roman" w:hAnsi="Times New Roman"/>
          <w:sz w:val="21"/>
          <w:szCs w:val="21"/>
          <w:color w:val="auto"/>
        </w:rPr>
        <w:t>5.5.2 Prior to Kymera commencing any Backup Research for such Collaboration Target, Kymera will notify Sanofi of any Reversion Compounds which are subject to any Pre-Existing Restrictions, and the Parties will mutually agree (such agreement not to be unreasonably withheld, conditioned or delayed) upon a reasonable written plan for such Backup Research (the “</w:t>
      </w:r>
      <w:r>
        <w:rPr>
          <w:rFonts w:ascii="Times New Roman" w:cs="Times New Roman" w:eastAsia="Times New Roman" w:hAnsi="Times New Roman"/>
          <w:sz w:val="21"/>
          <w:szCs w:val="21"/>
          <w:b w:val="1"/>
          <w:bCs w:val="1"/>
          <w:color w:val="auto"/>
        </w:rPr>
        <w:t>Backup Research Plan</w:t>
      </w:r>
      <w:r>
        <w:rPr>
          <w:rFonts w:ascii="Times New Roman" w:cs="Times New Roman" w:eastAsia="Times New Roman" w:hAnsi="Times New Roman"/>
          <w:sz w:val="21"/>
          <w:szCs w:val="21"/>
          <w:color w:val="auto"/>
        </w:rPr>
        <w:t>”), which will include [***] (the “</w:t>
      </w:r>
      <w:r>
        <w:rPr>
          <w:rFonts w:ascii="Times New Roman" w:cs="Times New Roman" w:eastAsia="Times New Roman" w:hAnsi="Times New Roman"/>
          <w:sz w:val="21"/>
          <w:szCs w:val="21"/>
          <w:b w:val="1"/>
          <w:bCs w:val="1"/>
          <w:color w:val="auto"/>
        </w:rPr>
        <w:t>Backup Research Budget</w:t>
      </w:r>
      <w:r>
        <w:rPr>
          <w:rFonts w:ascii="Times New Roman" w:cs="Times New Roman" w:eastAsia="Times New Roman" w:hAnsi="Times New Roman"/>
          <w:sz w:val="21"/>
          <w:szCs w:val="21"/>
          <w:color w:val="auto"/>
        </w:rPr>
        <w:t>”). Sanofi may only include in the Backup Research Plan any Reversion Compounds which are not subject to Pre-Existing Restrictions at the time the Backup Research Plan is prepared; thereafter, any such Reversion Compound will no longer be classified as a “Reversion Compound” and instead will be classified as a “Collaboration Compound” under the Backup Research Plan.</w:t>
      </w:r>
    </w:p>
    <w:p>
      <w:pPr>
        <w:spacing w:after="0" w:line="170" w:lineRule="exact"/>
        <w:rPr>
          <w:sz w:val="20"/>
          <w:szCs w:val="20"/>
          <w:color w:val="auto"/>
        </w:rPr>
      </w:pPr>
    </w:p>
    <w:p>
      <w:pPr>
        <w:jc w:val="both"/>
        <w:ind w:left="480" w:right="20" w:firstLine="1497"/>
        <w:spacing w:after="0" w:line="244" w:lineRule="auto"/>
        <w:rPr>
          <w:sz w:val="20"/>
          <w:szCs w:val="20"/>
          <w:color w:val="auto"/>
        </w:rPr>
      </w:pPr>
      <w:r>
        <w:rPr>
          <w:rFonts w:ascii="Times New Roman" w:cs="Times New Roman" w:eastAsia="Times New Roman" w:hAnsi="Times New Roman"/>
          <w:sz w:val="22"/>
          <w:szCs w:val="22"/>
          <w:color w:val="auto"/>
        </w:rPr>
        <w:t>5.5.3 During the Backup Research Term, either Party may, at any time, propose updates or amendments to any Backup Research Plan, which updates or amendments will only become effective by mutual agreement of the Parties.</w:t>
      </w:r>
    </w:p>
    <w:p>
      <w:pPr>
        <w:spacing w:after="0" w:line="173"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5.5.4 Following the Parties’ agreement on a Backup Research Plan, during the Backup Research Term, Kymera, directly or through its Affiliates or Subcontractors, will use diligent efforts to perform the Backup Research in accordance with such Backup Research Plan, in a professional and timely manner and in accordance with all Applicable Laws.</w:t>
      </w:r>
    </w:p>
    <w:p>
      <w:pPr>
        <w:spacing w:after="0" w:line="180" w:lineRule="exact"/>
        <w:rPr>
          <w:sz w:val="20"/>
          <w:szCs w:val="20"/>
          <w:color w:val="auto"/>
        </w:rPr>
      </w:pPr>
    </w:p>
    <w:p>
      <w:pPr>
        <w:jc w:val="both"/>
        <w:ind w:left="48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5.5.5 Sanofi will reimburse Kymera in accordance with </w:t>
      </w:r>
      <w:r>
        <w:rPr>
          <w:rFonts w:ascii="Times New Roman" w:cs="Times New Roman" w:eastAsia="Times New Roman" w:hAnsi="Times New Roman"/>
          <w:sz w:val="22"/>
          <w:szCs w:val="22"/>
          <w:u w:val="single" w:color="auto"/>
          <w:color w:val="auto"/>
        </w:rPr>
        <w:t>Section 11.6.3</w:t>
      </w:r>
      <w:r>
        <w:rPr>
          <w:rFonts w:ascii="Times New Roman" w:cs="Times New Roman" w:eastAsia="Times New Roman" w:hAnsi="Times New Roman"/>
          <w:sz w:val="22"/>
          <w:szCs w:val="22"/>
          <w:color w:val="auto"/>
        </w:rPr>
        <w:t xml:space="preserve"> for Kymera’s [***] actually incurred by or on behalf of Kymera or its Affiliates (a) during the Backup Research Term, (b) in accordance with the Backup Research Budget, and (c) in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connection with conducting Backup Research activities under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in accordance with the Backup Research Plan.</w:t>
      </w:r>
    </w:p>
    <w:p>
      <w:pPr>
        <w:spacing w:after="0" w:line="158"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5.5.6</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5.5.7 During the Backup Research Term, Kymera will use the screening assays in accordance with the procedures set forth in the Backup Research Plan to determine whether a given Degrader that is Researched under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satisfies the Screening Criteria or the Backup Degrader Criteria. All Degraders that meet the Screening Criteria during the Backup Research Term will be Collaboration Compounds under this Agreement, subject to the reversion rights set forth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Notwithstanding anything herein to the contrary, any Degraders that are Researched by or on behalf of Kymera under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that do not meet the Screening Criteria will be classified as Excluded Compounds, unless [***].</w:t>
      </w:r>
    </w:p>
    <w:p>
      <w:pPr>
        <w:spacing w:after="0" w:line="18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5.5.8 During the Backup Research Term, Kymera will furnish to the JRDC, within [***], an update on Kymera’s progress under the Backup Research Plan for the applicable Collaboration Target during the relevant Calendar Quarter, including a summary of any results and data generated by Kymera under such Backup Research Plan and an overview of the resources (including an overview of FTEs used by such Party for such Backup Research activities) allocated to activities under such Backup Research Plan during the relevant Calendar Quarter. Kymera will provide the JRDC with such other information, results and data with respect to the Backup Research activities under the Backup Research Plan as any member of the JRDC may reasonably request that are in Kymera’s possession or control. Kymera will provide Sanofi a reasonable opportunity via the JRDC to discuss and provide input with respect to Kymera’s Backup Research activities under the Backup Research Plan, including with respect to the prioritization of Backup Research activities.</w:t>
      </w:r>
    </w:p>
    <w:p>
      <w:pPr>
        <w:spacing w:after="0" w:line="179"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5.5.9 In addition to, and without limiting, the reporting requirements in </w:t>
      </w:r>
      <w:r>
        <w:rPr>
          <w:rFonts w:ascii="Times New Roman" w:cs="Times New Roman" w:eastAsia="Times New Roman" w:hAnsi="Times New Roman"/>
          <w:sz w:val="22"/>
          <w:szCs w:val="22"/>
          <w:u w:val="single" w:color="auto"/>
          <w:color w:val="auto"/>
        </w:rPr>
        <w:t>Section 5.5.8</w:t>
      </w:r>
      <w:r>
        <w:rPr>
          <w:rFonts w:ascii="Times New Roman" w:cs="Times New Roman" w:eastAsia="Times New Roman" w:hAnsi="Times New Roman"/>
          <w:sz w:val="22"/>
          <w:szCs w:val="22"/>
          <w:color w:val="auto"/>
        </w:rPr>
        <w:t xml:space="preserve">, during the Backup Research Term, Kymera will furnish to the JRDC, within [***], a written report on Kymera’s Backup Research activities with respect to Collaboration Compounds that are Researched under </w:t>
      </w:r>
      <w:r>
        <w:rPr>
          <w:rFonts w:ascii="Times New Roman" w:cs="Times New Roman" w:eastAsia="Times New Roman" w:hAnsi="Times New Roman"/>
          <w:sz w:val="22"/>
          <w:szCs w:val="22"/>
          <w:u w:val="single" w:color="auto"/>
          <w:color w:val="auto"/>
        </w:rPr>
        <w:t>Section 5.5.5</w:t>
      </w:r>
      <w:r>
        <w:rPr>
          <w:rFonts w:ascii="Times New Roman" w:cs="Times New Roman" w:eastAsia="Times New Roman" w:hAnsi="Times New Roman"/>
          <w:sz w:val="22"/>
          <w:szCs w:val="22"/>
          <w:color w:val="auto"/>
        </w:rPr>
        <w:t xml:space="preserve"> and have the potential to be classified as Backup Degraders. Such reports will [***].</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5.5.10 During the Backup Research Term, within [***] after Kymera reasonably believes that it has identified a Collaboration Compound that satisfies all of the Backup Degrader Criteria, Kymera will present a written report to Sanofi that identifies such Collaboration Compound [***]. Sanofi may, in its discretion and through the JRDC, request any other information, results or data with respect to such Collaboration Compound as set forth more fully in </w:t>
      </w:r>
      <w:r>
        <w:rPr>
          <w:rFonts w:ascii="Times New Roman" w:cs="Times New Roman" w:eastAsia="Times New Roman" w:hAnsi="Times New Roman"/>
          <w:sz w:val="21"/>
          <w:szCs w:val="21"/>
          <w:u w:val="single" w:color="auto"/>
          <w:color w:val="auto"/>
        </w:rPr>
        <w:t>Section 5.9.2</w:t>
      </w:r>
      <w:r>
        <w:rPr>
          <w:rFonts w:ascii="Times New Roman" w:cs="Times New Roman" w:eastAsia="Times New Roman" w:hAnsi="Times New Roman"/>
          <w:sz w:val="21"/>
          <w:szCs w:val="21"/>
          <w:color w:val="auto"/>
        </w:rPr>
        <w:t>. Within [***] after the delivery of such report (or such longer period of time as may be reasonably determined by the JRDC, but in no event longer than [***]), the JRDC will (a) meet, discuss and review the report and associated data, results and information and (b) determine whether such Collaboration Compound satisfies the Backup Degrader Criteria. If the JRDC determines that such Collaboration Compound satisfies the Backup Degrader Criteria, then such Collaboration Compound will be classified as a “</w:t>
      </w:r>
      <w:r>
        <w:rPr>
          <w:rFonts w:ascii="Times New Roman" w:cs="Times New Roman" w:eastAsia="Times New Roman" w:hAnsi="Times New Roman"/>
          <w:sz w:val="21"/>
          <w:szCs w:val="21"/>
          <w:b w:val="1"/>
          <w:bCs w:val="1"/>
          <w:color w:val="auto"/>
        </w:rPr>
        <w:t>Backup Degrader</w:t>
      </w:r>
      <w:r>
        <w:rPr>
          <w:rFonts w:ascii="Times New Roman" w:cs="Times New Roman" w:eastAsia="Times New Roman" w:hAnsi="Times New Roman"/>
          <w:sz w:val="21"/>
          <w:szCs w:val="21"/>
          <w:color w:val="auto"/>
        </w:rPr>
        <w:t>” under this Agreement. If the JRDC does not believe that such Collaboration Compound satisfies the Backup Degrader Criteria, then Kymera will use diligent efforts to</w:t>
      </w:r>
    </w:p>
    <w:p>
      <w:pPr>
        <w:spacing w:after="0" w:line="200" w:lineRule="exact"/>
        <w:rPr>
          <w:sz w:val="20"/>
          <w:szCs w:val="20"/>
          <w:color w:val="auto"/>
        </w:rPr>
      </w:pPr>
    </w:p>
    <w:p>
      <w:pPr>
        <w:spacing w:after="0" w:line="37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22" w:name="page223"/>
    <w:bookmarkEnd w:id="222"/>
    <w:p>
      <w:pPr>
        <w:ind w:left="91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conduct additional Research activities during the remainder of the Backup Research Term in accordance with the Backup Research Plan, and thereafter present a report to the JRDC as and to the extent applicable in this </w:t>
      </w:r>
      <w:r>
        <w:rPr>
          <w:rFonts w:ascii="Times New Roman" w:cs="Times New Roman" w:eastAsia="Times New Roman" w:hAnsi="Times New Roman"/>
          <w:sz w:val="22"/>
          <w:szCs w:val="22"/>
          <w:u w:val="single" w:color="auto"/>
          <w:color w:val="auto"/>
        </w:rPr>
        <w:t>Section 5.5.10</w:t>
      </w:r>
      <w:r>
        <w:rPr>
          <w:rFonts w:ascii="Times New Roman" w:cs="Times New Roman" w:eastAsia="Times New Roman" w:hAnsi="Times New Roman"/>
          <w:sz w:val="22"/>
          <w:szCs w:val="22"/>
          <w:color w:val="auto"/>
        </w:rPr>
        <w:t xml:space="preserve">. In the event that the JRDC does not agree on whether such Collaboration Compound satisfies the Backup Degrader Criteria, then such dispute will be resolved in accordance with </w:t>
      </w:r>
      <w:r>
        <w:rPr>
          <w:rFonts w:ascii="Times New Roman" w:cs="Times New Roman" w:eastAsia="Times New Roman" w:hAnsi="Times New Roman"/>
          <w:sz w:val="22"/>
          <w:szCs w:val="22"/>
          <w:u w:val="single" w:color="auto"/>
          <w:color w:val="auto"/>
        </w:rPr>
        <w:t>Section 9.9.2(b)</w:t>
      </w:r>
      <w:r>
        <w:rPr>
          <w:rFonts w:ascii="Times New Roman" w:cs="Times New Roman" w:eastAsia="Times New Roman" w:hAnsi="Times New Roman"/>
          <w:sz w:val="22"/>
          <w:szCs w:val="22"/>
          <w:color w:val="auto"/>
        </w:rPr>
        <w:t xml:space="preserve">. Notwithstanding the foregoing, Sanofi may determine, in its sole discretion, that a Collaboration Compound that satisfies at least certain of the Backup Degrader Criteria during the Backup Research Term will be selected as a “Backup Degrader” notwithstanding that it does not satisfy all of the Backup Degrader Criteria. Any selection of a Collaboration Compound as a Backup Degrader by the JRDC, by the R&amp;D Expert in accordance with </w:t>
      </w:r>
      <w:r>
        <w:rPr>
          <w:rFonts w:ascii="Times New Roman" w:cs="Times New Roman" w:eastAsia="Times New Roman" w:hAnsi="Times New Roman"/>
          <w:sz w:val="22"/>
          <w:szCs w:val="22"/>
          <w:u w:val="single" w:color="auto"/>
          <w:color w:val="auto"/>
        </w:rPr>
        <w:t>Section 9.9.2(b)</w:t>
      </w:r>
      <w:r>
        <w:rPr>
          <w:rFonts w:ascii="Times New Roman" w:cs="Times New Roman" w:eastAsia="Times New Roman" w:hAnsi="Times New Roman"/>
          <w:sz w:val="22"/>
          <w:szCs w:val="22"/>
          <w:color w:val="auto"/>
        </w:rPr>
        <w:t>, or by Sanofi pursuant to the preceding sentence, will be recorded in the minutes of the JRDC.</w:t>
      </w:r>
    </w:p>
    <w:p>
      <w:pPr>
        <w:spacing w:after="0" w:line="179"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5.5.11 In the event that Sanofi has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written notice to Kymera (including via the JRDC) that [***], then, within [***] of the date of receipt of such written notice, Kymera will permit Sanofi to examine the relevant books and records of Kymera and its Affiliates, as may be reasonably necessary to verify the Backup Research updates and progress reports submitted by Kymera in accordance with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examination will be subject to customary and reasonable due diligence procedures to preserve the confidential nature of any books or records. An examination by Sanofi under this </w:t>
      </w:r>
      <w:r>
        <w:rPr>
          <w:rFonts w:ascii="Times New Roman" w:cs="Times New Roman" w:eastAsia="Times New Roman" w:hAnsi="Times New Roman"/>
          <w:sz w:val="22"/>
          <w:szCs w:val="22"/>
          <w:u w:val="single" w:color="auto"/>
          <w:color w:val="auto"/>
        </w:rPr>
        <w:t>Section 5.5.11</w:t>
      </w:r>
      <w:r>
        <w:rPr>
          <w:rFonts w:ascii="Times New Roman" w:cs="Times New Roman" w:eastAsia="Times New Roman" w:hAnsi="Times New Roman"/>
          <w:sz w:val="22"/>
          <w:szCs w:val="22"/>
          <w:color w:val="auto"/>
        </w:rPr>
        <w:t xml:space="preserve"> (a) will occur not more than [***], (b) will be limited to the pertinent books and records for any Calendar Year ending not more than [***] before the date of the written notice, (c) will be conducted in such a manner to minimize, to the extent reasonably possible, the period of examination and in no case shall such period exceed [***], and (d) will be conducted by the minimum number of Sanofi employees as necessary to provide requisite subject matter expertise and conduct the review in the allotted timeframe, each of whom shall have appropriate experience in the Research of small molecule compounds and candidates;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examination by Sanofi under this </w:t>
      </w:r>
      <w:r>
        <w:rPr>
          <w:rFonts w:ascii="Times New Roman" w:cs="Times New Roman" w:eastAsia="Times New Roman" w:hAnsi="Times New Roman"/>
          <w:sz w:val="22"/>
          <w:szCs w:val="22"/>
          <w:u w:val="single" w:color="auto"/>
          <w:color w:val="auto"/>
        </w:rPr>
        <w:t>Section 5.5.11</w:t>
      </w:r>
      <w:r>
        <w:rPr>
          <w:rFonts w:ascii="Times New Roman" w:cs="Times New Roman" w:eastAsia="Times New Roman" w:hAnsi="Times New Roman"/>
          <w:sz w:val="22"/>
          <w:szCs w:val="22"/>
          <w:color w:val="auto"/>
        </w:rPr>
        <w:t xml:space="preserve"> reveals any material discrepancy, Kymera will permit Sanofi to conduct additional examination of pertinent books and records for Calendar Years ending not more than [***] before the date of the written notice, during a period limited to minimize the days of examination as much as possible and in no case more than an additional [***]. Sanofi will be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access to such books and records at Kymera’s facility or facilities where such books and records are normally kept and such examination will be conducted during Kymera’s normal business hours. Upon completion of the examination, Sanofi will provide Kymera and the JRDC a written report disclosing the reason(s) for the difference between the relevant report provided by Kymera and the results and data that should have been generated and the activities that should have been conducted by Kymera during the relevant time. The costs and fees of any examination conducted by Sanofi under this </w:t>
      </w:r>
      <w:r>
        <w:rPr>
          <w:rFonts w:ascii="Times New Roman" w:cs="Times New Roman" w:eastAsia="Times New Roman" w:hAnsi="Times New Roman"/>
          <w:sz w:val="22"/>
          <w:szCs w:val="22"/>
          <w:u w:val="single" w:color="auto"/>
          <w:color w:val="auto"/>
        </w:rPr>
        <w:t>Section 5.5.11</w:t>
      </w:r>
      <w:r>
        <w:rPr>
          <w:rFonts w:ascii="Times New Roman" w:cs="Times New Roman" w:eastAsia="Times New Roman" w:hAnsi="Times New Roman"/>
          <w:sz w:val="22"/>
          <w:szCs w:val="22"/>
          <w:color w:val="auto"/>
        </w:rPr>
        <w:t xml:space="preserve"> will be borne by Sanofi.</w:t>
      </w:r>
    </w:p>
    <w:p>
      <w:pPr>
        <w:spacing w:after="0" w:line="18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5.5.12 Notwithstanding anything herein to the contrary, in no event will Kymera be required to conduct any Development activities for any Backup Degraders.</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b w:val="1"/>
          <w:bCs w:val="1"/>
          <w:u w:val="single" w:color="auto"/>
          <w:color w:val="auto"/>
        </w:rPr>
        <w:t>Reversion Compounds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5.6.1 Effective as of the effective date of expiration of the First Additional Degrader Research Term, all Collaboration Compounds and Collaboration Candidates Directed Against Collaboration Target 1, that were Researched by or on behalf of Kymera</w:t>
      </w:r>
    </w:p>
    <w:p>
      <w:pPr>
        <w:spacing w:after="0" w:line="200" w:lineRule="exact"/>
        <w:rPr>
          <w:sz w:val="20"/>
          <w:szCs w:val="20"/>
          <w:color w:val="auto"/>
        </w:rPr>
      </w:pPr>
    </w:p>
    <w:p>
      <w:pPr>
        <w:spacing w:after="0" w:line="3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23" w:name="page224"/>
    <w:bookmarkEnd w:id="223"/>
    <w:p>
      <w:pPr>
        <w:ind w:left="91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under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but are (a) [***], or (b) [***], will, in each case ((a)-(b)) cease to be Collaboration Compounds, Collaboration Candidates or Licensed Products and will be classified as “</w:t>
      </w:r>
      <w:r>
        <w:rPr>
          <w:rFonts w:ascii="Times New Roman" w:cs="Times New Roman" w:eastAsia="Times New Roman" w:hAnsi="Times New Roman"/>
          <w:sz w:val="22"/>
          <w:szCs w:val="22"/>
          <w:b w:val="1"/>
          <w:bCs w:val="1"/>
          <w:color w:val="auto"/>
        </w:rPr>
        <w:t>Reversion Compounds</w:t>
      </w:r>
      <w:r>
        <w:rPr>
          <w:rFonts w:ascii="Times New Roman" w:cs="Times New Roman" w:eastAsia="Times New Roman" w:hAnsi="Times New Roman"/>
          <w:sz w:val="22"/>
          <w:szCs w:val="22"/>
          <w:color w:val="auto"/>
        </w:rPr>
        <w:t>” as of such date [***].</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5.6.2 Effective as of the effective date of expiration of the Second Additional Degrader Research Term, all Collaboration Compounds and Collaboration Candidates Directed Against Collaboration Target 1 that were Researched by or on behalf of Kymera under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but are (a) [***], or (b) [***], will, in each case ((a)-(b)) cease to be Collaboration Compounds, Collaboration Candidates or Licensed Products and will be classified as “</w:t>
      </w:r>
      <w:r>
        <w:rPr>
          <w:rFonts w:ascii="Times New Roman" w:cs="Times New Roman" w:eastAsia="Times New Roman" w:hAnsi="Times New Roman"/>
          <w:sz w:val="22"/>
          <w:szCs w:val="22"/>
          <w:b w:val="1"/>
          <w:bCs w:val="1"/>
          <w:color w:val="auto"/>
        </w:rPr>
        <w:t>Reversion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Compounds</w:t>
      </w:r>
      <w:r>
        <w:rPr>
          <w:rFonts w:ascii="Times New Roman" w:cs="Times New Roman" w:eastAsia="Times New Roman" w:hAnsi="Times New Roman"/>
          <w:sz w:val="22"/>
          <w:szCs w:val="22"/>
          <w:color w:val="auto"/>
        </w:rPr>
        <w:t>” as of such date [***].</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5.6.3 Effective as of the expiration of the Backup Research Term (if any), all Collaboration Compounds and Collaboration Candidates Directed Against Collaboration Target 1 that were Researched by or on behalf of Kymera under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but are (a) [***], or (b) [***], will, in each case ((a)-(b)) cease to be Collaboration Compounds, Collaboration Candidates or Licensed Products and will be classified as “</w:t>
      </w:r>
      <w:r>
        <w:rPr>
          <w:rFonts w:ascii="Times New Roman" w:cs="Times New Roman" w:eastAsia="Times New Roman" w:hAnsi="Times New Roman"/>
          <w:sz w:val="22"/>
          <w:szCs w:val="22"/>
          <w:b w:val="1"/>
          <w:bCs w:val="1"/>
          <w:color w:val="auto"/>
        </w:rPr>
        <w:t>Reversion Compounds</w:t>
      </w:r>
      <w:r>
        <w:rPr>
          <w:rFonts w:ascii="Times New Roman" w:cs="Times New Roman" w:eastAsia="Times New Roman" w:hAnsi="Times New Roman"/>
          <w:sz w:val="22"/>
          <w:szCs w:val="22"/>
          <w:color w:val="auto"/>
        </w:rPr>
        <w:t>” as of such date.</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5.6.4 Each of the applicable dates for reversion referenced in </w:t>
      </w:r>
      <w:r>
        <w:rPr>
          <w:rFonts w:ascii="Times New Roman" w:cs="Times New Roman" w:eastAsia="Times New Roman" w:hAnsi="Times New Roman"/>
          <w:sz w:val="22"/>
          <w:szCs w:val="22"/>
          <w:u w:val="single" w:color="auto"/>
          <w:color w:val="auto"/>
        </w:rPr>
        <w:t>Sections 5.6.1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5.6.2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5.6.3</w:t>
      </w:r>
      <w:r>
        <w:rPr>
          <w:rFonts w:ascii="Times New Roman" w:cs="Times New Roman" w:eastAsia="Times New Roman" w:hAnsi="Times New Roman"/>
          <w:sz w:val="22"/>
          <w:szCs w:val="22"/>
          <w:color w:val="auto"/>
        </w:rPr>
        <w:t xml:space="preserve"> will be referred to in this Agreement as the applicable “</w:t>
      </w:r>
      <w:r>
        <w:rPr>
          <w:rFonts w:ascii="Times New Roman" w:cs="Times New Roman" w:eastAsia="Times New Roman" w:hAnsi="Times New Roman"/>
          <w:sz w:val="22"/>
          <w:szCs w:val="22"/>
          <w:b w:val="1"/>
          <w:bCs w:val="1"/>
          <w:color w:val="auto"/>
        </w:rPr>
        <w:t>Reversion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5.6.5 In addition to the foregoing, if at any time prior to the applicable Reversion Dates, [***], then the Parties will promptly meet and discuss the same in good faith through the JRDC and JPC. In the event that both Parties, through the JRDC and JPC working together, agree to proceed with an early reversion of any such Collaboration Compounds or Collaboration Candidates to Kymera, then the JRDC will identify the applicable Collaboration Compounds or Collaboration Candidates as “</w:t>
      </w:r>
      <w:r>
        <w:rPr>
          <w:rFonts w:ascii="Times New Roman" w:cs="Times New Roman" w:eastAsia="Times New Roman" w:hAnsi="Times New Roman"/>
          <w:sz w:val="21"/>
          <w:szCs w:val="21"/>
          <w:b w:val="1"/>
          <w:bCs w:val="1"/>
          <w:color w:val="auto"/>
        </w:rPr>
        <w:t>Reversion Compounds</w:t>
      </w:r>
      <w:r>
        <w:rPr>
          <w:rFonts w:ascii="Times New Roman" w:cs="Times New Roman" w:eastAsia="Times New Roman" w:hAnsi="Times New Roman"/>
          <w:sz w:val="21"/>
          <w:szCs w:val="21"/>
          <w:color w:val="auto"/>
        </w:rPr>
        <w:t>” and the applicable “</w:t>
      </w:r>
      <w:r>
        <w:rPr>
          <w:rFonts w:ascii="Times New Roman" w:cs="Times New Roman" w:eastAsia="Times New Roman" w:hAnsi="Times New Roman"/>
          <w:sz w:val="21"/>
          <w:szCs w:val="21"/>
          <w:b w:val="1"/>
          <w:bCs w:val="1"/>
          <w:color w:val="auto"/>
        </w:rPr>
        <w:t>Reversion Date</w:t>
      </w:r>
      <w:r>
        <w:rPr>
          <w:rFonts w:ascii="Times New Roman" w:cs="Times New Roman" w:eastAsia="Times New Roman" w:hAnsi="Times New Roman"/>
          <w:sz w:val="21"/>
          <w:szCs w:val="21"/>
          <w:color w:val="auto"/>
        </w:rPr>
        <w:t>” in the minutes of the JRDC.</w:t>
      </w:r>
    </w:p>
    <w:p>
      <w:pPr>
        <w:spacing w:after="0" w:line="16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5.6.6 From and after each applicable Reversion Date, subject to </w:t>
      </w:r>
      <w:r>
        <w:rPr>
          <w:rFonts w:ascii="Times New Roman" w:cs="Times New Roman" w:eastAsia="Times New Roman" w:hAnsi="Times New Roman"/>
          <w:sz w:val="22"/>
          <w:szCs w:val="22"/>
          <w:u w:val="single" w:color="auto"/>
          <w:color w:val="auto"/>
        </w:rPr>
        <w:t>Section 5.5.2</w:t>
      </w:r>
      <w:r>
        <w:rPr>
          <w:rFonts w:ascii="Times New Roman" w:cs="Times New Roman" w:eastAsia="Times New Roman" w:hAnsi="Times New Roman"/>
          <w:sz w:val="22"/>
          <w:szCs w:val="22"/>
          <w:color w:val="auto"/>
        </w:rPr>
        <w:t xml:space="preserve">, (a) Kymera will retain all right, title and interest in and to all corresponding Reversion Compounds, (b) Sanofi’s licenses and rights under this Agreement will terminate with respect to all corresponding Reversion Compounds, and (c) Kymera will grant a license to Sanofi with respect to the corresponding Reversion Compound Data in accordance with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5.6.7</w:t>
      </w:r>
      <w:r>
        <w:rPr>
          <w:sz w:val="20"/>
          <w:szCs w:val="20"/>
          <w:color w:val="auto"/>
        </w:rPr>
        <w:tab/>
      </w:r>
      <w:r>
        <w:rPr>
          <w:rFonts w:ascii="Times New Roman" w:cs="Times New Roman" w:eastAsia="Times New Roman" w:hAnsi="Times New Roman"/>
          <w:sz w:val="21"/>
          <w:szCs w:val="21"/>
          <w:color w:val="auto"/>
        </w:rPr>
        <w:t>Notwithstanding anything to the contrary, and for the avoidance of doubt, [***].</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b w:val="1"/>
          <w:bCs w:val="1"/>
          <w:u w:val="single" w:color="auto"/>
          <w:color w:val="auto"/>
        </w:rPr>
        <w:t>Kymera Opt-In Right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5.7.1 Subject to the remainder of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on a Collaboration Target-by-Collaboration Target basis, Sanofi hereby grants to Kymera an exclusive option, exercisable in Kymera’s sole discretion one (1) time per Collaboration Target, to fund fifty percent (50%) of the U.S. Development Costs for Opt-In Products Directed Against a given Collaboration Target in the Field in the United States and share equally (50:50) in the Net Profits and Net Losses of Commercializing Opt-In Products Directed Against such</w:t>
      </w:r>
    </w:p>
    <w:p>
      <w:pPr>
        <w:spacing w:after="0" w:line="200" w:lineRule="exact"/>
        <w:rPr>
          <w:sz w:val="20"/>
          <w:szCs w:val="20"/>
          <w:color w:val="auto"/>
        </w:rPr>
      </w:pPr>
    </w:p>
    <w:p>
      <w:pPr>
        <w:spacing w:after="0" w:line="38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Collaboration Target in the Field in the United States (collectively, the “</w:t>
      </w:r>
      <w:r>
        <w:rPr>
          <w:rFonts w:ascii="Times New Roman" w:cs="Times New Roman" w:eastAsia="Times New Roman" w:hAnsi="Times New Roman"/>
          <w:sz w:val="22"/>
          <w:szCs w:val="22"/>
          <w:b w:val="1"/>
          <w:bCs w:val="1"/>
          <w:color w:val="auto"/>
        </w:rPr>
        <w:t>Kymera Opt-In Right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5.7.2 On a Collaboration Target-by-Collaboration Target basis, on the later of (a) the date that is reasonably anticipated to be [***] of a Licensed Product Directed Against the relevant Collaboration Target or (b) [***] after the Sanofi Participation Election Effective Date, Sanofi will provide Kymera with the Opt-In Data Package with respect to such Collaboration Target, and Kymera will use such Opt-In Data Package (and any additional information provided by Sanofi pursuant to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solely to determine whether to exercise the corresponding Kymera Opt-In Right with respect to such Collaboration Target. Additionally, Sanofi will make all material data within the Opt-In Data Package for a Collaboration Target available to Kymera through an electronic data room. Notwithstanding anything herein to the contrary, Sanofi shall not be permitted to [***].</w:t>
      </w:r>
    </w:p>
    <w:p>
      <w:pPr>
        <w:spacing w:after="0" w:line="17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5.7.3 On a Collaboration Target-by-Collaboration Target basis, if such Opt-In Data Package for a given Collaboration Target is incomplete, Kymera may notify Sanofi of the incomplete status of such Opt-In Data Package in writing including any items that, in Kymera’s reasonable determination made in good faith, should have been included in the Opt-In Data Package but were not included therein within [***] after receipt thereof. Following receipt of such notice, Sanofi will promptly deliver to Kymera the additional information requested by Kymera to complete such Opt-In Data Package. For clarity, delivery of such incomplete Opt-In Data Package will not trigger the [***] period after which the Kymera Opt-In Deadline would occur pursuant to </w:t>
      </w:r>
      <w:r>
        <w:rPr>
          <w:rFonts w:ascii="Times New Roman" w:cs="Times New Roman" w:eastAsia="Times New Roman" w:hAnsi="Times New Roman"/>
          <w:sz w:val="22"/>
          <w:szCs w:val="22"/>
          <w:u w:val="single" w:color="auto"/>
          <w:color w:val="auto"/>
        </w:rPr>
        <w:t>Section 5.7.5</w:t>
      </w:r>
      <w:r>
        <w:rPr>
          <w:rFonts w:ascii="Times New Roman" w:cs="Times New Roman" w:eastAsia="Times New Roman" w:hAnsi="Times New Roman"/>
          <w:sz w:val="22"/>
          <w:szCs w:val="22"/>
          <w:color w:val="auto"/>
        </w:rPr>
        <w:t xml:space="preserve">, but such [***] period after which the Kymera Opt-In Deadline would occur pursuant to </w:t>
      </w:r>
      <w:r>
        <w:rPr>
          <w:rFonts w:ascii="Times New Roman" w:cs="Times New Roman" w:eastAsia="Times New Roman" w:hAnsi="Times New Roman"/>
          <w:sz w:val="22"/>
          <w:szCs w:val="22"/>
          <w:u w:val="single" w:color="auto"/>
          <w:color w:val="auto"/>
        </w:rPr>
        <w:t>Section 5.7.5</w:t>
      </w:r>
      <w:r>
        <w:rPr>
          <w:rFonts w:ascii="Times New Roman" w:cs="Times New Roman" w:eastAsia="Times New Roman" w:hAnsi="Times New Roman"/>
          <w:sz w:val="22"/>
          <w:szCs w:val="22"/>
          <w:color w:val="auto"/>
        </w:rPr>
        <w:t xml:space="preserve"> will thereafter be triggered on the date of Kymera’s receipt of the additional information requested by Kymera to complete such Opt-In Data Package (such date of receipt in no event to exceed the [***] period described above).</w:t>
      </w:r>
    </w:p>
    <w:p>
      <w:pPr>
        <w:spacing w:after="0" w:line="179" w:lineRule="exact"/>
        <w:rPr>
          <w:sz w:val="20"/>
          <w:szCs w:val="20"/>
          <w:color w:val="auto"/>
        </w:rPr>
      </w:pPr>
    </w:p>
    <w:p>
      <w:pPr>
        <w:ind w:right="40" w:firstLine="1497"/>
        <w:spacing w:after="0" w:line="258" w:lineRule="auto"/>
        <w:rPr>
          <w:sz w:val="20"/>
          <w:szCs w:val="20"/>
          <w:color w:val="auto"/>
        </w:rPr>
      </w:pPr>
      <w:r>
        <w:rPr>
          <w:rFonts w:ascii="Times New Roman" w:cs="Times New Roman" w:eastAsia="Times New Roman" w:hAnsi="Times New Roman"/>
          <w:sz w:val="22"/>
          <w:szCs w:val="22"/>
          <w:color w:val="auto"/>
        </w:rPr>
        <w:t>5.7.4 Following delivery of the complete Opt-In Data Package, and prior to the Kymera Opt-In Deadline, Kymera will be entitled to request, through the Alliance Managers and with reasonable advanced notice, [***].</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5.7.5 On a Collaboration Target-by-Collaboration Target basis, Kymera will have the right, in its sole discretion, to exercise the Kymera Opt-In Right for a given Collaboration Target by delivering to Sanofi the following within [***] after the delivery of the Opt-In Data Package with respect to such Collaboration Target (the end of such [***] period, the “</w:t>
      </w:r>
      <w:r>
        <w:rPr>
          <w:rFonts w:ascii="Times New Roman" w:cs="Times New Roman" w:eastAsia="Times New Roman" w:hAnsi="Times New Roman"/>
          <w:sz w:val="22"/>
          <w:szCs w:val="22"/>
          <w:b w:val="1"/>
          <w:bCs w:val="1"/>
          <w:color w:val="auto"/>
        </w:rPr>
        <w:t>Kymera Opt-In Deadline</w:t>
      </w:r>
      <w:r>
        <w:rPr>
          <w:rFonts w:ascii="Times New Roman" w:cs="Times New Roman" w:eastAsia="Times New Roman" w:hAnsi="Times New Roman"/>
          <w:sz w:val="22"/>
          <w:szCs w:val="22"/>
          <w:color w:val="auto"/>
        </w:rPr>
        <w:t>”): (a) written notice of exercise (each such notice, the “</w:t>
      </w:r>
      <w:r>
        <w:rPr>
          <w:rFonts w:ascii="Times New Roman" w:cs="Times New Roman" w:eastAsia="Times New Roman" w:hAnsi="Times New Roman"/>
          <w:sz w:val="22"/>
          <w:szCs w:val="22"/>
          <w:b w:val="1"/>
          <w:bCs w:val="1"/>
          <w:color w:val="auto"/>
        </w:rPr>
        <w:t>Kymera Opt-In 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and (b) reasonable documentation demonstrating that Kymera has enough cash to cover its allocation of costs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expenses according to the proposed budget for the first year of Development and Commercialization of Licensed Products contemplated by the relevant Opt-In Data Package, and a reasonable plan to cover its allocation of costs and expenses according to the proposed budget for the subsequent [***] of Development and Commercialization of Licensed Products contemplated by the relevant Opt-In Data Package.</w:t>
      </w:r>
    </w:p>
    <w:p>
      <w:pPr>
        <w:spacing w:after="0" w:line="183"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5.7.6 On a Collaboration Target-by-Collaboration Target basis, if Kymera provides a Kymera Opt-In Exercise Notice for a given Collaboration Target in accordance</w:t>
      </w:r>
    </w:p>
    <w:p>
      <w:pPr>
        <w:spacing w:after="0" w:line="200" w:lineRule="exact"/>
        <w:rPr>
          <w:sz w:val="20"/>
          <w:szCs w:val="20"/>
          <w:color w:val="auto"/>
        </w:rPr>
      </w:pPr>
    </w:p>
    <w:p>
      <w:pPr>
        <w:spacing w:after="0" w:line="36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478155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800" w:top="754"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80"/>
        <w:spacing w:after="0" w:line="244" w:lineRule="auto"/>
        <w:rPr>
          <w:sz w:val="20"/>
          <w:szCs w:val="20"/>
          <w:color w:val="auto"/>
        </w:rPr>
      </w:pPr>
      <w:r>
        <w:rPr>
          <w:rFonts w:ascii="Times New Roman" w:cs="Times New Roman" w:eastAsia="Times New Roman" w:hAnsi="Times New Roman"/>
          <w:sz w:val="22"/>
          <w:szCs w:val="22"/>
          <w:color w:val="auto"/>
        </w:rPr>
        <w:t xml:space="preserve">with </w:t>
      </w:r>
      <w:r>
        <w:rPr>
          <w:rFonts w:ascii="Times New Roman" w:cs="Times New Roman" w:eastAsia="Times New Roman" w:hAnsi="Times New Roman"/>
          <w:sz w:val="22"/>
          <w:szCs w:val="22"/>
          <w:u w:val="single" w:color="auto"/>
          <w:color w:val="auto"/>
        </w:rPr>
        <w:t>Section 5.7.5</w:t>
      </w:r>
      <w:r>
        <w:rPr>
          <w:rFonts w:ascii="Times New Roman" w:cs="Times New Roman" w:eastAsia="Times New Roman" w:hAnsi="Times New Roman"/>
          <w:sz w:val="22"/>
          <w:szCs w:val="22"/>
          <w:color w:val="auto"/>
        </w:rPr>
        <w:t>, then (a) Kymera will have exercised the Kymera Opt-In Right with respect to such Collaboration Target, and (b) the date of receipt of such Kymera Opt-In Exercise Notice will be the “</w:t>
      </w:r>
      <w:r>
        <w:rPr>
          <w:rFonts w:ascii="Times New Roman" w:cs="Times New Roman" w:eastAsia="Times New Roman" w:hAnsi="Times New Roman"/>
          <w:sz w:val="22"/>
          <w:szCs w:val="22"/>
          <w:b w:val="1"/>
          <w:bCs w:val="1"/>
          <w:color w:val="auto"/>
        </w:rPr>
        <w:t>Kymera Opt-In Effective Date</w:t>
      </w:r>
      <w:r>
        <w:rPr>
          <w:rFonts w:ascii="Times New Roman" w:cs="Times New Roman" w:eastAsia="Times New Roman" w:hAnsi="Times New Roman"/>
          <w:sz w:val="22"/>
          <w:szCs w:val="22"/>
          <w:color w:val="auto"/>
        </w:rPr>
        <w:t>” with respect to such Collaboration Target.</w:t>
      </w:r>
    </w:p>
    <w:p>
      <w:pPr>
        <w:spacing w:after="0" w:line="173"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5.7.7 On a Collaboration Target-by-Collaboration Target basis, if Kymera fails to provide a Kymera Opt-In Exercise Notice in accordance with </w:t>
      </w:r>
      <w:r>
        <w:rPr>
          <w:rFonts w:ascii="Times New Roman" w:cs="Times New Roman" w:eastAsia="Times New Roman" w:hAnsi="Times New Roman"/>
          <w:sz w:val="22"/>
          <w:szCs w:val="22"/>
          <w:u w:val="single" w:color="auto"/>
          <w:color w:val="auto"/>
        </w:rPr>
        <w:t>Section 5.7.5</w:t>
      </w:r>
      <w:r>
        <w:rPr>
          <w:rFonts w:ascii="Times New Roman" w:cs="Times New Roman" w:eastAsia="Times New Roman" w:hAnsi="Times New Roman"/>
          <w:sz w:val="22"/>
          <w:szCs w:val="22"/>
          <w:color w:val="auto"/>
        </w:rPr>
        <w:t xml:space="preserve"> with respect to a Collaboration Target prior to the Kymera Opt-In Deadline for such Kymera Opt-In Right, the Kymera Opt-In Right will expire and be of no further force or effect with respect to such Collaboration Target.</w:t>
      </w:r>
    </w:p>
    <w:p>
      <w:pPr>
        <w:spacing w:after="0" w:line="180"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5.7.8 On a Collaboration Target-by-Collaboration Target basis, if Kymera exercises the Kymera Opt-In Right with respect to a Collaboration Target, the Parties will negotiate in good faith the terms of a cost and profit sharing agreement which will include the terms set forth on </w:t>
      </w:r>
      <w:r>
        <w:rPr>
          <w:rFonts w:ascii="Times New Roman" w:cs="Times New Roman" w:eastAsia="Times New Roman" w:hAnsi="Times New Roman"/>
          <w:sz w:val="22"/>
          <w:szCs w:val="22"/>
          <w:u w:val="single" w:color="auto"/>
          <w:color w:val="auto"/>
        </w:rPr>
        <w:t>Exhibits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Cost/Profit Sharing Agreement</w:t>
      </w:r>
      <w:r>
        <w:rPr>
          <w:rFonts w:ascii="Times New Roman" w:cs="Times New Roman" w:eastAsia="Times New Roman" w:hAnsi="Times New Roman"/>
          <w:sz w:val="22"/>
          <w:szCs w:val="22"/>
          <w:color w:val="auto"/>
        </w:rPr>
        <w:t xml:space="preserve">”), within [***] of Sanofi’s receipt of the Kymera Opt-In Exercise Notice with respect to such Collaboration Target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terms of </w:t>
      </w:r>
      <w:r>
        <w:rPr>
          <w:rFonts w:ascii="Times New Roman" w:cs="Times New Roman" w:eastAsia="Times New Roman" w:hAnsi="Times New Roman"/>
          <w:sz w:val="22"/>
          <w:szCs w:val="22"/>
          <w:u w:val="single" w:color="auto"/>
          <w:color w:val="auto"/>
        </w:rPr>
        <w:t>Exhibits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shall govern until such Cost/Profit Sharing Agreement is executed.</w:t>
      </w:r>
    </w:p>
    <w:p>
      <w:pPr>
        <w:spacing w:after="0" w:line="177" w:lineRule="exact"/>
        <w:rPr>
          <w:sz w:val="20"/>
          <w:szCs w:val="20"/>
          <w:color w:val="auto"/>
        </w:rPr>
      </w:pPr>
    </w:p>
    <w:p>
      <w:pPr>
        <w:jc w:val="both"/>
        <w:ind w:left="480" w:firstLine="1497"/>
        <w:spacing w:after="0" w:line="234" w:lineRule="auto"/>
        <w:rPr>
          <w:sz w:val="20"/>
          <w:szCs w:val="20"/>
          <w:color w:val="auto"/>
        </w:rPr>
      </w:pPr>
      <w:r>
        <w:rPr>
          <w:rFonts w:ascii="Times New Roman" w:cs="Times New Roman" w:eastAsia="Times New Roman" w:hAnsi="Times New Roman"/>
          <w:sz w:val="22"/>
          <w:szCs w:val="22"/>
          <w:color w:val="auto"/>
        </w:rPr>
        <w:t xml:space="preserve">5.7.9 On a Collaboration Target-by-Collaboration Target basis, the Cost/Profit Sharing Agreement will provide that each of Kymera and Sanofi will be entitled to and bear fifty percent (50%) of all Net Profits and Net Losses incurred in each Calendar Quarter that the Cost/Profit Sharing Agreement is in effect with respect to all Opt-In Products being sold in the United States by or on behalf of the Parties or their Affiliates or (sub)licensees, pursuant to the terms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Cost/Profit Share</w:t>
      </w:r>
      <w:r>
        <w:rPr>
          <w:rFonts w:ascii="Times New Roman" w:cs="Times New Roman" w:eastAsia="Times New Roman" w:hAnsi="Times New Roman"/>
          <w:sz w:val="22"/>
          <w:szCs w:val="22"/>
          <w:color w:val="auto"/>
        </w:rPr>
        <w:t>”). On a Collaboration Target-by-Collaboration Target basis, the Cost/Profit Share will commence on the Kymera Opt-In Effective Date and immediately terminate on the earliest to occur of (w) [***] of Kymera providing written notice that is terminating the Cost/Profit Share (the “</w:t>
      </w:r>
      <w:r>
        <w:rPr>
          <w:rFonts w:ascii="Times New Roman" w:cs="Times New Roman" w:eastAsia="Times New Roman" w:hAnsi="Times New Roman"/>
          <w:sz w:val="22"/>
          <w:szCs w:val="22"/>
          <w:b w:val="1"/>
          <w:bCs w:val="1"/>
          <w:color w:val="auto"/>
        </w:rPr>
        <w:t>Opt-Out Right</w:t>
      </w:r>
      <w:r>
        <w:rPr>
          <w:rFonts w:ascii="Times New Roman" w:cs="Times New Roman" w:eastAsia="Times New Roman" w:hAnsi="Times New Roman"/>
          <w:sz w:val="22"/>
          <w:szCs w:val="22"/>
          <w:color w:val="auto"/>
        </w:rPr>
        <w:t>”), (x) [***] (the “</w:t>
      </w:r>
      <w:r>
        <w:rPr>
          <w:rFonts w:ascii="Times New Roman" w:cs="Times New Roman" w:eastAsia="Times New Roman" w:hAnsi="Times New Roman"/>
          <w:sz w:val="22"/>
          <w:szCs w:val="22"/>
          <w:b w:val="1"/>
          <w:bCs w:val="1"/>
          <w:color w:val="auto"/>
        </w:rPr>
        <w:t>Opt-In Period</w:t>
      </w:r>
      <w:r>
        <w:rPr>
          <w:rFonts w:ascii="Times New Roman" w:cs="Times New Roman" w:eastAsia="Times New Roman" w:hAnsi="Times New Roman"/>
          <w:sz w:val="22"/>
          <w:szCs w:val="22"/>
          <w:color w:val="auto"/>
        </w:rPr>
        <w:t>”). If the Opt-In Period for a Collaboration Target terminates pursuant to clauses (w) or (x) in the immediately preceding sentence, then the Royalty Term will apply with respect to such Collaboration Target.</w:t>
      </w:r>
    </w:p>
    <w:p>
      <w:pPr>
        <w:spacing w:after="0" w:line="183"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5.7.10 If Kymera fails to pay amounts owed under the Opt-In Period for U.S. Development Costs or the Cost/Profit Share (the “</w:t>
      </w:r>
      <w:r>
        <w:rPr>
          <w:rFonts w:ascii="Times New Roman" w:cs="Times New Roman" w:eastAsia="Times New Roman" w:hAnsi="Times New Roman"/>
          <w:sz w:val="22"/>
          <w:szCs w:val="22"/>
          <w:b w:val="1"/>
          <w:bCs w:val="1"/>
          <w:color w:val="auto"/>
        </w:rPr>
        <w:t>Funding Failure</w:t>
      </w:r>
      <w:r>
        <w:rPr>
          <w:rFonts w:ascii="Times New Roman" w:cs="Times New Roman" w:eastAsia="Times New Roman" w:hAnsi="Times New Roman"/>
          <w:sz w:val="22"/>
          <w:szCs w:val="22"/>
          <w:color w:val="auto"/>
        </w:rPr>
        <w:t xml:space="preserve">”), then, subject to the cure period set forth in the Cost/Profit Sharing Agreement, Sanofi will be entitled, in its sole discretion, to [***]. The remedies set forth in this </w:t>
      </w:r>
      <w:r>
        <w:rPr>
          <w:rFonts w:ascii="Times New Roman" w:cs="Times New Roman" w:eastAsia="Times New Roman" w:hAnsi="Times New Roman"/>
          <w:sz w:val="22"/>
          <w:szCs w:val="22"/>
          <w:u w:val="single" w:color="auto"/>
          <w:color w:val="auto"/>
        </w:rPr>
        <w:t>Section 5.7.10</w:t>
      </w:r>
      <w:r>
        <w:rPr>
          <w:rFonts w:ascii="Times New Roman" w:cs="Times New Roman" w:eastAsia="Times New Roman" w:hAnsi="Times New Roman"/>
          <w:sz w:val="22"/>
          <w:szCs w:val="22"/>
          <w:color w:val="auto"/>
        </w:rPr>
        <w:t xml:space="preserve"> will be Sanofi’s sole and exclusive remedy with respect to such Funding Failure.</w:t>
      </w:r>
    </w:p>
    <w:p>
      <w:pPr>
        <w:spacing w:after="0" w:line="180"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5.7.11</w:t>
      </w:r>
      <w:r>
        <w:rPr>
          <w:sz w:val="20"/>
          <w:szCs w:val="20"/>
          <w:color w:val="auto"/>
        </w:rPr>
        <w:tab/>
      </w:r>
      <w:r>
        <w:rPr>
          <w:rFonts w:ascii="Times New Roman" w:cs="Times New Roman" w:eastAsia="Times New Roman" w:hAnsi="Times New Roman"/>
          <w:sz w:val="21"/>
          <w:szCs w:val="21"/>
          <w:color w:val="auto"/>
        </w:rPr>
        <w:t>Notwithstanding anything to the contrary:</w:t>
      </w:r>
    </w:p>
    <w:p>
      <w:pPr>
        <w:spacing w:after="0" w:line="206" w:lineRule="exact"/>
        <w:rPr>
          <w:sz w:val="20"/>
          <w:szCs w:val="20"/>
          <w:color w:val="auto"/>
        </w:rPr>
      </w:pPr>
    </w:p>
    <w:p>
      <w:pPr>
        <w:ind w:right="20" w:firstLine="2254"/>
        <w:spacing w:after="0" w:line="258" w:lineRule="auto"/>
        <w:tabs>
          <w:tab w:leader="none" w:pos="267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Opt-In Period terminates pursuant to clause (w) of </w:t>
      </w:r>
      <w:r>
        <w:rPr>
          <w:rFonts w:ascii="Times New Roman" w:cs="Times New Roman" w:eastAsia="Times New Roman" w:hAnsi="Times New Roman"/>
          <w:sz w:val="22"/>
          <w:szCs w:val="22"/>
          <w:u w:val="single" w:color="auto"/>
          <w:color w:val="auto"/>
        </w:rPr>
        <w:t>Section 5.7.9</w:t>
      </w:r>
      <w:r>
        <w:rPr>
          <w:rFonts w:ascii="Times New Roman" w:cs="Times New Roman" w:eastAsia="Times New Roman" w:hAnsi="Times New Roman"/>
          <w:sz w:val="22"/>
          <w:szCs w:val="22"/>
          <w:color w:val="auto"/>
        </w:rPr>
        <w:t xml:space="preserve">, then the Co-Promote Period will terminate on the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Opt-In Period terminates pursuant to clauses (x) or (z) of </w:t>
      </w:r>
      <w:r>
        <w:rPr>
          <w:rFonts w:ascii="Times New Roman" w:cs="Times New Roman" w:eastAsia="Times New Roman" w:hAnsi="Times New Roman"/>
          <w:sz w:val="22"/>
          <w:szCs w:val="22"/>
          <w:u w:val="single" w:color="auto"/>
          <w:color w:val="auto"/>
        </w:rPr>
        <w:t>Section 5.7.9</w:t>
      </w:r>
      <w:r>
        <w:rPr>
          <w:rFonts w:ascii="Times New Roman" w:cs="Times New Roman" w:eastAsia="Times New Roman" w:hAnsi="Times New Roman"/>
          <w:sz w:val="22"/>
          <w:szCs w:val="22"/>
          <w:color w:val="auto"/>
        </w:rPr>
        <w:t>, then the Co-Promote Period will terminate on the [***] (the “</w:t>
      </w:r>
      <w:r>
        <w:rPr>
          <w:rFonts w:ascii="Times New Roman" w:cs="Times New Roman" w:eastAsia="Times New Roman" w:hAnsi="Times New Roman"/>
          <w:sz w:val="22"/>
          <w:szCs w:val="22"/>
          <w:b w:val="1"/>
          <w:bCs w:val="1"/>
          <w:color w:val="auto"/>
        </w:rPr>
        <w:t>Co-Promotion Wind-Down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26" w:name="page227"/>
    <w:bookmarkEnd w:id="226"/>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firstLine="2254"/>
        <w:spacing w:after="0" w:line="258" w:lineRule="auto"/>
        <w:tabs>
          <w:tab w:leader="none" w:pos="267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Opt-In Period terminates pursuant to clause (y) of </w:t>
      </w:r>
      <w:r>
        <w:rPr>
          <w:rFonts w:ascii="Times New Roman" w:cs="Times New Roman" w:eastAsia="Times New Roman" w:hAnsi="Times New Roman"/>
          <w:sz w:val="22"/>
          <w:szCs w:val="22"/>
          <w:u w:val="single" w:color="auto"/>
          <w:color w:val="auto"/>
        </w:rPr>
        <w:t>Section 5.7.9</w:t>
      </w:r>
      <w:r>
        <w:rPr>
          <w:rFonts w:ascii="Times New Roman" w:cs="Times New Roman" w:eastAsia="Times New Roman" w:hAnsi="Times New Roman"/>
          <w:sz w:val="22"/>
          <w:szCs w:val="22"/>
          <w:color w:val="auto"/>
        </w:rPr>
        <w:t>, then the Co-Promote Period will terminate on the effective date of termination of the Opt-In Period.</w:t>
      </w:r>
    </w:p>
    <w:p>
      <w:pPr>
        <w:spacing w:after="0" w:line="158" w:lineRule="exact"/>
        <w:rPr>
          <w:sz w:val="20"/>
          <w:szCs w:val="20"/>
          <w:color w:val="auto"/>
        </w:rPr>
      </w:pPr>
    </w:p>
    <w:p>
      <w:pPr>
        <w:jc w:val="both"/>
        <w:ind w:left="480"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5.7.12 For clarity, the terms of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are on a Collaboration Target-by-Collaboration Target basis, and the application of such terms for a given Collaboration Target have no effect on the other Collaboration Target.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b w:val="1"/>
          <w:bCs w:val="1"/>
          <w:u w:val="single" w:color="auto"/>
          <w:color w:val="auto"/>
        </w:rPr>
        <w:t>Development Costs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5.8.1 On a Collaboration Target-by-Collaboration Target basis, unless and until Kymera exercises the Kymera Opt-In Right for a given Collaboration Target, during the Sanofi Participation Term with respect to such Collaboration Target, Sanofi will be solely responsible for all costs and expenses incurred in connection with the Development of Collaboration Compounds, Collaboration Candidates and Licensed Products Directed Against such Collaboration Target in the Field in the Territory.</w:t>
      </w:r>
    </w:p>
    <w:p>
      <w:pPr>
        <w:spacing w:after="0" w:line="177" w:lineRule="exact"/>
        <w:rPr>
          <w:sz w:val="20"/>
          <w:szCs w:val="20"/>
          <w:color w:val="auto"/>
        </w:rPr>
      </w:pPr>
    </w:p>
    <w:p>
      <w:pPr>
        <w:jc w:val="both"/>
        <w:ind w:left="480" w:firstLine="1497"/>
        <w:spacing w:after="0" w:line="235" w:lineRule="auto"/>
        <w:rPr>
          <w:sz w:val="20"/>
          <w:szCs w:val="20"/>
          <w:color w:val="auto"/>
        </w:rPr>
      </w:pPr>
      <w:r>
        <w:rPr>
          <w:rFonts w:ascii="Times New Roman" w:cs="Times New Roman" w:eastAsia="Times New Roman" w:hAnsi="Times New Roman"/>
          <w:sz w:val="22"/>
          <w:szCs w:val="22"/>
          <w:color w:val="auto"/>
        </w:rPr>
        <w:t>5.8.2 On a Collaboration Target-by-Collaboration Target basis, if Kymera exercises the Kymera Opt-In Right for a given Collaboration Target, then during the applicable Opt-In Period, (a) the Parties will share all U.S. Development Costs for all Development activities for Opt-In Products Directed Against such Collaboration Target in the Field in the United States in accordance with the applicable Cost/Profit Sharing Agreement, and (b) Sanofi will be solely responsible for all costs and expenses incurred in connection with the Development of Collaboration Compounds, Collaboration Candidates and Licensed Products Directed Against such Collaboration Target in the Field in the Rest of the World.</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b w:val="1"/>
          <w:bCs w:val="1"/>
          <w:u w:val="single" w:color="auto"/>
          <w:color w:val="auto"/>
        </w:rPr>
        <w:t>Records; Reporting</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5.9.1 Each Party will maintain, and [***] to maintain, records of the Development activities under this Agreement in sufficient detail and in good scientific manner appropriate for scientific, patent and regulatory purposes, which will be complete and accurate in all material respects and will fully and properly reflect all work done, data and developments made, and results achieved.</w:t>
      </w:r>
    </w:p>
    <w:p>
      <w:pPr>
        <w:spacing w:after="0" w:line="180" w:lineRule="exact"/>
        <w:rPr>
          <w:sz w:val="20"/>
          <w:szCs w:val="20"/>
          <w:color w:val="auto"/>
        </w:rPr>
      </w:pPr>
    </w:p>
    <w:p>
      <w:pPr>
        <w:jc w:val="both"/>
        <w:ind w:left="480" w:firstLine="1497"/>
        <w:spacing w:after="0" w:line="246" w:lineRule="auto"/>
        <w:rPr>
          <w:sz w:val="20"/>
          <w:szCs w:val="20"/>
          <w:color w:val="auto"/>
        </w:rPr>
      </w:pPr>
      <w:r>
        <w:rPr>
          <w:rFonts w:ascii="Times New Roman" w:cs="Times New Roman" w:eastAsia="Times New Roman" w:hAnsi="Times New Roman"/>
          <w:sz w:val="21"/>
          <w:szCs w:val="21"/>
          <w:color w:val="auto"/>
        </w:rPr>
        <w:t>5.9.2 Each Party will furnish to the JSC, (a) prior to any Kymera Opt-In Effective Date, on a semi-annual basis, to the extent applicable to such Party, and (b) during the applicable Opt-In Period, within [***], to the extent applicable to such Party, in each case ((a)-(b)), an update on such Party’s progress under the Late Development Plan for the applicable Collaboration Target during the relevant period, including a summary of any results and data generated by such Party under such Late Development Plan and an overview of the resources (including an overview of FTEs used by such Party for such Development activities), allocated to activities under such Late Development Plan during the relevant period. Such Party will provide the JSC with such other material information, results and data with respect to the Development activities under the Late Development Plan as any member of the JSC may reasonably request that are in such Party’s possession or control. In the event Kymera is a Reporting Company, Sanofi will provide Kymera such information regarding its Development activities under the Late Development Plan that is necessary for Kymera 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27" w:name="page228"/>
    <w:bookmarkEnd w:id="227"/>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22"/>
          <w:szCs w:val="22"/>
          <w:color w:val="auto"/>
        </w:rPr>
        <w:t>comply with Applicable Law (including the rules and regulations promulgated by the United States Securities and Exchange Commission).</w:t>
      </w:r>
    </w:p>
    <w:p>
      <w:pPr>
        <w:spacing w:after="0" w:line="158" w:lineRule="exact"/>
        <w:rPr>
          <w:sz w:val="20"/>
          <w:szCs w:val="20"/>
          <w:color w:val="auto"/>
        </w:rPr>
      </w:pPr>
    </w:p>
    <w:p>
      <w:pPr>
        <w:ind w:left="1900"/>
        <w:spacing w:after="0"/>
        <w:tabs>
          <w:tab w:leader="none" w:pos="2740" w:val="left"/>
        </w:tabs>
        <w:rPr>
          <w:sz w:val="20"/>
          <w:szCs w:val="20"/>
          <w:color w:val="auto"/>
        </w:rPr>
      </w:pPr>
      <w:r>
        <w:rPr>
          <w:rFonts w:ascii="Times New Roman" w:cs="Times New Roman" w:eastAsia="Times New Roman" w:hAnsi="Times New Roman"/>
          <w:sz w:val="22"/>
          <w:szCs w:val="22"/>
          <w:color w:val="auto"/>
        </w:rPr>
        <w:t>5.9.3</w:t>
      </w:r>
      <w:r>
        <w:rPr>
          <w:sz w:val="20"/>
          <w:szCs w:val="20"/>
          <w:color w:val="auto"/>
        </w:rPr>
        <w:tab/>
      </w:r>
      <w:r>
        <w:rPr>
          <w:rFonts w:ascii="Times New Roman" w:cs="Times New Roman" w:eastAsia="Times New Roman" w:hAnsi="Times New Roman"/>
          <w:sz w:val="21"/>
          <w:szCs w:val="21"/>
          <w:color w:val="auto"/>
        </w:rPr>
        <w:t>On a Collaboration Target-by-Collaboration Target basis, [***].</w:t>
      </w:r>
    </w:p>
    <w:p>
      <w:pPr>
        <w:spacing w:after="0" w:line="2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COMMERCIALIZATION</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u w:val="single" w:color="auto"/>
          <w:color w:val="auto"/>
        </w:rPr>
        <w:t>General</w:t>
      </w:r>
      <w:r>
        <w:rPr>
          <w:rFonts w:ascii="Times New Roman" w:cs="Times New Roman" w:eastAsia="Times New Roman" w:hAnsi="Times New Roman"/>
          <w:sz w:val="22"/>
          <w:szCs w:val="22"/>
          <w:color w:val="auto"/>
        </w:rPr>
        <w:t xml:space="preserve">. Subject to the terms and conditions set forth in this Agreement, on a Collaboration Target-by-Collaboration Target basis, during the Sanofi Participation Term, the Parties will conduct Commercialization activities for the Licensed Products Directed Against such Collaboration Target in the Field in the Territory as further set forth in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On a Collaboration Target-by-Collaboration Target basis, during the Sanofi Participation Term, Sanofi will be solely responsible for all Commercialization activities relating to the Licensed Products Directed Against such Collaboration Target in the Field in the Territory, including the booking of all sales of such Licensed Products, subject to Kymera’s right to perform certain Co-Promotion activities (with Sanofi) in the Field in the United States for Opt-In Products Directed Against such Collaboration Target as specified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u w:val="single" w:color="auto"/>
          <w:color w:val="auto"/>
        </w:rPr>
        <w:t>Kymera Co-Promote Right</w:t>
      </w:r>
      <w:r>
        <w:rPr>
          <w:rFonts w:ascii="Times New Roman" w:cs="Times New Roman" w:eastAsia="Times New Roman" w:hAnsi="Times New Roman"/>
          <w:sz w:val="22"/>
          <w:szCs w:val="22"/>
          <w:color w:val="auto"/>
        </w:rPr>
        <w:t xml:space="preserve">. Subject to the remainder of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on a Collaboration Target-by-Collaboration Target basis, Sanofi hereby grants to Kymera an exclusive option, exercisable in Kymera’s sole discretion one (1) time per Collaboration Target, to conduct between [***] and [***] of all Co-Promotion activities for Opt-In Products Directed Against such Collaboration Target in the Field in the United States (the “</w:t>
      </w:r>
      <w:r>
        <w:rPr>
          <w:rFonts w:ascii="Times New Roman" w:cs="Times New Roman" w:eastAsia="Times New Roman" w:hAnsi="Times New Roman"/>
          <w:sz w:val="22"/>
          <w:szCs w:val="22"/>
          <w:b w:val="1"/>
          <w:bCs w:val="1"/>
          <w:color w:val="auto"/>
        </w:rPr>
        <w:t>Kymera Co-Promote Right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Kymera Co-Promote Right will expire immediately with respect to such Collaboration Target if Kymera did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exercise the Kymera Opt-In Right prior to the corresponding Kymera Opt-In Deadline or the corresponding Cost/Profit Share has been terminated.</w:t>
      </w:r>
    </w:p>
    <w:p>
      <w:pPr>
        <w:spacing w:after="0" w:line="180" w:lineRule="exact"/>
        <w:rPr>
          <w:sz w:val="20"/>
          <w:szCs w:val="20"/>
          <w:color w:val="auto"/>
        </w:rPr>
      </w:pPr>
    </w:p>
    <w:p>
      <w:pPr>
        <w:jc w:val="both"/>
        <w:ind w:left="40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6.2.1 On a Collaboration Target-by-Collaboration Target basis, on or about the date is reasonably anticipated to be [***], Sanofi will provide Kymera with the Co-Commercialization Plan with respect to such Collaboration Target, and Kymera will use such Co-Commercialization Plan (and any additional information provided by Sanofi pursuant to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solely to determine whether to exercise the corresponding Kymera Co-Promote Right with respect to such Collaboration Target. Additionally, Sanofi will make all material data within the Co-Commercialization Plan for a Collaboration Target available to Kymera through an electronic data room.</w:t>
      </w:r>
    </w:p>
    <w:p>
      <w:pPr>
        <w:spacing w:after="0" w:line="181" w:lineRule="exact"/>
        <w:rPr>
          <w:sz w:val="20"/>
          <w:szCs w:val="20"/>
          <w:color w:val="auto"/>
        </w:rPr>
      </w:pPr>
    </w:p>
    <w:p>
      <w:pPr>
        <w:jc w:val="both"/>
        <w:ind w:left="40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6.2.2 On a Collaboration Target-by-Collaboration Target basis, if such Co-Commercialization Plan for a given Collaboration Target is incomplete with respect to related Co-Promotion activities, Kymera may notify Sanofi of the incomplete status of such Co-Commercialization Plan in writing including any items that, in Kymera’s reasonable determination made in good faith, should have been included in the Co-Commercialization Plan but were not included therein within [***] after receipt thereof. [***]. For clarity, delivery of such incomplete Co-Commercialization Plan will not trigger the [***] period after which the Kymera Co-Promote Right Deadline would occur pursuant to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but such [***] period after which the Kymera Co-Promote Right Deadline would occur pursuant</w:t>
      </w:r>
    </w:p>
    <w:p>
      <w:pPr>
        <w:spacing w:after="0" w:line="200" w:lineRule="exact"/>
        <w:rPr>
          <w:sz w:val="20"/>
          <w:szCs w:val="20"/>
          <w:color w:val="auto"/>
        </w:rPr>
      </w:pPr>
    </w:p>
    <w:p>
      <w:pPr>
        <w:spacing w:after="0" w:line="3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28" w:name="page229"/>
    <w:bookmarkEnd w:id="228"/>
    <w:p>
      <w:pPr>
        <w:ind w:left="9123"/>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left="3" w:right="20"/>
        <w:spacing w:after="0" w:line="258" w:lineRule="auto"/>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will thereafter be triggered on the date of Kymera’s receipt of the additional information requested by Kymera to complete such Co-Commercialization Plan.</w:t>
      </w:r>
    </w:p>
    <w:p>
      <w:pPr>
        <w:spacing w:after="0" w:line="158" w:lineRule="exact"/>
        <w:rPr>
          <w:sz w:val="20"/>
          <w:szCs w:val="20"/>
          <w:color w:val="auto"/>
        </w:rPr>
      </w:pPr>
    </w:p>
    <w:p>
      <w:pPr>
        <w:jc w:val="both"/>
        <w:ind w:left="3" w:firstLine="1497"/>
        <w:spacing w:after="0" w:line="244" w:lineRule="auto"/>
        <w:rPr>
          <w:sz w:val="20"/>
          <w:szCs w:val="20"/>
          <w:color w:val="auto"/>
        </w:rPr>
      </w:pPr>
      <w:r>
        <w:rPr>
          <w:rFonts w:ascii="Times New Roman" w:cs="Times New Roman" w:eastAsia="Times New Roman" w:hAnsi="Times New Roman"/>
          <w:sz w:val="22"/>
          <w:szCs w:val="22"/>
          <w:color w:val="auto"/>
        </w:rPr>
        <w:t>6.2.3 Following delivery of the complete Co-Commercialization Plan, and prior to the Kymera Co-Promote Right Deadline, Kymera will be entitled to request, through the Alliance Managers and with reasonable advanced notice, [***].</w:t>
      </w:r>
    </w:p>
    <w:p>
      <w:pPr>
        <w:spacing w:after="0" w:line="173" w:lineRule="exact"/>
        <w:rPr>
          <w:sz w:val="20"/>
          <w:szCs w:val="20"/>
          <w:color w:val="auto"/>
        </w:rPr>
      </w:pPr>
    </w:p>
    <w:p>
      <w:pPr>
        <w:jc w:val="both"/>
        <w:ind w:left="3" w:firstLine="1497"/>
        <w:spacing w:after="0" w:line="249" w:lineRule="auto"/>
        <w:rPr>
          <w:sz w:val="20"/>
          <w:szCs w:val="20"/>
          <w:color w:val="auto"/>
        </w:rPr>
      </w:pPr>
      <w:r>
        <w:rPr>
          <w:rFonts w:ascii="Times New Roman" w:cs="Times New Roman" w:eastAsia="Times New Roman" w:hAnsi="Times New Roman"/>
          <w:sz w:val="21"/>
          <w:szCs w:val="21"/>
          <w:color w:val="auto"/>
        </w:rPr>
        <w:t>6.2.4 On a Collaboration Target-by-Collaboration Target basis, Kymera will have the right, in its sole discretion, to exercise the Kymera Co-Promote Right for a given Collaboration Target by delivering to Sanofi the following within [***] after the delivery of the Co-Commercialization Plan with respect to such Collaboration Target (the end of such</w:t>
      </w:r>
    </w:p>
    <w:p>
      <w:pPr>
        <w:spacing w:after="0" w:line="1" w:lineRule="exact"/>
        <w:rPr>
          <w:sz w:val="20"/>
          <w:szCs w:val="20"/>
          <w:color w:val="auto"/>
        </w:rPr>
      </w:pPr>
    </w:p>
    <w:p>
      <w:pPr>
        <w:jc w:val="both"/>
        <w:ind w:left="3" w:hanging="3"/>
        <w:spacing w:after="0" w:line="232" w:lineRule="auto"/>
        <w:tabs>
          <w:tab w:leader="none" w:pos="52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the “</w:t>
      </w:r>
      <w:r>
        <w:rPr>
          <w:rFonts w:ascii="Times New Roman" w:cs="Times New Roman" w:eastAsia="Times New Roman" w:hAnsi="Times New Roman"/>
          <w:sz w:val="22"/>
          <w:szCs w:val="22"/>
          <w:b w:val="1"/>
          <w:bCs w:val="1"/>
          <w:color w:val="auto"/>
        </w:rPr>
        <w:t>Kymera Co-Promote Right Deadline</w:t>
      </w:r>
      <w:r>
        <w:rPr>
          <w:rFonts w:ascii="Times New Roman" w:cs="Times New Roman" w:eastAsia="Times New Roman" w:hAnsi="Times New Roman"/>
          <w:sz w:val="22"/>
          <w:szCs w:val="22"/>
          <w:color w:val="auto"/>
        </w:rPr>
        <w:t>”): (a) written notice of exercise (each such notice, the “</w:t>
      </w:r>
      <w:r>
        <w:rPr>
          <w:rFonts w:ascii="Times New Roman" w:cs="Times New Roman" w:eastAsia="Times New Roman" w:hAnsi="Times New Roman"/>
          <w:sz w:val="22"/>
          <w:szCs w:val="22"/>
          <w:b w:val="1"/>
          <w:bCs w:val="1"/>
          <w:color w:val="auto"/>
        </w:rPr>
        <w:t>Kymera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Co-Promote Right Exercise Notice</w:t>
      </w:r>
      <w:r>
        <w:rPr>
          <w:rFonts w:ascii="Times New Roman" w:cs="Times New Roman" w:eastAsia="Times New Roman" w:hAnsi="Times New Roman"/>
          <w:sz w:val="22"/>
          <w:szCs w:val="22"/>
          <w:color w:val="auto"/>
        </w:rPr>
        <w:t>”) and (b) reasonable documentation demonstrating that Kymera has (i) the necessary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sales force in place to Co-Promote the Licensed Products Directed Against such Collaboration Target in the Field in the United States or (ii) a plan reasonably designed to build such sales force to Co-Promote the Licensed Products Licensed Products Directed Against such Collaboration Target in the Field in the United States at least [***] before the anticipated First Commercial Sale of the first Licensed Product Directed Against such Collaboration Target in the Field in the United States;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Kymera will not be entitled to use in such sales force any field personnel who are responsible for promoting Collaboration Target 1 Degraders in the Excluded Field.</w:t>
      </w:r>
    </w:p>
    <w:p>
      <w:pPr>
        <w:spacing w:after="0" w:line="180" w:lineRule="exact"/>
        <w:rPr>
          <w:sz w:val="20"/>
          <w:szCs w:val="20"/>
          <w:color w:val="auto"/>
        </w:rPr>
      </w:pPr>
    </w:p>
    <w:p>
      <w:pPr>
        <w:jc w:val="both"/>
        <w:ind w:left="3" w:firstLine="1497"/>
        <w:spacing w:after="0" w:line="238" w:lineRule="auto"/>
        <w:rPr>
          <w:sz w:val="20"/>
          <w:szCs w:val="20"/>
          <w:color w:val="auto"/>
        </w:rPr>
      </w:pPr>
      <w:r>
        <w:rPr>
          <w:rFonts w:ascii="Times New Roman" w:cs="Times New Roman" w:eastAsia="Times New Roman" w:hAnsi="Times New Roman"/>
          <w:sz w:val="22"/>
          <w:szCs w:val="22"/>
          <w:color w:val="auto"/>
        </w:rPr>
        <w:t xml:space="preserve">6.2.5 On a Collaboration Target-by-Collaboration Target basis, if Kymera provides a Kymera Co-Promote Right Exercise Notice for a given Collaboration Target in accordance with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then (a) Kymera will have exercised the Kymera Co-Promote Right with respect to such Collaboration Target, and (b) the date of such Kymera Co-Promote Right Exercise Notice will be the “</w:t>
      </w:r>
      <w:r>
        <w:rPr>
          <w:rFonts w:ascii="Times New Roman" w:cs="Times New Roman" w:eastAsia="Times New Roman" w:hAnsi="Times New Roman"/>
          <w:sz w:val="22"/>
          <w:szCs w:val="22"/>
          <w:b w:val="1"/>
          <w:bCs w:val="1"/>
          <w:color w:val="auto"/>
        </w:rPr>
        <w:t>Kymera Co-Promote Effective Date</w:t>
      </w:r>
      <w:r>
        <w:rPr>
          <w:rFonts w:ascii="Times New Roman" w:cs="Times New Roman" w:eastAsia="Times New Roman" w:hAnsi="Times New Roman"/>
          <w:sz w:val="22"/>
          <w:szCs w:val="22"/>
          <w:color w:val="auto"/>
        </w:rPr>
        <w:t>” with respect to such Collaboration Target.</w:t>
      </w:r>
    </w:p>
    <w:p>
      <w:pPr>
        <w:spacing w:after="0" w:line="177" w:lineRule="exact"/>
        <w:rPr>
          <w:sz w:val="20"/>
          <w:szCs w:val="20"/>
          <w:color w:val="auto"/>
        </w:rPr>
      </w:pPr>
    </w:p>
    <w:p>
      <w:pPr>
        <w:jc w:val="both"/>
        <w:ind w:left="3" w:firstLine="1497"/>
        <w:spacing w:after="0" w:line="239" w:lineRule="auto"/>
        <w:rPr>
          <w:sz w:val="20"/>
          <w:szCs w:val="20"/>
          <w:color w:val="auto"/>
        </w:rPr>
      </w:pPr>
      <w:r>
        <w:rPr>
          <w:rFonts w:ascii="Times New Roman" w:cs="Times New Roman" w:eastAsia="Times New Roman" w:hAnsi="Times New Roman"/>
          <w:sz w:val="22"/>
          <w:szCs w:val="22"/>
          <w:color w:val="auto"/>
        </w:rPr>
        <w:t xml:space="preserve">6.2.6 On a Collaboration Target-by-Collaboration Target basis, if Kymera fails to provide a Kymera Co-Promote Right Exercise Notice in accordance with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with respect to a Collaboration Target prior to the Kymera Co-Promote Right Deadline for such Kymera Co-Promote Right, the Kymera Co-Promote Right will expire and be of no further force or effect with respect to such Collaboration Target.</w:t>
      </w:r>
    </w:p>
    <w:p>
      <w:pPr>
        <w:spacing w:after="0" w:line="180" w:lineRule="exact"/>
        <w:rPr>
          <w:sz w:val="20"/>
          <w:szCs w:val="20"/>
          <w:color w:val="auto"/>
        </w:rPr>
      </w:pPr>
    </w:p>
    <w:p>
      <w:pPr>
        <w:jc w:val="both"/>
        <w:ind w:left="3" w:firstLine="1497"/>
        <w:spacing w:after="0" w:line="236" w:lineRule="auto"/>
        <w:rPr>
          <w:sz w:val="20"/>
          <w:szCs w:val="20"/>
          <w:color w:val="auto"/>
        </w:rPr>
      </w:pPr>
      <w:r>
        <w:rPr>
          <w:rFonts w:ascii="Times New Roman" w:cs="Times New Roman" w:eastAsia="Times New Roman" w:hAnsi="Times New Roman"/>
          <w:sz w:val="22"/>
          <w:szCs w:val="22"/>
          <w:color w:val="auto"/>
        </w:rPr>
        <w:t xml:space="preserve">6.2.7 On a Collaboration Target-by-Collaboration Target basis, if Kymera exercises the Kymera Co-Promote Right with respect to a Collaboration Target, the Parties will negotiate in good faith the terms of a definitive Co-Promotion Agreement covering the Co-Promotion activities for Licensed Products Directed Against such Collaboration Target in the Field in the United States which will include the terms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Co-Promotion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within [***] of Sanofi’s receipt of the Kymera Co-Promote Exercise Notice with respect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Collaboration Target;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terms of Exhibit B shall govern until such Co-Promotion Agreement is executed.</w:t>
      </w:r>
    </w:p>
    <w:p>
      <w:pPr>
        <w:spacing w:after="0" w:line="181" w:lineRule="exact"/>
        <w:rPr>
          <w:sz w:val="20"/>
          <w:szCs w:val="20"/>
          <w:color w:val="auto"/>
        </w:rPr>
      </w:pPr>
    </w:p>
    <w:p>
      <w:pPr>
        <w:jc w:val="both"/>
        <w:ind w:left="3"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6.2.8 For clarity, the terms of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are on a Collaboration Target-by-Collaboration Target basis, and the application of such terms for a given Collaboration Target have no effect on the other Collaboration Target.</w:t>
      </w:r>
    </w:p>
    <w:p>
      <w:pPr>
        <w:spacing w:after="0" w:line="200" w:lineRule="exact"/>
        <w:rPr>
          <w:sz w:val="20"/>
          <w:szCs w:val="20"/>
          <w:color w:val="auto"/>
        </w:rPr>
      </w:pPr>
    </w:p>
    <w:p>
      <w:pPr>
        <w:spacing w:after="0" w:line="363"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478155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3"/>
          </w:cols>
          <w:pgMar w:left="797" w:top="754" w:right="339" w:bottom="1440" w:gutter="0" w:footer="0" w:header="0"/>
        </w:sectPr>
      </w:pPr>
    </w:p>
    <w:bookmarkStart w:id="229" w:name="page230"/>
    <w:bookmarkEnd w:id="229"/>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760"/>
        <w:spacing w:after="0"/>
        <w:tabs>
          <w:tab w:leader="none" w:pos="118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b w:val="1"/>
          <w:bCs w:val="1"/>
          <w:u w:val="single" w:color="auto"/>
          <w:color w:val="auto"/>
        </w:rPr>
        <w:t>Co-Commercialization Plan</w:t>
      </w:r>
      <w:r>
        <w:rPr>
          <w:rFonts w:ascii="Times New Roman" w:cs="Times New Roman" w:eastAsia="Times New Roman" w:hAnsi="Times New Roman"/>
          <w:sz w:val="22"/>
          <w:szCs w:val="22"/>
          <w:color w:val="auto"/>
        </w:rPr>
        <w:t>. On a Collaboration Target-by-Collaboration Target basis, but only during the 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Promote Period:</w:t>
      </w:r>
    </w:p>
    <w:p>
      <w:pPr>
        <w:spacing w:after="0" w:line="182" w:lineRule="exact"/>
        <w:rPr>
          <w:sz w:val="20"/>
          <w:szCs w:val="20"/>
          <w:color w:val="auto"/>
        </w:rPr>
      </w:pPr>
    </w:p>
    <w:p>
      <w:pPr>
        <w:jc w:val="both"/>
        <w:ind w:left="400" w:firstLine="1497"/>
        <w:spacing w:after="0" w:line="234" w:lineRule="auto"/>
        <w:rPr>
          <w:sz w:val="20"/>
          <w:szCs w:val="20"/>
          <w:color w:val="auto"/>
        </w:rPr>
      </w:pPr>
      <w:r>
        <w:rPr>
          <w:rFonts w:ascii="Times New Roman" w:cs="Times New Roman" w:eastAsia="Times New Roman" w:hAnsi="Times New Roman"/>
          <w:sz w:val="22"/>
          <w:szCs w:val="22"/>
          <w:color w:val="auto"/>
        </w:rPr>
        <w:t>6.3.1 The Commercialization of the Opt-In Products Directed Against such Collaboration Target in the United States will be conducted pursuant to the Co-Commercialization Plan, which will at a minimum include a reasonably detailed plan for the Commercialization of the Opt-In Products Directed Against such Collaboration Target in the United States. At least [***] prior to the anticipated date of First Commercial Sale of the first Opt-In Product Directed Against such Collaboration Target in the United States (or such other time as may be mutually agreed by the Parties), Sanofi will prepare, in consultation with Kymera via the JCC, a proposed initial Co-Commercialization Plan for the JCC’s review, discussion and approval. The JCC will endeavor to approve the initial Co-Commercialization Plan at least [***] prior to anticipated date of First Commercial Sale of an Opt-In Product Directed Against such Collaboration Target in the United States. The initial Co-Commercialization Plan for a given Collaboration Target will not be effective unless and until approved by the JCC.</w:t>
      </w:r>
    </w:p>
    <w:p>
      <w:pPr>
        <w:spacing w:after="0" w:line="179" w:lineRule="exact"/>
        <w:rPr>
          <w:sz w:val="20"/>
          <w:szCs w:val="20"/>
          <w:color w:val="auto"/>
        </w:rPr>
      </w:pPr>
    </w:p>
    <w:p>
      <w:pPr>
        <w:jc w:val="both"/>
        <w:ind w:left="400" w:firstLine="1497"/>
        <w:spacing w:after="0" w:line="247" w:lineRule="auto"/>
        <w:rPr>
          <w:sz w:val="20"/>
          <w:szCs w:val="20"/>
          <w:color w:val="auto"/>
        </w:rPr>
      </w:pPr>
      <w:r>
        <w:rPr>
          <w:rFonts w:ascii="Times New Roman" w:cs="Times New Roman" w:eastAsia="Times New Roman" w:hAnsi="Times New Roman"/>
          <w:sz w:val="21"/>
          <w:szCs w:val="21"/>
          <w:color w:val="auto"/>
        </w:rPr>
        <w:t>6.3.2 On a Collaboration Target-by-Collaboration Target basis, the Co-Commercialization Plan for a given Collaboration Target will contain a [***] rolling budget for the probable Allowed Expenses for the Commercialization activities to be performed for the United States during the then-current Calendar Year (broken down by Calendar Quarter) and the [***] of the Co-Commercialization Plan, and will be updated by Sanofi annually on a rolling</w:t>
      </w:r>
    </w:p>
    <w:p>
      <w:pPr>
        <w:spacing w:after="0" w:line="2" w:lineRule="exact"/>
        <w:rPr>
          <w:sz w:val="20"/>
          <w:szCs w:val="20"/>
          <w:color w:val="auto"/>
        </w:rPr>
      </w:pPr>
    </w:p>
    <w:p>
      <w:pPr>
        <w:jc w:val="both"/>
        <w:ind w:left="400" w:hanging="3"/>
        <w:spacing w:after="0" w:line="231" w:lineRule="auto"/>
        <w:tabs>
          <w:tab w:leader="none" w:pos="96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basis. Such initial Co-Commercialization Plan will include a budget for the then-current Calendar Year commencing as of the date of such initial Co-Commercialization Plan and ending [***] of such Calendar Year and [***] thereafter [***] (each such budget, a “</w:t>
      </w:r>
      <w:r>
        <w:rPr>
          <w:rFonts w:ascii="Times New Roman" w:cs="Times New Roman" w:eastAsia="Times New Roman" w:hAnsi="Times New Roman"/>
          <w:sz w:val="22"/>
          <w:szCs w:val="22"/>
          <w:b w:val="1"/>
          <w:bCs w:val="1"/>
          <w:color w:val="auto"/>
        </w:rPr>
        <w:t>Co-Commercialization Budget</w:t>
      </w:r>
      <w:r>
        <w:rPr>
          <w:rFonts w:ascii="Times New Roman" w:cs="Times New Roman" w:eastAsia="Times New Roman" w:hAnsi="Times New Roman"/>
          <w:sz w:val="22"/>
          <w:szCs w:val="22"/>
          <w:color w:val="auto"/>
        </w:rPr>
        <w:t>”). The [***] of the initial Co-Commercialization Budget will be binding. [***]. The initial Co-Commercialization Budget for the Co-Commercialization Plan, and each update thereto, will be prepared by Sanofi based on Sanofi’s good faith estimation, consistent with its standard internal practices, of the probable Commercialization activities to be conducted in the United States during the relevant Co-Commercialization Budget period, and based on and consistent with the documents and information related to the Opt-In Products Directed Against such Collaboration Target prepared by Sanofi for its internal use and reference in the budgeting process. Upon request by a Party, the JCC will discuss the appropriate level of detail to include in a Co-Commercialization Budget for the applicable Commercialization activities to be performed during the period covered by such Co-Commercialization Budget.</w:t>
      </w:r>
    </w:p>
    <w:p>
      <w:pPr>
        <w:spacing w:after="0" w:line="187" w:lineRule="exact"/>
        <w:rPr>
          <w:sz w:val="20"/>
          <w:szCs w:val="20"/>
          <w:color w:val="auto"/>
        </w:rPr>
      </w:pPr>
    </w:p>
    <w:p>
      <w:pPr>
        <w:jc w:val="both"/>
        <w:ind w:left="400" w:firstLine="1497"/>
        <w:spacing w:after="0" w:line="235" w:lineRule="auto"/>
        <w:rPr>
          <w:sz w:val="20"/>
          <w:szCs w:val="20"/>
          <w:color w:val="auto"/>
        </w:rPr>
      </w:pPr>
      <w:r>
        <w:rPr>
          <w:rFonts w:ascii="Times New Roman" w:cs="Times New Roman" w:eastAsia="Times New Roman" w:hAnsi="Times New Roman"/>
          <w:sz w:val="22"/>
          <w:szCs w:val="22"/>
          <w:color w:val="auto"/>
        </w:rPr>
        <w:t>6.3.3 On a Collaboration Target-by-Collaboration Target basis, Sanofi, in consultation with Kymera via the JCC, will (a) review the Co-Commercialization Plan for a given Collaboration Target at least annually for the purpose of considering appropriate amendments thereto to be proposed to the JCC and (b) then no later than [***] of the then-current Calendar Year beginning with the first full Calendar Year of the initial Co-Commercialization Plan, provide the JCC with a proposed updated Co-Commercialization Plan for the JCC’s review, discussion and approval. The JCC will endeavor to approve such updated Co-Commercialization Plan for such Collaboration Target no later than [***] of the then-current Calendar Year. Annual updates to the Co-Commercialization Budget for such Collaboration Target will contain a proposed Co-Commercialization Budget covering (i) the</w:t>
      </w: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00"/>
        <w:spacing w:after="0" w:line="238" w:lineRule="auto"/>
        <w:rPr>
          <w:sz w:val="20"/>
          <w:szCs w:val="20"/>
          <w:color w:val="auto"/>
        </w:rPr>
      </w:pPr>
      <w:r>
        <w:rPr>
          <w:rFonts w:ascii="Times New Roman" w:cs="Times New Roman" w:eastAsia="Times New Roman" w:hAnsi="Times New Roman"/>
          <w:sz w:val="22"/>
          <w:szCs w:val="22"/>
          <w:color w:val="auto"/>
        </w:rPr>
        <w:t xml:space="preserve">next Calendar Year, broken down by Calendar Quarter, and (ii) each of the [***], in each case ((i) and (ii)), in accordance with the requirements set forth in </w:t>
      </w:r>
      <w:r>
        <w:rPr>
          <w:rFonts w:ascii="Times New Roman" w:cs="Times New Roman" w:eastAsia="Times New Roman" w:hAnsi="Times New Roman"/>
          <w:sz w:val="22"/>
          <w:szCs w:val="22"/>
          <w:u w:val="single" w:color="auto"/>
          <w:color w:val="auto"/>
        </w:rPr>
        <w:t>Section 6.3.2</w:t>
      </w:r>
      <w:r>
        <w:rPr>
          <w:rFonts w:ascii="Times New Roman" w:cs="Times New Roman" w:eastAsia="Times New Roman" w:hAnsi="Times New Roman"/>
          <w:sz w:val="22"/>
          <w:szCs w:val="22"/>
          <w:color w:val="auto"/>
        </w:rPr>
        <w:t>. In addition to the annual update, either Party, through its representatives on the JCC, may propose amendments to the Co-Commercialization Plan for such Collaboration Target at any time. No update or amendment to the Co-Commercialization Plan for such Collaboration Target will be effective unless and until approved by the JCC.</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u w:val="single" w:color="auto"/>
          <w:color w:val="auto"/>
        </w:rPr>
        <w:t>Commercialization Activities in the United States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1497"/>
        <w:spacing w:after="0" w:line="246" w:lineRule="auto"/>
        <w:rPr>
          <w:sz w:val="20"/>
          <w:szCs w:val="20"/>
          <w:color w:val="auto"/>
        </w:rPr>
      </w:pPr>
      <w:r>
        <w:rPr>
          <w:rFonts w:ascii="Times New Roman" w:cs="Times New Roman" w:eastAsia="Times New Roman" w:hAnsi="Times New Roman"/>
          <w:sz w:val="21"/>
          <w:szCs w:val="21"/>
          <w:color w:val="auto"/>
        </w:rPr>
        <w:t>6.4.1 On a Collaboration Target-by-Collaboration Target basis, during the applicable Co-Promote Period, for each Opt-In Product Directed Against such Collaboration Target in the United States, Sanofi will be solely responsible for all Commercialization activities for each Opt-In Product Directed Against such Collaboration Target in the Field in the United States, including handling all returns, recalls, order processing, invoicing and collection, booking of sales, inventory and receivables, and managed and government pricing programs, other than Kymera’s Co-Promotion activities with respect to such Opt-In Product Directed Against such Collaboration Target as set forth in the Co-Promotion Agreement. Kymera will not accept orders for any Opt-In Product Directed Against such Collaboration Target or make sales for its own account or for Sanofi’s account, and if Kymera receives any order for an Opt-In Product Directed Against such Collaboration Target in the United States, then it will refer such orders to Sanofi for acceptance or rejection.</w:t>
      </w:r>
    </w:p>
    <w:p>
      <w:pPr>
        <w:spacing w:after="0" w:line="175" w:lineRule="exact"/>
        <w:rPr>
          <w:sz w:val="20"/>
          <w:szCs w:val="20"/>
          <w:color w:val="auto"/>
        </w:rPr>
      </w:pPr>
    </w:p>
    <w:p>
      <w:pPr>
        <w:jc w:val="both"/>
        <w:ind w:left="400" w:firstLine="1497"/>
        <w:spacing w:after="0" w:line="236" w:lineRule="auto"/>
        <w:rPr>
          <w:sz w:val="20"/>
          <w:szCs w:val="20"/>
          <w:color w:val="auto"/>
        </w:rPr>
      </w:pPr>
      <w:r>
        <w:rPr>
          <w:rFonts w:ascii="Times New Roman" w:cs="Times New Roman" w:eastAsia="Times New Roman" w:hAnsi="Times New Roman"/>
          <w:sz w:val="22"/>
          <w:szCs w:val="22"/>
          <w:color w:val="auto"/>
        </w:rPr>
        <w:t>6.4.2 On a Collaboration Target-by-Collaboration Target basis, if Kymera does not exercise the Kymera Co-Promote Right with respect to a given Collaboration Target (or thereafter exercises the corresponding Kymera Co-Promote Opt-Out Right for such Collaboration Target), then Sanofi will be solely responsible for all Commercialization activities for each Licensed Product Directed Against such Collaboration Target in the Field in the United States, including development and implementation of a promotional strategy, handling all returns, recalls, order processing, invoicing and collection, booking of sales, inventory and receivables, and managed and government pricing programs.</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u w:val="single" w:color="auto"/>
          <w:color w:val="auto"/>
        </w:rPr>
        <w:t>Commercialization Activities in the Rest of World</w:t>
      </w:r>
      <w:r>
        <w:rPr>
          <w:rFonts w:ascii="Times New Roman" w:cs="Times New Roman" w:eastAsia="Times New Roman" w:hAnsi="Times New Roman"/>
          <w:sz w:val="22"/>
          <w:szCs w:val="22"/>
          <w:color w:val="auto"/>
        </w:rPr>
        <w:t>. On a Collaboration Target-by-Collaboration Target basis, Sanofi will be solely responsible for all Commercialization activities for each Licensed Product Directed Against such Collaboration Target in the Field in the Rest of World including development and implementation of a promotional strategy, handling all returns, recalls, order processing, invoicing and collection, booking of sales, inventory and receivables, and managed and government pricing programs.</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u w:val="single" w:color="auto"/>
          <w:color w:val="auto"/>
        </w:rPr>
        <w:t>No Commercialization Activities in the Excluded Field</w:t>
      </w:r>
      <w:r>
        <w:rPr>
          <w:rFonts w:ascii="Times New Roman" w:cs="Times New Roman" w:eastAsia="Times New Roman" w:hAnsi="Times New Roman"/>
          <w:sz w:val="22"/>
          <w:szCs w:val="22"/>
          <w:color w:val="auto"/>
        </w:rPr>
        <w:t>. For clarity, in no event will any of the Commercialization activities under this Agreement be conducted in the Excluded Field.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b w:val="1"/>
          <w:bCs w:val="1"/>
          <w:u w:val="single" w:color="auto"/>
          <w:color w:val="auto"/>
        </w:rPr>
        <w:t>Diligence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1497"/>
        <w:spacing w:after="0" w:line="244" w:lineRule="auto"/>
        <w:rPr>
          <w:sz w:val="20"/>
          <w:szCs w:val="20"/>
          <w:color w:val="auto"/>
        </w:rPr>
      </w:pPr>
      <w:r>
        <w:rPr>
          <w:rFonts w:ascii="Times New Roman" w:cs="Times New Roman" w:eastAsia="Times New Roman" w:hAnsi="Times New Roman"/>
          <w:sz w:val="22"/>
          <w:szCs w:val="22"/>
          <w:color w:val="auto"/>
        </w:rPr>
        <w:t>6.7.1 On a Collaboration Target-by-Collaboration Target basis, during the applicable Co-Promote Period (if any), Kymera will use diligent efforts to perform its Co-Promotion activities for the Opt-In Products Directed Against such Collaboration Target in</w:t>
      </w:r>
    </w:p>
    <w:p>
      <w:pPr>
        <w:spacing w:after="0" w:line="200" w:lineRule="exact"/>
        <w:rPr>
          <w:sz w:val="20"/>
          <w:szCs w:val="20"/>
          <w:color w:val="auto"/>
        </w:rPr>
      </w:pPr>
    </w:p>
    <w:p>
      <w:pPr>
        <w:spacing w:after="0" w:line="3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22"/>
          <w:szCs w:val="22"/>
          <w:color w:val="auto"/>
        </w:rPr>
        <w:t>the Field in the United States in accordance with the Co-Commercialization Plan and the Co-Promotion Agreement for such Collaboration Target.</w:t>
      </w:r>
    </w:p>
    <w:p>
      <w:pPr>
        <w:spacing w:after="0" w:line="158" w:lineRule="exact"/>
        <w:rPr>
          <w:sz w:val="20"/>
          <w:szCs w:val="20"/>
          <w:color w:val="auto"/>
        </w:rPr>
      </w:pPr>
    </w:p>
    <w:p>
      <w:pPr>
        <w:jc w:val="both"/>
        <w:ind w:left="3" w:firstLine="1497"/>
        <w:spacing w:after="0" w:line="239" w:lineRule="auto"/>
        <w:rPr>
          <w:sz w:val="20"/>
          <w:szCs w:val="20"/>
          <w:color w:val="auto"/>
        </w:rPr>
      </w:pPr>
      <w:r>
        <w:rPr>
          <w:rFonts w:ascii="Times New Roman" w:cs="Times New Roman" w:eastAsia="Times New Roman" w:hAnsi="Times New Roman"/>
          <w:sz w:val="22"/>
          <w:szCs w:val="22"/>
          <w:color w:val="auto"/>
        </w:rPr>
        <w:t>6.7.2 On a Collaboration Target-by-Collaboration Target basis, Sanofi will use diligent efforts to perform its Commercialization activities for the Opt-In Products Directed Against such Collaboration Target in the Field in the United States in accordance with the Co-Commercialization Plan and the Co-Promotion Agreement (if any) for such Collaboration Target.</w:t>
      </w:r>
    </w:p>
    <w:p>
      <w:pPr>
        <w:spacing w:after="0" w:line="180" w:lineRule="exact"/>
        <w:rPr>
          <w:sz w:val="20"/>
          <w:szCs w:val="20"/>
          <w:color w:val="auto"/>
        </w:rPr>
      </w:pPr>
    </w:p>
    <w:p>
      <w:pPr>
        <w:jc w:val="both"/>
        <w:ind w:left="3" w:right="20" w:firstLine="1497"/>
        <w:spacing w:after="0" w:line="258" w:lineRule="auto"/>
        <w:rPr>
          <w:sz w:val="20"/>
          <w:szCs w:val="20"/>
          <w:color w:val="auto"/>
        </w:rPr>
      </w:pPr>
      <w:r>
        <w:rPr>
          <w:rFonts w:ascii="Times New Roman" w:cs="Times New Roman" w:eastAsia="Times New Roman" w:hAnsi="Times New Roman"/>
          <w:sz w:val="22"/>
          <w:szCs w:val="22"/>
          <w:color w:val="auto"/>
        </w:rPr>
        <w:t>6.7.3 On a Collaboration Target-by-Collaboration Target basis, during the Sanofi Participation Term for a given Collaboration Target, [***].</w:t>
      </w:r>
    </w:p>
    <w:p>
      <w:pPr>
        <w:spacing w:after="0" w:line="154" w:lineRule="exact"/>
        <w:rPr>
          <w:sz w:val="20"/>
          <w:szCs w:val="20"/>
          <w:color w:val="auto"/>
        </w:rPr>
      </w:pPr>
    </w:p>
    <w:p>
      <w:pPr>
        <w:ind w:left="363"/>
        <w:spacing w:after="0"/>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b w:val="1"/>
          <w:bCs w:val="1"/>
          <w:u w:val="single" w:color="auto"/>
          <w:color w:val="auto"/>
        </w:rPr>
        <w:t>Reports</w:t>
      </w:r>
      <w:r>
        <w:rPr>
          <w:rFonts w:ascii="Times New Roman" w:cs="Times New Roman" w:eastAsia="Times New Roman" w:hAnsi="Times New Roman"/>
          <w:sz w:val="22"/>
          <w:szCs w:val="22"/>
          <w:color w:val="auto"/>
        </w:rPr>
        <w:t>. During the Co-Promote Period (if any):</w:t>
      </w:r>
    </w:p>
    <w:p>
      <w:pPr>
        <w:spacing w:after="0" w:line="210" w:lineRule="exact"/>
        <w:rPr>
          <w:sz w:val="20"/>
          <w:szCs w:val="20"/>
          <w:color w:val="auto"/>
        </w:rPr>
      </w:pPr>
    </w:p>
    <w:p>
      <w:pPr>
        <w:jc w:val="both"/>
        <w:ind w:left="3" w:firstLine="1497"/>
        <w:spacing w:after="0" w:line="234" w:lineRule="auto"/>
        <w:rPr>
          <w:sz w:val="20"/>
          <w:szCs w:val="20"/>
          <w:color w:val="auto"/>
        </w:rPr>
      </w:pPr>
      <w:r>
        <w:rPr>
          <w:rFonts w:ascii="Times New Roman" w:cs="Times New Roman" w:eastAsia="Times New Roman" w:hAnsi="Times New Roman"/>
          <w:sz w:val="22"/>
          <w:szCs w:val="22"/>
          <w:color w:val="auto"/>
        </w:rPr>
        <w:t xml:space="preserve">6.8.1 On a Collaboration Target-by-Collaboration Target basis, [***], each Party will provide to the JCC during the applicable Co-Promote Period (if any), a summary of material Commercialization activities undertaken by or on behalf of such Party in the Field in the Territory during such Calendar Quarter with respect to Licensed Products Directed Against such Collaboration Target, and an overview of the resources, including an overview of FTEs, allocated to activities under the Co-Commercialization Plan during the relevant Calendar Quarter. Such Party will provide the JCC with such other information with respect to the Commercialization activities as any member of the JCC may reasonably request that are in such Party’s Control. Each Party will maintain records relating to its sales force and account management. Kymera’s obligations under this </w:t>
      </w:r>
      <w:r>
        <w:rPr>
          <w:rFonts w:ascii="Times New Roman" w:cs="Times New Roman" w:eastAsia="Times New Roman" w:hAnsi="Times New Roman"/>
          <w:sz w:val="22"/>
          <w:szCs w:val="22"/>
          <w:u w:val="single" w:color="auto"/>
          <w:color w:val="auto"/>
        </w:rPr>
        <w:t>Section 6.8.1</w:t>
      </w:r>
      <w:r>
        <w:rPr>
          <w:rFonts w:ascii="Times New Roman" w:cs="Times New Roman" w:eastAsia="Times New Roman" w:hAnsi="Times New Roman"/>
          <w:sz w:val="22"/>
          <w:szCs w:val="22"/>
          <w:color w:val="auto"/>
        </w:rPr>
        <w:t xml:space="preserve"> will only apply during the Co-Promote Period for a particular Collaboration Target.</w:t>
      </w:r>
    </w:p>
    <w:p>
      <w:pPr>
        <w:spacing w:after="0" w:line="183" w:lineRule="exact"/>
        <w:rPr>
          <w:sz w:val="20"/>
          <w:szCs w:val="20"/>
          <w:color w:val="auto"/>
        </w:rPr>
      </w:pPr>
    </w:p>
    <w:p>
      <w:pPr>
        <w:jc w:val="both"/>
        <w:ind w:left="3" w:firstLine="1497"/>
        <w:spacing w:after="0" w:line="236" w:lineRule="auto"/>
        <w:rPr>
          <w:sz w:val="20"/>
          <w:szCs w:val="20"/>
          <w:color w:val="auto"/>
        </w:rPr>
      </w:pPr>
      <w:r>
        <w:rPr>
          <w:rFonts w:ascii="Times New Roman" w:cs="Times New Roman" w:eastAsia="Times New Roman" w:hAnsi="Times New Roman"/>
          <w:sz w:val="22"/>
          <w:szCs w:val="22"/>
          <w:color w:val="auto"/>
        </w:rPr>
        <w:t>6.8.2 Sanofi will be responsible for the creation, preparation, production, reproduction, review (medical, legal, and regulatory), and filing with the applicable Regulatory Authorities, of promotional materials relating to each Licensed Product in the Field in the Territory. All such promotional materials will be compliant with Applicable Law. Unless prohibited under Applicable Law, Sanofi will include a reference in such promotional materials to such Licensed Product as being marketed by Sanofi and Kymera in the Field in the Territory. Sanofi will own all rights, title, and interest, in and to any and all promotional materials for any Licensed Product in the Field in the Territory.</w:t>
      </w:r>
    </w:p>
    <w:p>
      <w:pPr>
        <w:spacing w:after="0" w:line="181" w:lineRule="exact"/>
        <w:rPr>
          <w:sz w:val="20"/>
          <w:szCs w:val="20"/>
          <w:color w:val="auto"/>
        </w:rPr>
      </w:pPr>
    </w:p>
    <w:p>
      <w:pPr>
        <w:ind w:left="1503"/>
        <w:spacing w:after="0"/>
        <w:tabs>
          <w:tab w:leader="none" w:pos="2343" w:val="left"/>
        </w:tabs>
        <w:rPr>
          <w:sz w:val="20"/>
          <w:szCs w:val="20"/>
          <w:color w:val="auto"/>
        </w:rPr>
      </w:pPr>
      <w:r>
        <w:rPr>
          <w:rFonts w:ascii="Times New Roman" w:cs="Times New Roman" w:eastAsia="Times New Roman" w:hAnsi="Times New Roman"/>
          <w:sz w:val="22"/>
          <w:szCs w:val="22"/>
          <w:color w:val="auto"/>
        </w:rPr>
        <w:t>6.8.3</w:t>
      </w:r>
      <w:r>
        <w:rPr>
          <w:sz w:val="20"/>
          <w:szCs w:val="20"/>
          <w:color w:val="auto"/>
        </w:rPr>
        <w:tab/>
      </w:r>
      <w:r>
        <w:rPr>
          <w:rFonts w:ascii="Times New Roman" w:cs="Times New Roman" w:eastAsia="Times New Roman" w:hAnsi="Times New Roman"/>
          <w:sz w:val="21"/>
          <w:szCs w:val="21"/>
          <w:color w:val="auto"/>
        </w:rPr>
        <w:t>On a Collaboration Target-by-Collaboration Target basis, [***].</w:t>
      </w:r>
    </w:p>
    <w:p>
      <w:pPr>
        <w:spacing w:after="0" w:line="202" w:lineRule="exact"/>
        <w:rPr>
          <w:sz w:val="20"/>
          <w:szCs w:val="20"/>
          <w:color w:val="auto"/>
        </w:rPr>
      </w:pPr>
    </w:p>
    <w:p>
      <w:pPr>
        <w:ind w:left="363"/>
        <w:spacing w:after="0"/>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b w:val="1"/>
          <w:bCs w:val="1"/>
          <w:u w:val="single" w:color="auto"/>
          <w:color w:val="auto"/>
        </w:rPr>
        <w:t>Advertising and Promotional Materials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 w:firstLine="1497"/>
        <w:spacing w:after="0" w:line="245" w:lineRule="auto"/>
        <w:rPr>
          <w:sz w:val="20"/>
          <w:szCs w:val="20"/>
          <w:color w:val="auto"/>
        </w:rPr>
      </w:pPr>
      <w:r>
        <w:rPr>
          <w:rFonts w:ascii="Times New Roman" w:cs="Times New Roman" w:eastAsia="Times New Roman" w:hAnsi="Times New Roman"/>
          <w:sz w:val="21"/>
          <w:szCs w:val="21"/>
          <w:color w:val="auto"/>
        </w:rPr>
        <w:t>6.9.1 Sanofi, in its reasonable discretion, will lead and develop (and thereafter modify and update) a branding strategy (including positioning, messages, logo, colors, and other visual branding elements) (a “</w:t>
      </w:r>
      <w:r>
        <w:rPr>
          <w:rFonts w:ascii="Times New Roman" w:cs="Times New Roman" w:eastAsia="Times New Roman" w:hAnsi="Times New Roman"/>
          <w:sz w:val="21"/>
          <w:szCs w:val="21"/>
          <w:b w:val="1"/>
          <w:bCs w:val="1"/>
          <w:color w:val="auto"/>
        </w:rPr>
        <w:t>Branding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Strategy</w:t>
      </w:r>
      <w:r>
        <w:rPr>
          <w:rFonts w:ascii="Times New Roman" w:cs="Times New Roman" w:eastAsia="Times New Roman" w:hAnsi="Times New Roman"/>
          <w:sz w:val="21"/>
          <w:szCs w:val="21"/>
          <w:color w:val="auto"/>
        </w:rPr>
        <w:t>”) for each Licensed Product in the Field in the Territory. During the Research Term, Kymera, in its reasonable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discretion, will lead and develop the International Nonproprietary Name (INN) submission request process for Licensed Products Directed Against Collaboration Target 1; provided that (i) Kymera shall provide a draft of the INN submission to Sanofi prior to its submission, (ii) Sanofi shall have [***] to review such submission and provide comments to Kymera and</w:t>
      </w:r>
    </w:p>
    <w:p>
      <w:pPr>
        <w:spacing w:after="0" w:line="3" w:lineRule="exact"/>
        <w:rPr>
          <w:sz w:val="20"/>
          <w:szCs w:val="20"/>
          <w:color w:val="auto"/>
        </w:rPr>
      </w:pPr>
    </w:p>
    <w:p>
      <w:pPr>
        <w:ind w:left="5043" w:right="2240" w:hanging="5043"/>
        <w:spacing w:after="0" w:line="824" w:lineRule="auto"/>
        <w:tabs>
          <w:tab w:leader="none" w:pos="38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shall consider any such comments provided by Sanofi in good faith; provided further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69215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3"/>
          </w:cols>
          <w:pgMar w:left="797" w:top="754" w:right="339" w:bottom="1440" w:gutter="0" w:footer="0" w:header="0"/>
        </w:sectPr>
      </w:pPr>
    </w:p>
    <w:bookmarkStart w:id="232" w:name="page233"/>
    <w:bookmarkEnd w:id="232"/>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left="400"/>
        <w:spacing w:after="0" w:line="236" w:lineRule="auto"/>
        <w:rPr>
          <w:sz w:val="20"/>
          <w:szCs w:val="20"/>
          <w:color w:val="auto"/>
        </w:rPr>
      </w:pPr>
      <w:r>
        <w:rPr>
          <w:rFonts w:ascii="Times New Roman" w:cs="Times New Roman" w:eastAsia="Times New Roman" w:hAnsi="Times New Roman"/>
          <w:sz w:val="22"/>
          <w:szCs w:val="22"/>
          <w:color w:val="auto"/>
        </w:rPr>
        <w:t>that, in the event that Applicable Law requires Sanofi to be the filing party for such INN submission, Kymera shall continue to lead and develop the INN submission request process, and Sanofi shall be responsible for filing the INN. During the Sanofi Participation Term (if any), Sanofi, in its reasonable discretion, will lead and develop the INN submission request process for Licensed Products Directed Against Collaboration Target 1; provided that, (i) Sanofi shall provide such INN submission to Kymera prior to its submission, (ii) Kymera shall have [***] to review such submission and provide comments to Sanofi and (iii) Sanofi shall consider any such comments provided by Kymera in good faith.</w:t>
      </w:r>
    </w:p>
    <w:p>
      <w:pPr>
        <w:spacing w:after="0" w:line="181" w:lineRule="exact"/>
        <w:rPr>
          <w:sz w:val="20"/>
          <w:szCs w:val="20"/>
          <w:color w:val="auto"/>
        </w:rPr>
      </w:pPr>
    </w:p>
    <w:p>
      <w:pPr>
        <w:jc w:val="both"/>
        <w:ind w:left="400" w:firstLine="1497"/>
        <w:spacing w:after="0" w:line="235" w:lineRule="auto"/>
        <w:rPr>
          <w:sz w:val="20"/>
          <w:szCs w:val="20"/>
          <w:color w:val="auto"/>
        </w:rPr>
      </w:pPr>
      <w:r>
        <w:rPr>
          <w:rFonts w:ascii="Times New Roman" w:cs="Times New Roman" w:eastAsia="Times New Roman" w:hAnsi="Times New Roman"/>
          <w:sz w:val="22"/>
          <w:szCs w:val="22"/>
          <w:color w:val="auto"/>
        </w:rPr>
        <w:t>6.9.2 Sanofi will be responsible for the creation, preparation, production, reproduction, review (medical, legal, and regulatory), and filing with the applicable Regulatory Authorities, of Promotional Materials relating to each Licensed Product. All such Promotional Materials will be compliant with Applicable Law. During the Co-Promote Period and in respect of materials for the U.S., (i) all Promotional Materials will be consistent in all material respects with the Co-Commercialization Plan for such Licensed Product and (ii) unless prohibited under Applicable Law, Sanofi will include a reference in such Promotional Materials to such Licensed Product as being marketed by Sanofi and Kymera in the approved Indication in the Field in the Territory. Sanofi will own all rights, title, and interest, in and to any and all Promotional Materials for any Licensed Product.</w:t>
      </w:r>
    </w:p>
    <w:p>
      <w:pPr>
        <w:spacing w:after="0" w:line="178" w:lineRule="exact"/>
        <w:rPr>
          <w:sz w:val="20"/>
          <w:szCs w:val="20"/>
          <w:color w:val="auto"/>
        </w:rPr>
      </w:pPr>
    </w:p>
    <w:p>
      <w:pPr>
        <w:jc w:val="both"/>
        <w:ind w:left="400" w:firstLine="1497"/>
        <w:spacing w:after="0" w:line="244" w:lineRule="auto"/>
        <w:rPr>
          <w:sz w:val="20"/>
          <w:szCs w:val="20"/>
          <w:color w:val="auto"/>
        </w:rPr>
      </w:pPr>
      <w:r>
        <w:rPr>
          <w:rFonts w:ascii="Times New Roman" w:cs="Times New Roman" w:eastAsia="Times New Roman" w:hAnsi="Times New Roman"/>
          <w:sz w:val="22"/>
          <w:szCs w:val="22"/>
          <w:color w:val="auto"/>
        </w:rPr>
        <w:t>6.9.3 Sanofi will develop and approve packaging and labeling for each Licensed Product, which in all cases will be in accordance with Applicable Law. During the Co-Promote Period, such activities further will be consistent with the Co-Commercialization Plan.</w:t>
      </w:r>
    </w:p>
    <w:p>
      <w:pPr>
        <w:spacing w:after="0" w:line="173" w:lineRule="exact"/>
        <w:rPr>
          <w:sz w:val="20"/>
          <w:szCs w:val="20"/>
          <w:color w:val="auto"/>
        </w:rPr>
      </w:pPr>
    </w:p>
    <w:p>
      <w:pPr>
        <w:jc w:val="both"/>
        <w:ind w:left="400" w:firstLine="1497"/>
        <w:spacing w:after="0" w:line="233" w:lineRule="auto"/>
        <w:rPr>
          <w:sz w:val="20"/>
          <w:szCs w:val="20"/>
          <w:color w:val="auto"/>
        </w:rPr>
      </w:pPr>
      <w:r>
        <w:rPr>
          <w:rFonts w:ascii="Times New Roman" w:cs="Times New Roman" w:eastAsia="Times New Roman" w:hAnsi="Times New Roman"/>
          <w:sz w:val="22"/>
          <w:szCs w:val="22"/>
          <w:color w:val="auto"/>
        </w:rPr>
        <w:t xml:space="preserve">6.9.4 Sanofi will have the sole right to determine and own the trademarks used in connection with the Development, Manufacture and Commercialization of the Licensed Products on a worldwide basis. Subject to any pre-existing trademarks a Party may have, neither Party will, directly or indirectly: (a) use in their respective businesses, any trademark that is confusingly similar to, misleading, or deceptive with respect to or that dilutes any trademark for a Licensed Product; and (b) do any act which endangers, destroys, or similarly affects, in any material respect, the value of the goodwill pertaining to the trademarks for any Licensed Product. Each Party agrees to conform to the customary industry standards for the protection of trademarks for Licensed Products and such guidelines of Sanofi with respect to manner of use (in the case of Kymera, as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writing by Sanofi) of the trademarks for Licensed Products. Without limiting any pre-existing trademarks a Party may have, neither Party will, directly or indirectly, attack, dispute, or contest the validity of or ownership of such trademark anywhere in the Territory or any registrations issued or issuing with respect thereto.</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b w:val="1"/>
          <w:bCs w:val="1"/>
          <w:u w:val="single" w:color="auto"/>
          <w:color w:val="auto"/>
        </w:rPr>
        <w:t>Sales and Distribution</w:t>
      </w:r>
      <w:r>
        <w:rPr>
          <w:rFonts w:ascii="Times New Roman" w:cs="Times New Roman" w:eastAsia="Times New Roman" w:hAnsi="Times New Roman"/>
          <w:sz w:val="22"/>
          <w:szCs w:val="22"/>
          <w:color w:val="auto"/>
        </w:rPr>
        <w:t>. Notwithstanding anything to the contrary contained in this Agreement, Sanofi and its Affiliates will, as between the Parties, have the sole right to book sales, warehouse and distribute Licensed Products in the Field in the Territory.</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b w:val="1"/>
          <w:bCs w:val="1"/>
          <w:u w:val="single" w:color="auto"/>
          <w:color w:val="auto"/>
        </w:rPr>
        <w:t>Recalls, Market Withdrawals or Corrective Actions</w:t>
      </w:r>
      <w:r>
        <w:rPr>
          <w:rFonts w:ascii="Times New Roman" w:cs="Times New Roman" w:eastAsia="Times New Roman" w:hAnsi="Times New Roman"/>
          <w:sz w:val="22"/>
          <w:szCs w:val="22"/>
          <w:color w:val="auto"/>
        </w:rPr>
        <w:t>. In the event that any Regulatory Authority issues or requests a recall or takes a similar action in connection with a Licensed Product in the Field in the Territory, Sanofi will, as between the Parties, have the sole</w:t>
      </w: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33" w:name="page234"/>
    <w:bookmarkEnd w:id="233"/>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right to decide whether to conduct a recall and the manner in which any such recall will be conducted. Without limiting any indemnification obligation Kymera may have under this Agreement, (a) during the applicable Opt-In Period, [***], (b) during any time other than the applicable Opt-In Period, [***], and (c) [***].</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b w:val="1"/>
          <w:bCs w:val="1"/>
          <w:u w:val="single" w:color="auto"/>
          <w:color w:val="auto"/>
        </w:rPr>
        <w:t>Pricing Approvals and Combination Product Decisions</w:t>
      </w:r>
      <w:r>
        <w:rPr>
          <w:rFonts w:ascii="Times New Roman" w:cs="Times New Roman" w:eastAsia="Times New Roman" w:hAnsi="Times New Roman"/>
          <w:sz w:val="22"/>
          <w:szCs w:val="22"/>
          <w:color w:val="auto"/>
        </w:rPr>
        <w:t>. For all Licensed Products, Sanofi will exclusively control without coordination by the JCC (a) all Price Approvals and (b) all decisions with respect to Commercialization of such Licensed Products as Combination Products. Kymera will provide Sanofi with reasonable assistance and cooperation with respect to obtaining pricing and reimbursement approvals for all such Licensed Products, at Sanofi’s request and expense, subject to the Cost/Profit Share, if applicable.</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b w:val="1"/>
          <w:bCs w:val="1"/>
          <w:u w:val="single" w:color="auto"/>
          <w:color w:val="auto"/>
        </w:rPr>
        <w:t>Subcontracts</w:t>
      </w:r>
      <w:r>
        <w:rPr>
          <w:rFonts w:ascii="Times New Roman" w:cs="Times New Roman" w:eastAsia="Times New Roman" w:hAnsi="Times New Roman"/>
          <w:sz w:val="22"/>
          <w:szCs w:val="22"/>
          <w:color w:val="auto"/>
        </w:rPr>
        <w:t xml:space="preserve">. Subject to any applicable Cost/Profit Sharing Agreement or Co-Promote Agreement, each Party will be entitled to utilize the services of Third Parties to perform Commercialization activities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such Party will require that such Third Party perform its obligations in a manner consistent with the terms of this Agreement, (b) if such Party is Kymera, (i) Sanofi will have the right to conduct customary reviews and audits of Kymera and its Affiliates and (ii) Kymera will use diligent efforts to obtain for Sanofi the right to conduct customary reviews and audits of its Approved Third Party Contractors, in each case ((i) and (ii)), upon [***] prior written notice, to confirm such Parties’ compliance with the Co-Promotion Agreement and (c) such Party will remain at all times fully liable for its responsibilities. Each Party will require that any such Third Party agreement entered into by such Party pursuant to this </w:t>
      </w:r>
      <w:r>
        <w:rPr>
          <w:rFonts w:ascii="Times New Roman" w:cs="Times New Roman" w:eastAsia="Times New Roman" w:hAnsi="Times New Roman"/>
          <w:sz w:val="22"/>
          <w:szCs w:val="22"/>
          <w:u w:val="single" w:color="auto"/>
          <w:color w:val="auto"/>
        </w:rPr>
        <w:t>Section 6.13</w:t>
      </w:r>
      <w:r>
        <w:rPr>
          <w:rFonts w:ascii="Times New Roman" w:cs="Times New Roman" w:eastAsia="Times New Roman" w:hAnsi="Times New Roman"/>
          <w:sz w:val="22"/>
          <w:szCs w:val="22"/>
          <w:color w:val="auto"/>
        </w:rPr>
        <w:t xml:space="preserve"> [***]. For clarity, [***]. In each agreement with a Third Party that relates solely to Collaboration Compounds, Collaboration Candidates or Licensed Products, the subcontracting Party will use Commercially Reasonable Efforts to require that such agreement is freely assignable.</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REGULATORY MATTERS</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u w:val="single" w:color="auto"/>
          <w:color w:val="auto"/>
        </w:rPr>
        <w:t>Regulatory Lead Responsibilities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on a Collaboration Target-by-Collaboration Target basis, the Regulatory Lead will be solely responsible for all regulatory matters in the Territory relating to the Collaboration Candidates and Licensed Products Directed Against such Collaboration Target for which such Party is the Regulatory Lead. The Regulatory Lead will own all INDs, NDAs, Marketing Approvals, Regulatory Filings, Price Approvals and related regulatory documents in the Territory with respect to such Collaboration Candidates and Licensed Products Directed Against such Collaboration Target, including any drug master files maintained by such Regulatory Lead solely with respect thereto in the Territory. The role of Regulatory Lead may transition from one Party to the other Party as contemplated by the definition of such term, and the Parties will document such transition in writing. On a Collaboration Target-by-Collaboration Target basis, the Regulatory Lead will be the sole point of contact with Regulatory Authorities with respect to the Collaboration Candidates and Licensed Products Directed Against such Collaboration Target.</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u w:val="single" w:color="auto"/>
          <w:color w:val="auto"/>
        </w:rPr>
        <w:t>Assignment of Regulatory Filings</w:t>
      </w:r>
      <w:r>
        <w:rPr>
          <w:rFonts w:ascii="Times New Roman" w:cs="Times New Roman" w:eastAsia="Times New Roman" w:hAnsi="Times New Roman"/>
          <w:sz w:val="22"/>
          <w:szCs w:val="22"/>
          <w:color w:val="auto"/>
        </w:rPr>
        <w:t xml:space="preserve">. To the extent not already completed pursuant to </w:t>
      </w:r>
      <w:r>
        <w:rPr>
          <w:rFonts w:ascii="Times New Roman" w:cs="Times New Roman" w:eastAsia="Times New Roman" w:hAnsi="Times New Roman"/>
          <w:sz w:val="22"/>
          <w:szCs w:val="22"/>
          <w:u w:val="single" w:color="auto"/>
          <w:color w:val="auto"/>
        </w:rPr>
        <w:t>Section 3.1.1(e)</w:t>
      </w:r>
      <w:r>
        <w:rPr>
          <w:rFonts w:ascii="Times New Roman" w:cs="Times New Roman" w:eastAsia="Times New Roman" w:hAnsi="Times New Roman"/>
          <w:sz w:val="22"/>
          <w:szCs w:val="22"/>
          <w:color w:val="auto"/>
        </w:rPr>
        <w:t>, On a Collaboration Target-by-Collaboration Target basis, within [***] following Sanofi Participation Election Effective Date for a given Collaboration Target (if any),</w:t>
      </w: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34" w:name="page235"/>
    <w:bookmarkEnd w:id="234"/>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left="80" w:right="20"/>
        <w:spacing w:after="0" w:line="239" w:lineRule="auto"/>
        <w:rPr>
          <w:sz w:val="20"/>
          <w:szCs w:val="20"/>
          <w:color w:val="auto"/>
        </w:rPr>
      </w:pPr>
      <w:r>
        <w:rPr>
          <w:rFonts w:ascii="Times New Roman" w:cs="Times New Roman" w:eastAsia="Times New Roman" w:hAnsi="Times New Roman"/>
          <w:sz w:val="22"/>
          <w:szCs w:val="22"/>
          <w:color w:val="auto"/>
        </w:rPr>
        <w:t>Kymera will transfer and assign to Sanofi Kymera’s entire right, title, and interest in and to all INDs, other Regulatory Filings, and other regulatory documentation in the Territory with respect to all Collaboration Candidates and Licensed Products Directed Against such Collaboration Target that is in the possession and control of Kymera, excluding any drug master files maintained by Kymera or a Third Party solely with respect thereto.</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u w:val="single" w:color="auto"/>
          <w:color w:val="auto"/>
        </w:rPr>
        <w:t>Communications with Regulatory Authorities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7.3.1 On a Collaboration Target-by-Collaboration Target basis, (a) Kymera, as Regulatory Lead, with respect to Material Communications with a Regulatory Authority in the Territory, and (b) Sanofi, as Regulatory Lead prior to and during the Opt-In Period, with respect to Material Communications with a Regulatory Authority in the Major Market Countries, as applicable, will:</w:t>
      </w:r>
    </w:p>
    <w:p>
      <w:pPr>
        <w:spacing w:after="0" w:line="180" w:lineRule="exact"/>
        <w:rPr>
          <w:sz w:val="20"/>
          <w:szCs w:val="20"/>
          <w:color w:val="auto"/>
        </w:rPr>
      </w:pPr>
    </w:p>
    <w:p>
      <w:pPr>
        <w:jc w:val="both"/>
        <w:ind w:firstLine="2254"/>
        <w:spacing w:after="0" w:line="235" w:lineRule="auto"/>
        <w:tabs>
          <w:tab w:leader="none" w:pos="267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the JSC (or a Committee or Subcommittee to which the JSC has delegated responsibility) for its review and discussion with a brief description in English of the principal issues raised in each Material Communication with Regulatory Authorities with respect to any Collaboration Candidates or Licensed Products Directed Against such Collaboration Target for which such Party is the Regulatory Lead, including any communications with a Regulatory Authority with respect to any audit or inspection of such Party or any of its Affiliates or Subcontractors conducted by a Regulatory Authority and related findings thereunder to the extent such audit or inspection relates to the activities conducted under this Agreement;</w:t>
      </w:r>
    </w:p>
    <w:p>
      <w:pPr>
        <w:spacing w:after="0" w:line="18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such descriptions of such Material Communications to the JSC as part of the quarterly updates regarding Development and Commercialization activities with respect to such Collaboration Target, if related to any Collaboration Candidates or Licensed Products Directed Against such Collaboration Target (except, solely with respect to the U.S., within [***] after receipt thereof), if related to any Collaboration Candidates or Licensed Products Directed Against such Collaboration Target; and</w:t>
      </w:r>
    </w:p>
    <w:p>
      <w:pPr>
        <w:spacing w:after="0" w:line="176"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allow the other Party a reasonable opportunity to review and comment on such Regulatory Lead’s proposed response to such Material Communication in advance of the transmission of such response, and the Regulatory Lead will reasonably consider all comments timely provided by such other Party in connection therewith;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Sanofi will not be obligated to provide Kymera the right to review or comment on Sanofi’s proposed response to a Material Communication to a Major Market Country other than the U.S., even during the Opt-In Period.</w:t>
      </w:r>
    </w:p>
    <w:p>
      <w:pPr>
        <w:spacing w:after="0" w:line="177"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7.3.2 Subject to </w:t>
      </w:r>
      <w:r>
        <w:rPr>
          <w:rFonts w:ascii="Times New Roman" w:cs="Times New Roman" w:eastAsia="Times New Roman" w:hAnsi="Times New Roman"/>
          <w:sz w:val="22"/>
          <w:szCs w:val="22"/>
          <w:u w:val="single" w:color="auto"/>
          <w:color w:val="auto"/>
        </w:rPr>
        <w:t>Section 7.3.1</w:t>
      </w:r>
      <w:r>
        <w:rPr>
          <w:rFonts w:ascii="Times New Roman" w:cs="Times New Roman" w:eastAsia="Times New Roman" w:hAnsi="Times New Roman"/>
          <w:sz w:val="22"/>
          <w:szCs w:val="22"/>
          <w:color w:val="auto"/>
        </w:rPr>
        <w:t>, Sanofi, as Regulatory Lead, will keep Kymera reasonably informed of its progress with Regulatory Authorities with respect to Collaboration Candidates and Licensed Products pursuant to the Late Development Plan and JSC as part of the quarterly updates regarding Development and Commercialization activities with respect to such Collaboration Candidates and Licensed Products.</w:t>
      </w:r>
    </w:p>
    <w:p>
      <w:pPr>
        <w:spacing w:after="0" w:line="176" w:lineRule="exact"/>
        <w:rPr>
          <w:sz w:val="20"/>
          <w:szCs w:val="20"/>
          <w:color w:val="auto"/>
        </w:rPr>
      </w:pPr>
    </w:p>
    <w:p>
      <w:pPr>
        <w:jc w:val="both"/>
        <w:ind w:left="80" w:firstLine="749"/>
        <w:spacing w:after="0" w:line="24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u w:val="single" w:color="auto"/>
          <w:color w:val="auto"/>
        </w:rPr>
        <w:t>Regulatory Meetings</w:t>
      </w:r>
      <w:r>
        <w:rPr>
          <w:rFonts w:ascii="Times New Roman" w:cs="Times New Roman" w:eastAsia="Times New Roman" w:hAnsi="Times New Roman"/>
          <w:sz w:val="22"/>
          <w:szCs w:val="22"/>
          <w:color w:val="auto"/>
        </w:rPr>
        <w:t>. On a Collaboration Target-by-Collaboration Target basis, (a) Kymera, as Regulatory Lead, with respect to meetings with a Governmental Authority in the Territory, and (b) Sanofi, as Regulatory Lead both prior to and during the Opt-In Period, with</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respect to meetings with a Governmental Authority in the U.S., as applicable, will provide the other Party with reasonable advance notice of all meetings with Governmental Authorities pertaining to any Collaboration Candidates or Licensed Products Directed Against such Collaboration Target for which such Party is the Regulatory Lead, or with as much advance notice as practicable under the circumstances. To the extent permitted by the applicable Government Authority, the non-Regulatory Lead may have up to [***] attend all such meetings.</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u w:val="single" w:color="auto"/>
          <w:color w:val="auto"/>
        </w:rPr>
        <w:t>Submissions</w:t>
      </w:r>
      <w:r>
        <w:rPr>
          <w:rFonts w:ascii="Times New Roman" w:cs="Times New Roman" w:eastAsia="Times New Roman" w:hAnsi="Times New Roman"/>
          <w:sz w:val="22"/>
          <w:szCs w:val="22"/>
          <w:color w:val="auto"/>
        </w:rPr>
        <w:t xml:space="preserve">. On a Collaboration Target-by-Collaboration Target basis, (a) Kymera, as Regulatory Lead, with respect to submissions to a Governmental Authority in the Territory, and (b) Sanofi, as Regulatory Lead prior to and during the Opt-In Period, with respect to meetings with a Governmental Authority in Major Market Countries, as applicable, will provide the non-Regulatory Lead, through the JSC, with written notice of each of the following events with regard to any Collaboration Candidates or Licensed Products Directed Against such Collaboration Target for which such Party is the Regulatory Lead (a) within a reasonable period of time following the occurrence thereof (but in any event no later than [***] thereafter), to the extent notice was not previously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b w:val="1"/>
          <w:bCs w:val="1"/>
          <w:u w:val="single" w:color="auto"/>
          <w:color w:val="auto"/>
        </w:rPr>
        <w:t>Pharmacovigilance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1497"/>
        <w:spacing w:after="0" w:line="243" w:lineRule="auto"/>
        <w:rPr>
          <w:sz w:val="20"/>
          <w:szCs w:val="20"/>
          <w:color w:val="auto"/>
        </w:rPr>
      </w:pPr>
      <w:r>
        <w:rPr>
          <w:rFonts w:ascii="Times New Roman" w:cs="Times New Roman" w:eastAsia="Times New Roman" w:hAnsi="Times New Roman"/>
          <w:sz w:val="21"/>
          <w:szCs w:val="21"/>
          <w:color w:val="auto"/>
        </w:rPr>
        <w:t>7.6.1 On a Collaboration Target-by-Collaboration Target basis, prior to the Initiation of the first Clinical Trial for a Licensed Product or earlier upon the written request of either Party, the Parties will enter into a pharmacovigilance agreement setting forth the worldwide pharmacovigilance procedures for the Parties with respect to the Licensed Products, such as safety data sharing, adverse events reporting and safety profile monitoring with respect to Licensed Products Directed Against such Collaboration Target (the “</w:t>
      </w:r>
      <w:r>
        <w:rPr>
          <w:rFonts w:ascii="Times New Roman" w:cs="Times New Roman" w:eastAsia="Times New Roman" w:hAnsi="Times New Roman"/>
          <w:sz w:val="21"/>
          <w:szCs w:val="21"/>
          <w:b w:val="1"/>
          <w:bCs w:val="1"/>
          <w:color w:val="auto"/>
        </w:rPr>
        <w:t>Pharmacovigilance Agreement</w:t>
      </w:r>
      <w:r>
        <w:rPr>
          <w:rFonts w:ascii="Times New Roman" w:cs="Times New Roman" w:eastAsia="Times New Roman" w:hAnsi="Times New Roman"/>
          <w:sz w:val="21"/>
          <w:szCs w:val="21"/>
          <w:color w:val="auto"/>
        </w:rPr>
        <w:t>”). Such procedures will be in accordance with, and enable the Parties to fulfill, local and national regulatory reporting obligations under Applicable Law. Each Party will be responsible for reporting quality complaints, adverse events and safety data related to the Licensed Products to the applicable Regulatory Authorities in its territory, as well as responding to safety issues and to all requests of Regulatory Authorities related to the Licensed Products in its territory, in each case at its own cost. The initial global safety database will be established by Kymera using its Approved Third Party Contractors, and Kymera will, at Kymera’s sole cost and expense, transfer such global safety database to Sanofi upon Sanofi’s written request reasonably in advance of the desired transfer date, which transfer date will be no later than [***] and in the form requested by Sanofi. Prior to such transfer Kymera shall provide to Sanofi all safety information obtained by Kymera for the Licensed Products prior to Sanofi’s assumption and implementation of the global safety database in accordance with the Pharmacovigilance Agreement. Each Party agrees to comply with its respective obligations under the Pharmacovigilance Agreement and to</w:t>
      </w:r>
    </w:p>
    <w:p>
      <w:pPr>
        <w:spacing w:after="0" w:line="1" w:lineRule="exact"/>
        <w:rPr>
          <w:sz w:val="20"/>
          <w:szCs w:val="20"/>
          <w:color w:val="auto"/>
        </w:rPr>
      </w:pPr>
    </w:p>
    <w:p>
      <w:pPr>
        <w:ind w:left="400" w:hanging="3"/>
        <w:spacing w:after="0" w:line="237" w:lineRule="auto"/>
        <w:tabs>
          <w:tab w:leader="none" w:pos="92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such obligations. Among other things, the Pharmacovigilance Agreement will provide the right for each Party to cross-reference all relevant safety data of the other Party.</w:t>
      </w:r>
    </w:p>
    <w:p>
      <w:pPr>
        <w:spacing w:after="0" w:line="178" w:lineRule="exact"/>
        <w:rPr>
          <w:sz w:val="20"/>
          <w:szCs w:val="20"/>
          <w:color w:val="auto"/>
        </w:rPr>
      </w:pPr>
    </w:p>
    <w:p>
      <w:pPr>
        <w:jc w:val="both"/>
        <w:ind w:left="400" w:firstLine="1497"/>
        <w:spacing w:after="0" w:line="239" w:lineRule="auto"/>
        <w:rPr>
          <w:sz w:val="20"/>
          <w:szCs w:val="20"/>
          <w:color w:val="auto"/>
        </w:rPr>
      </w:pPr>
      <w:r>
        <w:rPr>
          <w:rFonts w:ascii="Times New Roman" w:cs="Times New Roman" w:eastAsia="Times New Roman" w:hAnsi="Times New Roman"/>
          <w:sz w:val="22"/>
          <w:szCs w:val="22"/>
          <w:color w:val="auto"/>
        </w:rPr>
        <w:t>7.6.2 Without limiting the foregoing, (a) if a Material Safety Event occurs during the Sanofi Participation Term, and [***], Sanofi will provide written notice thereof to Kymera (a “</w:t>
      </w:r>
      <w:r>
        <w:rPr>
          <w:rFonts w:ascii="Times New Roman" w:cs="Times New Roman" w:eastAsia="Times New Roman" w:hAnsi="Times New Roman"/>
          <w:sz w:val="22"/>
          <w:szCs w:val="22"/>
          <w:b w:val="1"/>
          <w:bCs w:val="1"/>
          <w:color w:val="auto"/>
        </w:rPr>
        <w:t>Sanofi Material Safety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and (b) if a Party, in accordance with such Party’s internal operating procedures consistently applied across its 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products, determines that a Material Safety Event has occurred with respect to a Clinical Trial</w:t>
      </w: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80"/>
        <w:spacing w:after="0" w:line="244" w:lineRule="auto"/>
        <w:rPr>
          <w:sz w:val="20"/>
          <w:szCs w:val="20"/>
          <w:color w:val="auto"/>
        </w:rPr>
      </w:pPr>
      <w:r>
        <w:rPr>
          <w:rFonts w:ascii="Times New Roman" w:cs="Times New Roman" w:eastAsia="Times New Roman" w:hAnsi="Times New Roman"/>
          <w:sz w:val="22"/>
          <w:szCs w:val="22"/>
          <w:color w:val="auto"/>
        </w:rPr>
        <w:t>conducted by or on behalf of Kymera under this Agreement, such Party will provide written notice thereof to the other Party (a “</w:t>
      </w:r>
      <w:r>
        <w:rPr>
          <w:rFonts w:ascii="Times New Roman" w:cs="Times New Roman" w:eastAsia="Times New Roman" w:hAnsi="Times New Roman"/>
          <w:sz w:val="22"/>
          <w:szCs w:val="22"/>
          <w:b w:val="1"/>
          <w:bCs w:val="1"/>
          <w:color w:val="auto"/>
        </w:rPr>
        <w:t>Kymera Material Safety Event Notice</w:t>
      </w:r>
      <w:r>
        <w:rPr>
          <w:rFonts w:ascii="Times New Roman" w:cs="Times New Roman" w:eastAsia="Times New Roman" w:hAnsi="Times New Roman"/>
          <w:sz w:val="22"/>
          <w:szCs w:val="22"/>
          <w:color w:val="auto"/>
        </w:rPr>
        <w:t xml:space="preserve">”). Any such notice issued by a Party under this </w:t>
      </w:r>
      <w:r>
        <w:rPr>
          <w:rFonts w:ascii="Times New Roman" w:cs="Times New Roman" w:eastAsia="Times New Roman" w:hAnsi="Times New Roman"/>
          <w:sz w:val="22"/>
          <w:szCs w:val="22"/>
          <w:u w:val="single" w:color="auto"/>
          <w:color w:val="auto"/>
        </w:rPr>
        <w:t>Section 7.6.2</w:t>
      </w:r>
      <w:r>
        <w:rPr>
          <w:rFonts w:ascii="Times New Roman" w:cs="Times New Roman" w:eastAsia="Times New Roman" w:hAnsi="Times New Roman"/>
          <w:sz w:val="22"/>
          <w:szCs w:val="22"/>
          <w:color w:val="auto"/>
        </w:rPr>
        <w:t xml:space="preserve"> will include [***].</w:t>
      </w:r>
    </w:p>
    <w:p>
      <w:pPr>
        <w:spacing w:after="0" w:line="169" w:lineRule="exact"/>
        <w:rPr>
          <w:sz w:val="20"/>
          <w:szCs w:val="20"/>
          <w:color w:val="auto"/>
        </w:rPr>
      </w:pPr>
    </w:p>
    <w:p>
      <w:pPr>
        <w:jc w:val="both"/>
        <w:ind w:left="80" w:firstLine="749"/>
        <w:spacing w:after="0" w:line="236"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b w:val="1"/>
          <w:bCs w:val="1"/>
          <w:u w:val="single" w:color="auto"/>
          <w:color w:val="auto"/>
        </w:rPr>
        <w:t>Right of Reference</w:t>
      </w:r>
      <w:r>
        <w:rPr>
          <w:rFonts w:ascii="Times New Roman" w:cs="Times New Roman" w:eastAsia="Times New Roman" w:hAnsi="Times New Roman"/>
          <w:sz w:val="22"/>
          <w:szCs w:val="22"/>
          <w:color w:val="auto"/>
        </w:rPr>
        <w:t>. To the extent necessary or useful to exercise Sanofi’s rights under the Exclusive Licenses, Kymera hereby grants, and shall ensure that its Affiliates grant, to Sanofi and its permitted Sublicensees a “right of reference or use” (as that term is defined in 21 C.F.R. §314.3(b), as amended from time to time, and any foreign equivalent thereto), to any drug master files maintained by Kymera or a Third Party solely with respect to all INDs, other Regulatory Filings, and other regulatory documentation in the Territory with respect to all Collaboration Candidates and Licensed Products Directed Against such Collaboration Target that is in the possession and control of Kymera, and Kymera shall provide appropriate notification of Sanofi’s access and reference rights to the applicable Regulatory Authorities requested by Sanofi.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MANUFACTURING</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u w:val="single" w:color="auto"/>
          <w:color w:val="auto"/>
        </w:rPr>
        <w:t>Technology Transfer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8.1.1</w:t>
      </w:r>
      <w:r>
        <w:rPr>
          <w:sz w:val="20"/>
          <w:szCs w:val="20"/>
          <w:color w:val="auto"/>
        </w:rPr>
        <w:tab/>
      </w:r>
      <w:r>
        <w:rPr>
          <w:rFonts w:ascii="Times New Roman" w:cs="Times New Roman" w:eastAsia="Times New Roman" w:hAnsi="Times New Roman"/>
          <w:sz w:val="21"/>
          <w:szCs w:val="21"/>
          <w:b w:val="1"/>
          <w:bCs w:val="1"/>
          <w:u w:val="single" w:color="auto"/>
          <w:color w:val="auto"/>
        </w:rPr>
        <w:t>Transfer Timing</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680" w:hanging="426"/>
        <w:spacing w:after="0"/>
        <w:tabs>
          <w:tab w:leader="none" w:pos="2680" w:val="left"/>
        </w:tabs>
        <w:numPr>
          <w:ilvl w:val="2"/>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the Original Agreement, Kymera conducted a technology transfer of CMC information for</w:t>
      </w:r>
    </w:p>
    <w:p>
      <w:pPr>
        <w:spacing w:after="0" w:line="25"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Sanofi or its designated CMO.</w:t>
      </w:r>
    </w:p>
    <w:p>
      <w:pPr>
        <w:spacing w:after="0" w:line="182" w:lineRule="exact"/>
        <w:rPr>
          <w:rFonts w:ascii="Times New Roman" w:cs="Times New Roman" w:eastAsia="Times New Roman" w:hAnsi="Times New Roman"/>
          <w:sz w:val="22"/>
          <w:szCs w:val="22"/>
          <w:color w:val="auto"/>
        </w:rPr>
      </w:pPr>
    </w:p>
    <w:p>
      <w:pPr>
        <w:ind w:firstLine="2161"/>
        <w:spacing w:after="0" w:line="241" w:lineRule="auto"/>
        <w:tabs>
          <w:tab w:leader="none" w:pos="2585"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conduct a technology transfer of CMC information for the [***] to be completed (i) if such transfer occurs upon the achievement of [***], at least</w:t>
      </w:r>
    </w:p>
    <w:p>
      <w:pPr>
        <w:spacing w:after="0" w:line="1" w:lineRule="exact"/>
        <w:rPr>
          <w:rFonts w:ascii="Times New Roman" w:cs="Times New Roman" w:eastAsia="Times New Roman" w:hAnsi="Times New Roman"/>
          <w:sz w:val="22"/>
          <w:szCs w:val="22"/>
          <w:color w:val="auto"/>
        </w:rPr>
      </w:pPr>
    </w:p>
    <w:p>
      <w:pPr>
        <w:jc w:val="both"/>
        <w:ind w:firstLine="8"/>
        <w:spacing w:after="0" w:line="232" w:lineRule="auto"/>
        <w:tabs>
          <w:tab w:leader="none" w:pos="55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anticipated transfer of Development responsibility to Sanofi for the applicable Degrader Directed Against Collaboration Target 1, (ii) if such transfer occurs after the achievement of [***] for the applicable Degrader Directed Against Collaboration Target 1 [***], and (iii) at least [***] prior to the anticipated transfer of Development responsibility to Sanofi for the applicable Degrader Directed Against Collaboration Target 2. Such transfer will be conducted pursuant to a transfer plan to be agreed upon by the Parties and approved by the JMC (the “</w:t>
      </w:r>
      <w:r>
        <w:rPr>
          <w:rFonts w:ascii="Times New Roman" w:cs="Times New Roman" w:eastAsia="Times New Roman" w:hAnsi="Times New Roman"/>
          <w:sz w:val="22"/>
          <w:szCs w:val="22"/>
          <w:b w:val="1"/>
          <w:bCs w:val="1"/>
          <w:color w:val="auto"/>
        </w:rPr>
        <w:t>CMC Transfer Plan</w:t>
      </w:r>
      <w:r>
        <w:rPr>
          <w:rFonts w:ascii="Times New Roman" w:cs="Times New Roman" w:eastAsia="Times New Roman" w:hAnsi="Times New Roman"/>
          <w:sz w:val="22"/>
          <w:szCs w:val="22"/>
          <w:color w:val="auto"/>
        </w:rPr>
        <w:t>”) in accordance with the timelines set forth in this clause (b).</w:t>
      </w:r>
    </w:p>
    <w:p>
      <w:pPr>
        <w:spacing w:after="0" w:line="179" w:lineRule="exact"/>
        <w:rPr>
          <w:sz w:val="20"/>
          <w:szCs w:val="20"/>
          <w:color w:val="auto"/>
        </w:rPr>
      </w:pPr>
    </w:p>
    <w:p>
      <w:pPr>
        <w:jc w:val="both"/>
        <w:ind w:left="480" w:firstLine="1497"/>
        <w:spacing w:after="0" w:line="234" w:lineRule="auto"/>
        <w:rPr>
          <w:sz w:val="20"/>
          <w:szCs w:val="20"/>
          <w:color w:val="auto"/>
        </w:rPr>
      </w:pPr>
      <w:r>
        <w:rPr>
          <w:rFonts w:ascii="Times New Roman" w:cs="Times New Roman" w:eastAsia="Times New Roman" w:hAnsi="Times New Roman"/>
          <w:sz w:val="22"/>
          <w:szCs w:val="22"/>
          <w:color w:val="auto"/>
        </w:rPr>
        <w:t xml:space="preserve">8.1.2 </w:t>
      </w:r>
      <w:r>
        <w:rPr>
          <w:rFonts w:ascii="Times New Roman" w:cs="Times New Roman" w:eastAsia="Times New Roman" w:hAnsi="Times New Roman"/>
          <w:sz w:val="22"/>
          <w:szCs w:val="22"/>
          <w:b w:val="1"/>
          <w:bCs w:val="1"/>
          <w:u w:val="single" w:color="auto"/>
          <w:color w:val="auto"/>
        </w:rPr>
        <w:t>Process of Transfer to CMO</w:t>
      </w:r>
      <w:r>
        <w:rPr>
          <w:rFonts w:ascii="Times New Roman" w:cs="Times New Roman" w:eastAsia="Times New Roman" w:hAnsi="Times New Roman"/>
          <w:sz w:val="22"/>
          <w:szCs w:val="22"/>
          <w:color w:val="auto"/>
        </w:rPr>
        <w:t>. On a Collaboration Candidate-by-Collaboration Candidate basis, the CMC Transfer Plan will require that Kymera initiate a technology transfer of the relevant CMC information to Sanofi or its designated CMO. Such transfer will include a transfer of Kymera Background Know-How that is necessary for the Manufacture of the relevant Collaboration Candidates. Kymera will make available its personnel on a reasonable basis to consult with Sanofi or such CMO with respect thereto. Except as set forth in the previous sentence, Sanofi will bear the costs of conducting each CMC Transfer Plan. For each Collaboration Candidate, Kymera will not be required to perform technology transfer to more than one (1) CMO for each stage of such the relevant supply chain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non-GMP starting material, bulk drug substance, bulk drug product and finished product). Promptly after Sanofi’s written request, Kymera will use diligent efforts to assign to Sanofi any manufacturing agreement between Kymera and a CMO that is solely related to the manufacture of relevant Collaboration Candidates. Subject to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3"/>
        <w:spacing w:after="0" w:line="234" w:lineRule="auto"/>
        <w:rPr>
          <w:sz w:val="20"/>
          <w:szCs w:val="20"/>
          <w:color w:val="auto"/>
        </w:rPr>
      </w:pPr>
      <w:r>
        <w:rPr>
          <w:rFonts w:ascii="Times New Roman" w:cs="Times New Roman" w:eastAsia="Times New Roman" w:hAnsi="Times New Roman"/>
          <w:sz w:val="22"/>
          <w:szCs w:val="22"/>
          <w:color w:val="auto"/>
        </w:rPr>
        <w:t xml:space="preserve">confidentiality obligations, Kymera will promptly provide to Sanofi a copy of any such manufacturing agreement and, to the extent permitted by such manufacturing agreement, reasonable access to personnel from such CMO. Such assignment will be subject to the terms and conditions of such agreement, including any required consents of such CMO and Sanofi’s written agreement to assume all the obligations of Kymera under such agreement to be undertaken after such assignment, but Kymera will remain solely responsible for its obligations under such agreement arising prior to such assignment. Except as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the immediately preceding sentence, Sanofi will be solely responsible for contracting with such CMO (and any other CMO to whom a technology transfer has been or will be conducted as set forth in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for the supply of relevant Collaboration Candidates and Licensed Products and Kymera will have no obligations under such agreement between Sanofi and such CMO.</w:t>
      </w:r>
    </w:p>
    <w:p>
      <w:pPr>
        <w:spacing w:after="0" w:line="179" w:lineRule="exact"/>
        <w:rPr>
          <w:sz w:val="20"/>
          <w:szCs w:val="20"/>
          <w:color w:val="auto"/>
        </w:rPr>
      </w:pPr>
    </w:p>
    <w:p>
      <w:pPr>
        <w:ind w:left="363"/>
        <w:spacing w:after="0"/>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u w:val="single" w:color="auto"/>
          <w:color w:val="auto"/>
        </w:rPr>
        <w:t>Research Term Supply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 w:firstLine="1497"/>
        <w:spacing w:after="0" w:line="235" w:lineRule="auto"/>
        <w:rPr>
          <w:sz w:val="20"/>
          <w:szCs w:val="20"/>
          <w:color w:val="auto"/>
        </w:rPr>
      </w:pPr>
      <w:r>
        <w:rPr>
          <w:rFonts w:ascii="Times New Roman" w:cs="Times New Roman" w:eastAsia="Times New Roman" w:hAnsi="Times New Roman"/>
          <w:sz w:val="22"/>
          <w:szCs w:val="22"/>
          <w:color w:val="auto"/>
        </w:rPr>
        <w:t>8.2.1 On a Collaboration Target-by-Collaboration Target basis, Kymera (through itself, its Affiliates or CMOs) will be solely responsible, [***], for Manufacturing all Collaboration Compounds, Collaboration Candidates and Licensed Products required to conduct Kymera’s activities under the Research Plan or Early Development Plan. Notwithstanding the foregoing, Sanofi (through itself, its Affiliates or CMOs) will be responsible, [***], for (a) the CMC process development of such Collaboration Candidates and Licensed Products Directed Against the relevant Collaboration Target in accordance with the Research Plan or Early Development Plan (as applicable), and (b) Manufacturing all Collaboration Compounds, Collaboration Candidates and Licensed Products required to conduct the Phase 2 Activities or Sanofi’s activities under the Early Development Plan (if any) or Late Development Plan (if any).</w:t>
      </w:r>
    </w:p>
    <w:p>
      <w:pPr>
        <w:spacing w:after="0" w:line="178" w:lineRule="exact"/>
        <w:rPr>
          <w:sz w:val="20"/>
          <w:szCs w:val="20"/>
          <w:color w:val="auto"/>
        </w:rPr>
      </w:pPr>
    </w:p>
    <w:p>
      <w:pPr>
        <w:ind w:left="1503"/>
        <w:spacing w:after="0"/>
        <w:tabs>
          <w:tab w:leader="none" w:pos="2343" w:val="left"/>
        </w:tabs>
        <w:rPr>
          <w:sz w:val="20"/>
          <w:szCs w:val="20"/>
          <w:color w:val="auto"/>
        </w:rPr>
      </w:pPr>
      <w:r>
        <w:rPr>
          <w:rFonts w:ascii="Times New Roman" w:cs="Times New Roman" w:eastAsia="Times New Roman" w:hAnsi="Times New Roman"/>
          <w:sz w:val="22"/>
          <w:szCs w:val="22"/>
          <w:color w:val="auto"/>
        </w:rPr>
        <w:t>8.2.2</w:t>
      </w:r>
      <w:r>
        <w:rPr>
          <w:sz w:val="20"/>
          <w:szCs w:val="20"/>
          <w:color w:val="auto"/>
        </w:rPr>
        <w:tab/>
      </w:r>
      <w:r>
        <w:rPr>
          <w:rFonts w:ascii="Times New Roman" w:cs="Times New Roman" w:eastAsia="Times New Roman" w:hAnsi="Times New Roman"/>
          <w:sz w:val="22"/>
          <w:szCs w:val="22"/>
          <w:color w:val="auto"/>
        </w:rPr>
        <w:t>Under the Original Agreement, [***]. Sanofi is responsible for completing Manufacturing of</w:t>
      </w:r>
    </w:p>
    <w:p>
      <w:pPr>
        <w:spacing w:after="0" w:line="14" w:lineRule="exact"/>
        <w:rPr>
          <w:sz w:val="20"/>
          <w:szCs w:val="20"/>
          <w:color w:val="auto"/>
        </w:rPr>
      </w:pPr>
    </w:p>
    <w:p>
      <w:pPr>
        <w:jc w:val="both"/>
        <w:ind w:left="3" w:hanging="3"/>
        <w:spacing w:after="0" w:line="234" w:lineRule="auto"/>
        <w:tabs>
          <w:tab w:leader="none" w:pos="54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such delivered starting materials at Sanofi’s cost and expense. If Sanofi provides a written notice to Kymera with a request to [***], Kymera will, within [***] of a request from Sanofi, authorize the applicable CMOs to accept orders for starting materials and for Manufacturing of active ingredients from Sanofi, Sanofi may engage the applicable CMOs for such purposes, and all such starting materials and Manufacturing will be obtained at Sanofi’s cost and expense.</w:t>
      </w:r>
    </w:p>
    <w:p>
      <w:pPr>
        <w:spacing w:after="0" w:line="177" w:lineRule="exact"/>
        <w:rPr>
          <w:sz w:val="20"/>
          <w:szCs w:val="20"/>
          <w:color w:val="auto"/>
        </w:rPr>
      </w:pPr>
    </w:p>
    <w:p>
      <w:pPr>
        <w:ind w:left="1503"/>
        <w:spacing w:after="0"/>
        <w:tabs>
          <w:tab w:leader="none" w:pos="2343" w:val="left"/>
        </w:tabs>
        <w:rPr>
          <w:sz w:val="20"/>
          <w:szCs w:val="20"/>
          <w:color w:val="auto"/>
        </w:rPr>
      </w:pPr>
      <w:r>
        <w:rPr>
          <w:rFonts w:ascii="Times New Roman" w:cs="Times New Roman" w:eastAsia="Times New Roman" w:hAnsi="Times New Roman"/>
          <w:sz w:val="22"/>
          <w:szCs w:val="22"/>
          <w:color w:val="auto"/>
        </w:rPr>
        <w:t>8.2.3</w:t>
      </w:r>
      <w:r>
        <w:rPr>
          <w:sz w:val="20"/>
          <w:szCs w:val="20"/>
          <w:color w:val="auto"/>
        </w:rPr>
        <w:tab/>
      </w:r>
      <w:r>
        <w:rPr>
          <w:rFonts w:ascii="Times New Roman" w:cs="Times New Roman" w:eastAsia="Times New Roman" w:hAnsi="Times New Roman"/>
          <w:sz w:val="22"/>
          <w:szCs w:val="22"/>
          <w:color w:val="auto"/>
        </w:rPr>
        <w:t>Under the Original Agreement, Kymera supplied to Sanofi or its designated CMO quantities of</w:t>
      </w:r>
    </w:p>
    <w:p>
      <w:pPr>
        <w:spacing w:after="0" w:line="14" w:lineRule="exact"/>
        <w:rPr>
          <w:sz w:val="20"/>
          <w:szCs w:val="20"/>
          <w:color w:val="auto"/>
        </w:rPr>
      </w:pPr>
    </w:p>
    <w:p>
      <w:pPr>
        <w:jc w:val="both"/>
        <w:ind w:left="3" w:hanging="3"/>
        <w:spacing w:after="0" w:line="235" w:lineRule="auto"/>
        <w:tabs>
          <w:tab w:leader="none" w:pos="53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set forth in the then-current Research Plan to enable Sanofi to execute its comparability protocol as set forth in the Research Plan. To the extent required by Sanofi, the Parties will enter into an agreement that details the quality assurance obligations of each Party.</w:t>
      </w:r>
    </w:p>
    <w:p>
      <w:pPr>
        <w:spacing w:after="0" w:line="178" w:lineRule="exact"/>
        <w:rPr>
          <w:sz w:val="20"/>
          <w:szCs w:val="20"/>
          <w:color w:val="auto"/>
        </w:rPr>
      </w:pPr>
    </w:p>
    <w:p>
      <w:pPr>
        <w:jc w:val="both"/>
        <w:ind w:left="3" w:firstLine="1497"/>
        <w:spacing w:after="0" w:line="239" w:lineRule="auto"/>
        <w:rPr>
          <w:sz w:val="20"/>
          <w:szCs w:val="20"/>
          <w:color w:val="auto"/>
        </w:rPr>
      </w:pPr>
      <w:r>
        <w:rPr>
          <w:rFonts w:ascii="Times New Roman" w:cs="Times New Roman" w:eastAsia="Times New Roman" w:hAnsi="Times New Roman"/>
          <w:sz w:val="22"/>
          <w:szCs w:val="22"/>
          <w:color w:val="auto"/>
        </w:rPr>
        <w:t>8.2.4 The JMC, in consultation with the JRDC, will be responsible for monitoring Kymera’s progress under the Early Development Plan to anticipate, and plan for, the transition of Manufacturing activities to Sanofi based on the anticipated Development timelines set forth in the Early Development Plan and the Late Development Plan. With respect to [***].</w:t>
      </w:r>
    </w:p>
    <w:p>
      <w:pPr>
        <w:spacing w:after="0" w:line="200" w:lineRule="exact"/>
        <w:rPr>
          <w:sz w:val="20"/>
          <w:szCs w:val="20"/>
          <w:color w:val="auto"/>
        </w:rPr>
      </w:pPr>
    </w:p>
    <w:p>
      <w:pPr>
        <w:spacing w:after="0" w:line="385"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478155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3"/>
          </w:cols>
          <w:pgMar w:left="797" w:top="754" w:right="339" w:bottom="1440" w:gutter="0" w:footer="0" w:header="0"/>
        </w:sectPr>
      </w:pPr>
    </w:p>
    <w:bookmarkStart w:id="238" w:name="page239"/>
    <w:bookmarkEnd w:id="238"/>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u w:val="single" w:color="auto"/>
          <w:color w:val="auto"/>
        </w:rPr>
        <w:t>Sanofi Participation Term Supply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1497"/>
        <w:spacing w:after="0" w:line="239" w:lineRule="auto"/>
        <w:rPr>
          <w:sz w:val="20"/>
          <w:szCs w:val="20"/>
          <w:color w:val="auto"/>
        </w:rPr>
      </w:pPr>
      <w:r>
        <w:rPr>
          <w:rFonts w:ascii="Times New Roman" w:cs="Times New Roman" w:eastAsia="Times New Roman" w:hAnsi="Times New Roman"/>
          <w:sz w:val="22"/>
          <w:szCs w:val="22"/>
          <w:color w:val="auto"/>
        </w:rPr>
        <w:t>8.3.1 On a Collaboration Target-by-Collaboration Target basis, Sanofi (through itself, its Affiliates or CMOs) will be responsible, at its cost and expense, for Manufacturing (including CMC process development) for Sanofi use in the Development and Commercialization of Collaboration Candidates and Licensed Products Directed Against such Collaboration Target.</w:t>
      </w:r>
    </w:p>
    <w:p>
      <w:pPr>
        <w:spacing w:after="0" w:line="180" w:lineRule="exact"/>
        <w:rPr>
          <w:sz w:val="20"/>
          <w:szCs w:val="20"/>
          <w:color w:val="auto"/>
        </w:rPr>
      </w:pPr>
    </w:p>
    <w:p>
      <w:pPr>
        <w:jc w:val="both"/>
        <w:ind w:left="40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8.3.2 Notwithstanding </w:t>
      </w:r>
      <w:r>
        <w:rPr>
          <w:rFonts w:ascii="Times New Roman" w:cs="Times New Roman" w:eastAsia="Times New Roman" w:hAnsi="Times New Roman"/>
          <w:sz w:val="22"/>
          <w:szCs w:val="22"/>
          <w:u w:val="single" w:color="auto"/>
          <w:color w:val="auto"/>
        </w:rPr>
        <w:t>Section 8.3.1</w:t>
      </w:r>
      <w:r>
        <w:rPr>
          <w:rFonts w:ascii="Times New Roman" w:cs="Times New Roman" w:eastAsia="Times New Roman" w:hAnsi="Times New Roman"/>
          <w:sz w:val="22"/>
          <w:szCs w:val="22"/>
          <w:color w:val="auto"/>
        </w:rPr>
        <w:t>, on a Collaboration Target-by-Collaboration Target basis, if Kymera exercises the Kymera Opt-In Right with respect to a Collaboration Target, Sanofi’s fully burdened manufacturing cost for all Collaboration Compounds, Collaboration Candidates and Licensed Products Directed Against the relevant Collaboration Target will be shared by the Parties in accordance with the relevant Cost/Profit Sharing Agreement.</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b w:val="1"/>
          <w:bCs w:val="1"/>
          <w:u w:val="single" w:color="auto"/>
          <w:color w:val="auto"/>
        </w:rPr>
        <w:t>CMOs</w:t>
      </w:r>
      <w:r>
        <w:rPr>
          <w:rFonts w:ascii="Times New Roman" w:cs="Times New Roman" w:eastAsia="Times New Roman" w:hAnsi="Times New Roman"/>
          <w:sz w:val="21"/>
          <w:szCs w:val="21"/>
          <w:color w:val="auto"/>
        </w:rPr>
        <w:t xml:space="preserve">. Each Party will be entitled to utilize the services of CMOs to perform Manufacturing activities under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such Party will require that each such CMO perform its obligations in a manner consistent with the terms of this Agreement; (b) such Party will remain at all times fully liable for its responsibilities; (c) in the case of Kymera, such CMO(s) (and specified manufacturing site(s)) shall be as set forth on </w:t>
      </w:r>
      <w:r>
        <w:rPr>
          <w:rFonts w:ascii="Times New Roman" w:cs="Times New Roman" w:eastAsia="Times New Roman" w:hAnsi="Times New Roman"/>
          <w:sz w:val="21"/>
          <w:szCs w:val="21"/>
          <w:u w:val="single" w:color="auto"/>
          <w:color w:val="auto"/>
        </w:rPr>
        <w:t>Schedule 8.4</w:t>
      </w:r>
      <w:r>
        <w:rPr>
          <w:rFonts w:ascii="Times New Roman" w:cs="Times New Roman" w:eastAsia="Times New Roman" w:hAnsi="Times New Roman"/>
          <w:sz w:val="21"/>
          <w:szCs w:val="21"/>
          <w:color w:val="auto"/>
        </w:rPr>
        <w:t xml:space="preserve"> (as such schedule may be updated from time to time solely by prior written agreement of the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 Kymera may continue to use its existing CMO; and (d) in the case of Sanofi, such CMO(s) will be selected in accordance with its internal standard operating procedures for the selection of CMOs. Each Party will require that any such CMO agreement entered into by such Party pursuant to this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entered into after the Original Agreement Execution Date [***]. The subcontracting Party will be solely responsible for direction of and communications with such CMO. In each CMO agreement entered into after the Original Agreement Execution Date that relates solely to Collaboration Compounds, Collaboration Candidates or Licensed Products, the subcontracting Party will use Commercially Reasonable Efforts to require that such agreement is freely assignable.</w:t>
      </w:r>
    </w:p>
    <w:p>
      <w:pPr>
        <w:spacing w:after="0" w:line="17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 xml:space="preserve">8.5 </w:t>
      </w:r>
      <w:r>
        <w:rPr>
          <w:rFonts w:ascii="Times New Roman" w:cs="Times New Roman" w:eastAsia="Times New Roman" w:hAnsi="Times New Roman"/>
          <w:sz w:val="21"/>
          <w:szCs w:val="21"/>
          <w:b w:val="1"/>
          <w:bCs w:val="1"/>
          <w:u w:val="single" w:color="auto"/>
          <w:color w:val="auto"/>
        </w:rPr>
        <w:t>cGMP Compliance and QA Audits</w:t>
      </w:r>
      <w:r>
        <w:rPr>
          <w:rFonts w:ascii="Times New Roman" w:cs="Times New Roman" w:eastAsia="Times New Roman" w:hAnsi="Times New Roman"/>
          <w:sz w:val="21"/>
          <w:szCs w:val="21"/>
          <w:color w:val="auto"/>
        </w:rPr>
        <w:t>. Following the Effective Date, when negotiating a CMO agreement for the Manufacture of Collaboration Compounds or Collaboration Candidates, Kymera will use Commercially Reasonable Efforts to obtain the right for Sanofi to, upon no less than [***] advance written notice to Kymera, and subject to the terms of any relevant CMO agreement, have representatives visit the locations at which Manufacturing activities are undertaken by the relevant CMO, in each case, during normal business hours to review and inspect records and reports pertinent to the Manufacture, disposition or transport of Collaboration Compounds or Collaboration Candidates. Such visits will occur no more than [***], except in the case of audits by Sanofi that are required by Applicable Laws. In addition, upon [***] written notice to Kymera, Kymera will permit Sanofi to conduct on-site visits to the relevant Kymera premises during normal business hours to review and inspect such premises, and Kymera’s reports and records, regarding (a) Kymera’s oversight of manufacturing, quality control procedures, release, and (b) the Manufacture, disposition or transport of materials supplied by Kymera to Sanofi, in each case ((a) and (b)) to confirm Kymera’s compliance with Applicable Law; such visits to be subject to customary and reasonable due diligence procedures to preserve the confidentiality of any information obtained by Sanofi. Such visits will (a) occur no more than</w:t>
      </w:r>
    </w:p>
    <w:p>
      <w:pPr>
        <w:spacing w:after="0" w:line="200" w:lineRule="exact"/>
        <w:rPr>
          <w:sz w:val="20"/>
          <w:szCs w:val="20"/>
          <w:color w:val="auto"/>
        </w:rPr>
      </w:pPr>
    </w:p>
    <w:p>
      <w:pPr>
        <w:spacing w:after="0" w:line="3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(b) will be conducted in such a manner to minimize, to the extent reasonably possible, the period of such visit and in no case shall such period exceed [***], and (c) will be conducted by the minimum number of Sanofi employees as necessary to provide requisite subject matter expertise and conduct the review in the allotted timeframe, each of whom shall have appropriate experience in the Manufacture, quality and cGMP compliance of small molecule compounds and candidates. Upon completion of any such visit, Sanofi will provide Kymera and the JMC of Sanofi’s findings from each such visits. [***].</w:t>
      </w:r>
    </w:p>
    <w:p>
      <w:pPr>
        <w:spacing w:after="0" w:line="17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b w:val="1"/>
          <w:bCs w:val="1"/>
          <w:u w:val="single" w:color="auto"/>
          <w:color w:val="auto"/>
        </w:rPr>
        <w:t>Quality Agreements</w:t>
      </w:r>
      <w:r>
        <w:rPr>
          <w:rFonts w:ascii="Times New Roman" w:cs="Times New Roman" w:eastAsia="Times New Roman" w:hAnsi="Times New Roman"/>
          <w:sz w:val="22"/>
          <w:szCs w:val="22"/>
          <w:color w:val="auto"/>
        </w:rPr>
        <w:t xml:space="preserve">. The Parties will enter into one or more quality agreements to govern the transfer of materials, Collaboration Candidates and Licensed Products contemplated under this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u w:val="single" w:color="auto"/>
          <w:color w:val="auto"/>
        </w:rPr>
        <w:t>Joint Steering Committee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00" w:firstLine="1497"/>
        <w:spacing w:after="0" w:line="233"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b w:val="1"/>
          <w:bCs w:val="1"/>
          <w:u w:val="single" w:color="auto"/>
          <w:color w:val="auto"/>
        </w:rPr>
        <w:t>Formation</w:t>
      </w:r>
      <w:r>
        <w:rPr>
          <w:rFonts w:ascii="Times New Roman" w:cs="Times New Roman" w:eastAsia="Times New Roman" w:hAnsi="Times New Roman"/>
          <w:sz w:val="22"/>
          <w:szCs w:val="22"/>
          <w:color w:val="auto"/>
        </w:rPr>
        <w:t>. Pursuant to the Original Agreement, the Parties established a joint steering committee (the “</w:t>
      </w:r>
      <w:r>
        <w:rPr>
          <w:rFonts w:ascii="Times New Roman" w:cs="Times New Roman" w:eastAsia="Times New Roman" w:hAnsi="Times New Roman"/>
          <w:sz w:val="22"/>
          <w:szCs w:val="22"/>
          <w:b w:val="1"/>
          <w:bCs w:val="1"/>
          <w:color w:val="auto"/>
        </w:rPr>
        <w:t>JSC</w:t>
      </w:r>
      <w:r>
        <w:rPr>
          <w:rFonts w:ascii="Times New Roman" w:cs="Times New Roman" w:eastAsia="Times New Roman" w:hAnsi="Times New Roman"/>
          <w:sz w:val="22"/>
          <w:szCs w:val="22"/>
          <w:color w:val="auto"/>
        </w:rPr>
        <w:t xml:space="preserve">”) to act as a forum to review, discuss and oversee activities under this Agreement. The JSC will be comprised of [***] from each Party. Each Party’s representatives on the JSC will be of the seniority and experience appropriate in light of the functions and responsibilities of the JSC. In addition, each Party may invite a reasonable number of additional subject matter experts or relevant personnel of such Party to participate in discussions and meetings of the JSC;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individuals will have no decision-making authority. Each Party’s representatives on the JSC and all other individuals attending or participating in discussions and meetings of the JSC on behalf of a Party will be bound under written confidentiality and non-use obligations with respect to information disclosed at such meeting that are no less restrictive than the provisions of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Each Party may replace its representatives on the JSC at any time by providing notice in writing to the other Party. Each Party will appoint one of its representatives on the JSC to act as a co-chairperson of the JSC. The co-chairpersons of the JSC will be responsible for setting the agenda for meetings of the JSC with input from the other members, and for conducting the meetings of the JSC. The JSC will conduct its responsibilities hereunder in good faith and with reasonable care and diligence.</w:t>
      </w:r>
    </w:p>
    <w:p>
      <w:pPr>
        <w:spacing w:after="0" w:line="182" w:lineRule="exact"/>
        <w:rPr>
          <w:sz w:val="20"/>
          <w:szCs w:val="20"/>
          <w:color w:val="auto"/>
        </w:rPr>
      </w:pPr>
    </w:p>
    <w:p>
      <w:pPr>
        <w:jc w:val="both"/>
        <w:ind w:left="40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b w:val="1"/>
          <w:bCs w:val="1"/>
          <w:u w:val="single" w:color="auto"/>
          <w:color w:val="auto"/>
        </w:rPr>
        <w:t>Responsibilities</w:t>
      </w:r>
      <w:r>
        <w:rPr>
          <w:rFonts w:ascii="Times New Roman" w:cs="Times New Roman" w:eastAsia="Times New Roman" w:hAnsi="Times New Roman"/>
          <w:sz w:val="22"/>
          <w:szCs w:val="22"/>
          <w:color w:val="auto"/>
        </w:rPr>
        <w:t>. The JSC will be responsible for overseeing the collaboration and approving strategy, plans and budgets with respect to (i) Collaboration Compounds, Collaboration Candidates and Licensed Product activities before the expiration or termination of Kymera’s Opt-In Right with respect to a given Collaboration Target, and</w:t>
      </w:r>
    </w:p>
    <w:p>
      <w:pPr>
        <w:spacing w:after="0" w:line="1" w:lineRule="exact"/>
        <w:rPr>
          <w:sz w:val="20"/>
          <w:szCs w:val="20"/>
          <w:color w:val="auto"/>
        </w:rPr>
      </w:pPr>
    </w:p>
    <w:p>
      <w:pPr>
        <w:jc w:val="both"/>
        <w:ind w:left="400" w:hanging="3"/>
        <w:spacing w:after="0" w:line="234" w:lineRule="auto"/>
        <w:tabs>
          <w:tab w:leader="none" w:pos="72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applicable Opt-In Period, Collaboration Candidates and Licensed Products activities as to which Kymera has exercised the Kymera Opt-In Right for a given Collaboration Target. Any failure of the Parties to agree on matters within the purview of the JSC as set forth this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xml:space="preserve"> will be resolved in accordance with the decision-making and escalation procedures set forth in </w:t>
      </w:r>
      <w:r>
        <w:rPr>
          <w:rFonts w:ascii="Times New Roman" w:cs="Times New Roman" w:eastAsia="Times New Roman" w:hAnsi="Times New Roman"/>
          <w:sz w:val="22"/>
          <w:szCs w:val="22"/>
          <w:u w:val="single" w:color="auto"/>
          <w:color w:val="auto"/>
        </w:rPr>
        <w:t>Section 9.9.2</w:t>
      </w:r>
      <w:r>
        <w:rPr>
          <w:rFonts w:ascii="Times New Roman" w:cs="Times New Roman" w:eastAsia="Times New Roman" w:hAnsi="Times New Roman"/>
          <w:sz w:val="22"/>
          <w:szCs w:val="22"/>
          <w:color w:val="auto"/>
        </w:rPr>
        <w:t xml:space="preserve">. Without limiting the first sentence of this </w:t>
      </w:r>
      <w:r>
        <w:rPr>
          <w:rFonts w:ascii="Times New Roman" w:cs="Times New Roman" w:eastAsia="Times New Roman" w:hAnsi="Times New Roman"/>
          <w:sz w:val="22"/>
          <w:szCs w:val="22"/>
          <w:u w:val="single" w:color="auto"/>
          <w:color w:val="auto"/>
        </w:rPr>
        <w:t>Section 9.1.2</w:t>
      </w:r>
      <w:r>
        <w:rPr>
          <w:rFonts w:ascii="Times New Roman" w:cs="Times New Roman" w:eastAsia="Times New Roman" w:hAnsi="Times New Roman"/>
          <w:sz w:val="22"/>
          <w:szCs w:val="22"/>
          <w:color w:val="auto"/>
        </w:rPr>
        <w:t>, the JSC will:</w:t>
      </w:r>
    </w:p>
    <w:p>
      <w:pPr>
        <w:spacing w:after="0" w:line="200" w:lineRule="exact"/>
        <w:rPr>
          <w:sz w:val="20"/>
          <w:szCs w:val="20"/>
          <w:color w:val="auto"/>
        </w:rPr>
      </w:pPr>
    </w:p>
    <w:p>
      <w:pPr>
        <w:spacing w:after="0" w:line="3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(a)</w:t>
        <w:tab/>
        <w:t>discuss and approve changes to the Screening Criteria, M2 Criteria, Phase 1 Ready Criteria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Phase 2 Ready Criteria;</w:t>
      </w:r>
    </w:p>
    <w:p>
      <w:pPr>
        <w:spacing w:after="0" w:line="182" w:lineRule="exact"/>
        <w:rPr>
          <w:sz w:val="20"/>
          <w:szCs w:val="20"/>
          <w:color w:val="auto"/>
        </w:rPr>
      </w:pPr>
    </w:p>
    <w:p>
      <w:pPr>
        <w:ind w:left="2680" w:hanging="426"/>
        <w:spacing w:after="0"/>
        <w:tabs>
          <w:tab w:leader="none" w:pos="26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approve each Late Development Plan;</w:t>
      </w:r>
    </w:p>
    <w:p>
      <w:pPr>
        <w:spacing w:after="0" w:line="206"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responsible for overseeing the Parties’ performance of their respective activities under the Late Development Plan and provide support to each Party with respect to such Party’s activities thereunder;</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during the applicable Opt-In Period, upon request by a Party, discuss the appropriate level of detail to include in the U.S. Development Budget required for the United States for the applicable Development activities to be performed during the period covered by such U.S. Development Budget for the United States;</w:t>
      </w:r>
    </w:p>
    <w:p>
      <w:pPr>
        <w:spacing w:after="0" w:line="173"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during the applicable Opt-In Period, review, discuss and approve proposed updates and amendments to each Late Development Plan;</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reports provided by a Party pursuant to </w:t>
      </w:r>
      <w:r>
        <w:rPr>
          <w:rFonts w:ascii="Times New Roman" w:cs="Times New Roman" w:eastAsia="Times New Roman" w:hAnsi="Times New Roman"/>
          <w:sz w:val="22"/>
          <w:szCs w:val="22"/>
          <w:u w:val="single" w:color="auto"/>
          <w:color w:val="auto"/>
        </w:rPr>
        <w:t>Section 5.9.2</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materials provided by a Party pursuant to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7.5</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(i) Collaboration Compounds, Collaboration Candidates and Licensed Product activities before expiration or termination of the Kymera Opt-In Right for a given Collaboration Target, and (ii) during the applicable Opt-In Period, Collaboration Candidates and Licensed Products as to which Kymera has exercised the Kymera Opt-In Right for a given Collaboration Target, in each case review, discuss and approve annual budgets and any updates or amendments thereto;</w:t>
      </w:r>
    </w:p>
    <w:p>
      <w:pPr>
        <w:spacing w:after="0" w:line="17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discuss and approve extensions to timelines pursuant to </w:t>
      </w:r>
      <w:r>
        <w:rPr>
          <w:rFonts w:ascii="Times New Roman" w:cs="Times New Roman" w:eastAsia="Times New Roman" w:hAnsi="Times New Roman"/>
          <w:sz w:val="22"/>
          <w:szCs w:val="22"/>
          <w:u w:val="single" w:color="auto"/>
          <w:color w:val="auto"/>
        </w:rPr>
        <w:t>Section 18.2.2</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discuss the rationale of obtaining any Potential In-License;</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coordination with the JPC, review and discuss Potential In-Licenses (including related proposed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economics);</w:t>
      </w:r>
    </w:p>
    <w:p>
      <w:pPr>
        <w:spacing w:after="0" w:line="182"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 a Party to lead negotiations with the applicable Third Party licensor for any Potential 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w:t>
      </w:r>
    </w:p>
    <w:p>
      <w:pPr>
        <w:spacing w:after="0" w:line="182"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receipt of a substantially finalized draft Potential In-License, determine whether to approve such Potential In-License as a Collaboration In-License Agreement for the applicable Collaboration Target;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during the applicable Opt-In Period, review, discuss and agree on the Late Development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Budget;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firstLine="2254"/>
        <w:spacing w:after="0" w:line="258" w:lineRule="auto"/>
        <w:tabs>
          <w:tab w:leader="none" w:pos="26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during the applicable Opt-In Period, review, discuss and determine whether an overspend is a Permitted U.S. Budget Overrun;</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during the applicable Opt-In Period, review, discuss and determine whether an U.S. Budget Excession was caused by circumstances within Sanofi’s reasonable control or whether to otherwise approve an U.S. Budget Excession;</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during the applicable Opt-In Period, review and discuss expense reports with respect to U.S.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Development Costs;</w:t>
      </w:r>
    </w:p>
    <w:p>
      <w:pPr>
        <w:spacing w:after="0" w:line="182"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approve any decisions or disputes submitted by a Committee to the JSC;</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but not delegate decision making authority to, such additional Subcommittees as it deems necessary to achieve the objective and intent of this Agreement; and perform such other duties as are specifically assigned to the JSC under this Agreement or as may be otherwise mutually agreed by the Parties from time to time; and</w:t>
      </w:r>
    </w:p>
    <w:p>
      <w:pPr>
        <w:spacing w:after="0" w:line="173"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as are set forth in this Agreement, or as the Parties may mutually agree in writing, except where in conflict with any provision of this Agreement.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u w:val="single" w:color="auto"/>
          <w:color w:val="auto"/>
        </w:rPr>
        <w:t>Joint Research and Development Committee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33" w:lineRule="auto"/>
        <w:rPr>
          <w:sz w:val="20"/>
          <w:szCs w:val="20"/>
          <w:color w:val="auto"/>
        </w:rPr>
      </w:pPr>
      <w:r>
        <w:rPr>
          <w:rFonts w:ascii="Times New Roman" w:cs="Times New Roman" w:eastAsia="Times New Roman" w:hAnsi="Times New Roman"/>
          <w:sz w:val="22"/>
          <w:szCs w:val="22"/>
          <w:color w:val="auto"/>
        </w:rPr>
        <w:t xml:space="preserve">9.2.1 </w:t>
      </w:r>
      <w:r>
        <w:rPr>
          <w:rFonts w:ascii="Times New Roman" w:cs="Times New Roman" w:eastAsia="Times New Roman" w:hAnsi="Times New Roman"/>
          <w:sz w:val="22"/>
          <w:szCs w:val="22"/>
          <w:b w:val="1"/>
          <w:bCs w:val="1"/>
          <w:u w:val="single" w:color="auto"/>
          <w:color w:val="auto"/>
        </w:rPr>
        <w:t>Formation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Pursuant to the Original Agreement, the Parties established a joint research and development committee (the “</w:t>
      </w:r>
      <w:r>
        <w:rPr>
          <w:rFonts w:ascii="Times New Roman" w:cs="Times New Roman" w:eastAsia="Times New Roman" w:hAnsi="Times New Roman"/>
          <w:sz w:val="22"/>
          <w:szCs w:val="22"/>
          <w:b w:val="1"/>
          <w:bCs w:val="1"/>
          <w:color w:val="auto"/>
        </w:rPr>
        <w:t>JRDC</w:t>
      </w:r>
      <w:r>
        <w:rPr>
          <w:rFonts w:ascii="Times New Roman" w:cs="Times New Roman" w:eastAsia="Times New Roman" w:hAnsi="Times New Roman"/>
          <w:sz w:val="22"/>
          <w:szCs w:val="22"/>
          <w:color w:val="auto"/>
        </w:rPr>
        <w:t xml:space="preserve">”) to act as a forum to review, discuss and oversee research activities under this Agreement on a Collaboration Target-by-Collaboration Target basis prior to the applicable Sanofi Participation Election Effective Date. The JRDC will be comprised of [***] from each Party. Each Party’s representatives on the JRDC will be of the seniority and experience appropriate in light of the functions and responsibilities of the JRDC In addition, each Party may invite a reasonable number of additional subject matter experts or relevant personnel of such Party to participate in discussions and meetings of the JRDC;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individuals will have no decision-making authority. Each Party’s representatives on the JRDC and all other individuals attending or participating in discussions and meetings of the JRDC on behalf of a Party will be bound under written confidentiality and non-use obligations with respect to information disclosed at such meeting that are no less restrictive than the provisions of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Each Party may replace its representatives on the JRDC at any time by providing notice in writing to the other Party. Until Sanofi’s first exercise of the Sanofi Participation Election Right, Kymera will designate the chairperson of the JRDC; thereafter, Sanofi will designate the chairperson of the JRDC. The chairperson of the JRDC will be responsible for setting the agenda for meetings of the JRDC with input from the other members, and for conducting the meetings of the JRDC. The JRDC will conduct its responsibilities hereunder in good faith and with reasonable care and diligence.</w:t>
      </w:r>
    </w:p>
    <w:p>
      <w:pPr>
        <w:spacing w:after="0" w:line="177" w:lineRule="exact"/>
        <w:rPr>
          <w:sz w:val="20"/>
          <w:szCs w:val="20"/>
          <w:color w:val="auto"/>
        </w:rPr>
      </w:pPr>
    </w:p>
    <w:p>
      <w:pPr>
        <w:jc w:val="both"/>
        <w:ind w:left="48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9.2.2 </w:t>
      </w:r>
      <w:r>
        <w:rPr>
          <w:rFonts w:ascii="Times New Roman" w:cs="Times New Roman" w:eastAsia="Times New Roman" w:hAnsi="Times New Roman"/>
          <w:sz w:val="22"/>
          <w:szCs w:val="22"/>
          <w:b w:val="1"/>
          <w:bCs w:val="1"/>
          <w:u w:val="single" w:color="auto"/>
          <w:color w:val="auto"/>
        </w:rPr>
        <w:t>Specific Responsibilities</w:t>
      </w:r>
      <w:r>
        <w:rPr>
          <w:rFonts w:ascii="Times New Roman" w:cs="Times New Roman" w:eastAsia="Times New Roman" w:hAnsi="Times New Roman"/>
          <w:sz w:val="22"/>
          <w:szCs w:val="22"/>
          <w:color w:val="auto"/>
        </w:rPr>
        <w:t xml:space="preserve">. The JRDC will, subject to the escalation, final decision-making authority and dispute resolution procedures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right="40" w:firstLine="2254"/>
        <w:spacing w:after="0" w:line="282" w:lineRule="auto"/>
        <w:tabs>
          <w:tab w:leader="none" w:pos="267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responsible for overseeing the Parties’ performance of their respective activities under the Research Plan and Early Development Plan and provide support to each Party with respect to such Party’s activities thereunder;</w:t>
      </w:r>
    </w:p>
    <w:p>
      <w:pPr>
        <w:spacing w:after="0" w:line="134" w:lineRule="exact"/>
        <w:rPr>
          <w:rFonts w:ascii="Times New Roman" w:cs="Times New Roman" w:eastAsia="Times New Roman" w:hAnsi="Times New Roman"/>
          <w:sz w:val="21"/>
          <w:szCs w:val="21"/>
          <w:color w:val="auto"/>
        </w:rPr>
      </w:pPr>
    </w:p>
    <w:p>
      <w:pPr>
        <w:jc w:val="both"/>
        <w:ind w:firstLine="2254"/>
        <w:spacing w:after="0" w:line="244" w:lineRule="auto"/>
        <w:tabs>
          <w:tab w:leader="none" w:pos="26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discuss (i) each amended Research Plan and Early Development Plan and approve updates or material amendments to the Research Plan and the Early Development Plan and (ii) the Phase 2 Development Plan and approve updates or material amendments to the Phase 2 Development Plan;</w:t>
      </w:r>
    </w:p>
    <w:p>
      <w:pPr>
        <w:spacing w:after="0" w:line="173"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 and determine whether a Degrader that is Researched under this Agreement meets the Screening Criteria, M2 Criteria, Phase 1 Ready Criteria or Phase 2 Ready Criteria;</w:t>
      </w:r>
    </w:p>
    <w:p>
      <w:pPr>
        <w:spacing w:after="0" w:line="158"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approve changes to the Screening Criteria, M2 Criteria, Phase 1 Ready Criteria or Phase 2 Ready Criteria;</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 and determine whether Successful Completion has been achieved;</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the list of Degraders provided by Kymera pursuant to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reports and data provided by Kymera pursuant to </w:t>
      </w:r>
      <w:r>
        <w:rPr>
          <w:rFonts w:ascii="Times New Roman" w:cs="Times New Roman" w:eastAsia="Times New Roman" w:hAnsi="Times New Roman"/>
          <w:sz w:val="22"/>
          <w:szCs w:val="22"/>
          <w:u w:val="single" w:color="auto"/>
          <w:color w:val="auto"/>
        </w:rPr>
        <w:t>Section 2.4.7</w:t>
      </w:r>
      <w:r>
        <w:rPr>
          <w:rFonts w:ascii="Times New Roman" w:cs="Times New Roman" w:eastAsia="Times New Roman" w:hAnsi="Times New Roman"/>
          <w:sz w:val="22"/>
          <w:szCs w:val="22"/>
          <w:color w:val="auto"/>
        </w:rPr>
        <w:t xml:space="preserve"> within [***] after the delivery of each such report, and determine if a relevant Degrader satisfies the First Additional Degrader Criteria;</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the minutes of the JRDC to reflect any selection of a Degrader as a First Additional Degrader, whether by the JRDC, the R&amp;D Expert in accordance with </w:t>
      </w:r>
      <w:r>
        <w:rPr>
          <w:rFonts w:ascii="Times New Roman" w:cs="Times New Roman" w:eastAsia="Times New Roman" w:hAnsi="Times New Roman"/>
          <w:sz w:val="22"/>
          <w:szCs w:val="22"/>
          <w:u w:val="single" w:color="auto"/>
          <w:color w:val="auto"/>
        </w:rPr>
        <w:t>Section 9.9.2(b)(iii)</w:t>
      </w:r>
      <w:r>
        <w:rPr>
          <w:rFonts w:ascii="Times New Roman" w:cs="Times New Roman" w:eastAsia="Times New Roman" w:hAnsi="Times New Roman"/>
          <w:sz w:val="22"/>
          <w:szCs w:val="22"/>
          <w:color w:val="auto"/>
        </w:rPr>
        <w:t xml:space="preserve"> or by Sanofi in accordance with </w:t>
      </w:r>
      <w:r>
        <w:rPr>
          <w:rFonts w:ascii="Times New Roman" w:cs="Times New Roman" w:eastAsia="Times New Roman" w:hAnsi="Times New Roman"/>
          <w:sz w:val="22"/>
          <w:szCs w:val="22"/>
          <w:u w:val="single" w:color="auto"/>
          <w:color w:val="auto"/>
        </w:rPr>
        <w:t>Section 2.4.7</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determine whether a Collaboration Candidate or Licensed Product Directed Against Collaboration Target 2 satisfies the Phase 1 Ready Criteria;</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reports and data provided by Kymera pursuant to </w:t>
      </w:r>
      <w:r>
        <w:rPr>
          <w:rFonts w:ascii="Times New Roman" w:cs="Times New Roman" w:eastAsia="Times New Roman" w:hAnsi="Times New Roman"/>
          <w:sz w:val="22"/>
          <w:szCs w:val="22"/>
          <w:u w:val="single" w:color="auto"/>
          <w:color w:val="auto"/>
        </w:rPr>
        <w:t>Section 2.5.7</w:t>
      </w:r>
      <w:r>
        <w:rPr>
          <w:rFonts w:ascii="Times New Roman" w:cs="Times New Roman" w:eastAsia="Times New Roman" w:hAnsi="Times New Roman"/>
          <w:sz w:val="22"/>
          <w:szCs w:val="22"/>
          <w:color w:val="auto"/>
        </w:rPr>
        <w:t xml:space="preserve"> within [***] after the delivery of each such report, and determine if a relevant Degrader satisfies the Second Additional Degrader Criteria;</w:t>
      </w:r>
    </w:p>
    <w:p>
      <w:pPr>
        <w:spacing w:after="0" w:line="158"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the minutes of the JRDC to reflect any selection of a Degrader as a Second Additional Degrader, whether by the JRDC or the R&amp;D Expert or by Sanofi in accordance with </w:t>
      </w:r>
      <w:r>
        <w:rPr>
          <w:rFonts w:ascii="Times New Roman" w:cs="Times New Roman" w:eastAsia="Times New Roman" w:hAnsi="Times New Roman"/>
          <w:sz w:val="22"/>
          <w:szCs w:val="22"/>
          <w:u w:val="single" w:color="auto"/>
          <w:color w:val="auto"/>
        </w:rPr>
        <w:t>Section 2.5.7</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reports and data provided by Kymera pursuant to </w:t>
      </w:r>
      <w:r>
        <w:rPr>
          <w:rFonts w:ascii="Times New Roman" w:cs="Times New Roman" w:eastAsia="Times New Roman" w:hAnsi="Times New Roman"/>
          <w:sz w:val="22"/>
          <w:szCs w:val="22"/>
          <w:u w:val="single" w:color="auto"/>
          <w:color w:val="auto"/>
        </w:rPr>
        <w:t>Section 2.6.5</w:t>
      </w:r>
      <w:r>
        <w:rPr>
          <w:rFonts w:ascii="Times New Roman" w:cs="Times New Roman" w:eastAsia="Times New Roman" w:hAnsi="Times New Roman"/>
          <w:sz w:val="22"/>
          <w:szCs w:val="22"/>
          <w:color w:val="auto"/>
        </w:rPr>
        <w:t xml:space="preserve"> within [***] after the delivery of each such report, and determine if a relevant Degrader satisfies the M2 Criteria;</w:t>
      </w:r>
    </w:p>
    <w:p>
      <w:pPr>
        <w:spacing w:after="0" w:line="158"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minutes of the JRDC to reflect any selection of a Collaboration Compound as a Collaboration Candidate, whether by the JRDC or the R&amp;D Expert;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right="20" w:firstLine="2254"/>
        <w:spacing w:after="0" w:line="258" w:lineRule="auto"/>
        <w:tabs>
          <w:tab w:leader="none" w:pos="26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information provided by Kymera pursuant to </w:t>
      </w:r>
      <w:r>
        <w:rPr>
          <w:rFonts w:ascii="Times New Roman" w:cs="Times New Roman" w:eastAsia="Times New Roman" w:hAnsi="Times New Roman"/>
          <w:sz w:val="22"/>
          <w:szCs w:val="22"/>
          <w:u w:val="single" w:color="auto"/>
          <w:color w:val="auto"/>
        </w:rPr>
        <w:t>Sections 2.4.5</w:t>
      </w:r>
      <w:r>
        <w:rPr>
          <w:rFonts w:ascii="Times New Roman" w:cs="Times New Roman" w:eastAsia="Times New Roman" w:hAnsi="Times New Roman"/>
          <w:sz w:val="22"/>
          <w:szCs w:val="22"/>
          <w:color w:val="auto"/>
        </w:rPr>
        <w:t xml:space="preserve"> and 2.5.5 and whether to approve any related overspend as a FAD Permitted Overrun or SAD Permitted Overrun;</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discuss and approve a FAD Research Budget Excession or SAD Research Budget Excession in accordance with </w:t>
      </w:r>
      <w:r>
        <w:rPr>
          <w:rFonts w:ascii="Times New Roman" w:cs="Times New Roman" w:eastAsia="Times New Roman" w:hAnsi="Times New Roman"/>
          <w:sz w:val="22"/>
          <w:szCs w:val="22"/>
          <w:u w:val="single" w:color="auto"/>
          <w:color w:val="auto"/>
        </w:rPr>
        <w:t>Sections 2.4.5</w:t>
      </w:r>
      <w:r>
        <w:rPr>
          <w:rFonts w:ascii="Times New Roman" w:cs="Times New Roman" w:eastAsia="Times New Roman" w:hAnsi="Times New Roman"/>
          <w:sz w:val="22"/>
          <w:szCs w:val="22"/>
          <w:color w:val="auto"/>
        </w:rPr>
        <w:t xml:space="preserve"> and 2.5.5, including whether any such FAD Research Budget Excession or SAD Research Budget Excession was in Kymera’s reasonable control;</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discuss and determine whether Research Activities under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xml:space="preserve"> should be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discontinued;</w:t>
      </w:r>
    </w:p>
    <w:p>
      <w:pPr>
        <w:spacing w:after="0" w:line="182"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information provided by Kymera pursuant to </w:t>
      </w:r>
      <w:r>
        <w:rPr>
          <w:rFonts w:ascii="Times New Roman" w:cs="Times New Roman" w:eastAsia="Times New Roman" w:hAnsi="Times New Roman"/>
          <w:sz w:val="22"/>
          <w:szCs w:val="22"/>
          <w:u w:val="single" w:color="auto"/>
          <w:color w:val="auto"/>
        </w:rPr>
        <w:t>Section 2.6.4</w:t>
      </w:r>
      <w:r>
        <w:rPr>
          <w:rFonts w:ascii="Times New Roman" w:cs="Times New Roman" w:eastAsia="Times New Roman" w:hAnsi="Times New Roman"/>
          <w:sz w:val="22"/>
          <w:szCs w:val="22"/>
          <w:color w:val="auto"/>
        </w:rPr>
        <w:t xml:space="preserve"> and whether to approve any related overspend as a Series 2 Permitted Overrun;</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discuss and approve Series 2 Research Budget Excession in accordance with </w:t>
      </w:r>
      <w:r>
        <w:rPr>
          <w:rFonts w:ascii="Times New Roman" w:cs="Times New Roman" w:eastAsia="Times New Roman" w:hAnsi="Times New Roman"/>
          <w:sz w:val="22"/>
          <w:szCs w:val="22"/>
          <w:u w:val="single" w:color="auto"/>
          <w:color w:val="auto"/>
        </w:rPr>
        <w:t>Section 2.6.4</w:t>
      </w:r>
      <w:r>
        <w:rPr>
          <w:rFonts w:ascii="Times New Roman" w:cs="Times New Roman" w:eastAsia="Times New Roman" w:hAnsi="Times New Roman"/>
          <w:sz w:val="22"/>
          <w:szCs w:val="22"/>
          <w:color w:val="auto"/>
        </w:rPr>
        <w:t>, including whether any such Series 2 Research Budget Excession was in Kymera’s reasonable control;</w:t>
      </w:r>
    </w:p>
    <w:p>
      <w:pPr>
        <w:spacing w:after="0" w:line="158"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discuss and approve a transfer of Materials from one Party to the other Party in accordance with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and discuss information provided by a Party with respect to MTA Research Studies;</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Research Term prior to Sanofi’s exercise of the Sanofi Participation Election Right with respect to Collaboration Target 2, determine the first Indication for which the first IND will be filed with respect to a Licensed Product;</w:t>
      </w:r>
    </w:p>
    <w:p>
      <w:pPr>
        <w:spacing w:after="0" w:line="173"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discuss and approve a transfer of Materials from one Party to the other Party in accordance with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and discuss information provided by a Party with respect to MTA Development Studies;</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reports provided by a Party pursuant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contemplated by </w:t>
      </w:r>
      <w:r>
        <w:rPr>
          <w:rFonts w:ascii="Times New Roman" w:cs="Times New Roman" w:eastAsia="Times New Roman" w:hAnsi="Times New Roman"/>
          <w:sz w:val="22"/>
          <w:szCs w:val="22"/>
          <w:u w:val="single" w:color="auto"/>
          <w:color w:val="auto"/>
        </w:rPr>
        <w:t>Section 5.2.3</w:t>
      </w:r>
      <w:r>
        <w:rPr>
          <w:rFonts w:ascii="Times New Roman" w:cs="Times New Roman" w:eastAsia="Times New Roman" w:hAnsi="Times New Roman"/>
          <w:sz w:val="22"/>
          <w:szCs w:val="22"/>
          <w:color w:val="auto"/>
        </w:rPr>
        <w:t>, review, discussion and approve an extension of time during which Kymera will make its personnel reasonably available;</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information provided by Kymera pursuant to </w:t>
      </w:r>
      <w:r>
        <w:rPr>
          <w:rFonts w:ascii="Times New Roman" w:cs="Times New Roman" w:eastAsia="Times New Roman" w:hAnsi="Times New Roman"/>
          <w:sz w:val="22"/>
          <w:szCs w:val="22"/>
          <w:u w:val="single" w:color="auto"/>
          <w:color w:val="auto"/>
        </w:rPr>
        <w:t>Section 5.5.6</w:t>
      </w:r>
      <w:r>
        <w:rPr>
          <w:rFonts w:ascii="Times New Roman" w:cs="Times New Roman" w:eastAsia="Times New Roman" w:hAnsi="Times New Roman"/>
          <w:sz w:val="22"/>
          <w:szCs w:val="22"/>
          <w:color w:val="auto"/>
        </w:rPr>
        <w:t xml:space="preserve"> and whether to approve any related overspend as a Permitted Backup Research Overrun;</w:t>
      </w:r>
    </w:p>
    <w:p>
      <w:pPr>
        <w:spacing w:after="0" w:line="158"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discuss and determine, in accordance with </w:t>
      </w:r>
      <w:r>
        <w:rPr>
          <w:rFonts w:ascii="Times New Roman" w:cs="Times New Roman" w:eastAsia="Times New Roman" w:hAnsi="Times New Roman"/>
          <w:sz w:val="22"/>
          <w:szCs w:val="22"/>
          <w:u w:val="single" w:color="auto"/>
          <w:color w:val="auto"/>
        </w:rPr>
        <w:t>Section 5.5.6</w:t>
      </w:r>
      <w:r>
        <w:rPr>
          <w:rFonts w:ascii="Times New Roman" w:cs="Times New Roman" w:eastAsia="Times New Roman" w:hAnsi="Times New Roman"/>
          <w:sz w:val="22"/>
          <w:szCs w:val="22"/>
          <w:color w:val="auto"/>
        </w:rPr>
        <w:t>, whether any Backup Research Budget Excession was in Kymera’s reasonable control;</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reports and data provided by Kymera pursuant to </w:t>
      </w:r>
      <w:r>
        <w:rPr>
          <w:rFonts w:ascii="Times New Roman" w:cs="Times New Roman" w:eastAsia="Times New Roman" w:hAnsi="Times New Roman"/>
          <w:sz w:val="22"/>
          <w:szCs w:val="22"/>
          <w:u w:val="single" w:color="auto"/>
          <w:color w:val="auto"/>
        </w:rPr>
        <w:t>Section 5.5.7</w:t>
      </w:r>
      <w:r>
        <w:rPr>
          <w:rFonts w:ascii="Times New Roman" w:cs="Times New Roman" w:eastAsia="Times New Roman" w:hAnsi="Times New Roman"/>
          <w:sz w:val="22"/>
          <w:szCs w:val="22"/>
          <w:color w:val="auto"/>
        </w:rPr>
        <w:t xml:space="preserve"> within [***] after the delivery of each such report, and determine if a relevant Degrader satisfies the Backup Degrader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6537960</wp:posOffset>
            </wp:positionH>
            <wp:positionV relativeFrom="paragraph">
              <wp:posOffset>-5856605</wp:posOffset>
            </wp:positionV>
            <wp:extent cx="33464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2">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-5256530</wp:posOffset>
            </wp:positionV>
            <wp:extent cx="3175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3">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44" w:name="page245"/>
    <w:bookmarkEnd w:id="244"/>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right="40" w:firstLine="2254"/>
        <w:spacing w:after="0" w:line="282" w:lineRule="auto"/>
        <w:tabs>
          <w:tab w:leader="none" w:pos="2678"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cause the minutes of the JRDC to reflect any selection of a Degrader as a Backup Degrader, whether by the JRDC, the R&amp;D Expert in accordance with </w:t>
      </w:r>
      <w:r>
        <w:rPr>
          <w:rFonts w:ascii="Times New Roman" w:cs="Times New Roman" w:eastAsia="Times New Roman" w:hAnsi="Times New Roman"/>
          <w:sz w:val="21"/>
          <w:szCs w:val="21"/>
          <w:u w:val="single" w:color="auto"/>
          <w:color w:val="auto"/>
        </w:rPr>
        <w:t>Section 9.9.2(b)(iii)</w:t>
      </w:r>
      <w:r>
        <w:rPr>
          <w:rFonts w:ascii="Times New Roman" w:cs="Times New Roman" w:eastAsia="Times New Roman" w:hAnsi="Times New Roman"/>
          <w:sz w:val="21"/>
          <w:szCs w:val="21"/>
          <w:color w:val="auto"/>
        </w:rPr>
        <w:t xml:space="preserve"> or by Sanofi in accordance with </w:t>
      </w:r>
      <w:r>
        <w:rPr>
          <w:rFonts w:ascii="Times New Roman" w:cs="Times New Roman" w:eastAsia="Times New Roman" w:hAnsi="Times New Roman"/>
          <w:sz w:val="21"/>
          <w:szCs w:val="21"/>
          <w:u w:val="single" w:color="auto"/>
          <w:color w:val="auto"/>
        </w:rPr>
        <w:t>Section 5.5.10</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jc w:val="both"/>
        <w:ind w:firstLine="2254"/>
        <w:spacing w:after="0" w:line="239" w:lineRule="auto"/>
        <w:tabs>
          <w:tab w:leader="none" w:pos="267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coordination with the JPC, review and discuss any requests by Kymera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5.6.5</w:t>
      </w:r>
      <w:r>
        <w:rPr>
          <w:rFonts w:ascii="Times New Roman" w:cs="Times New Roman" w:eastAsia="Times New Roman" w:hAnsi="Times New Roman"/>
          <w:sz w:val="22"/>
          <w:szCs w:val="22"/>
          <w:color w:val="auto"/>
        </w:rPr>
        <w:t xml:space="preserve"> regarding a potential reversion of any Collaboration Compounds or Collaboration Candidates Directed Against Collaboration Target 1 that were Researched by or on behalf of Kymera under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 xml:space="preserve"> but have not been selected as the First Additional Degraders, Second Additional Degraders or Backup Degraders;</w:t>
      </w:r>
    </w:p>
    <w:p>
      <w:pPr>
        <w:spacing w:after="0" w:line="180"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reports provided by Sanofi in accordance with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coordination with the JMC, monitor Kymera’s progress under the Early Development Plan to anticipate, and plan for, the transition of Manufacturing activities to Sanofi based on the anticipated Development timelines set forth in the Early Development Plan and the Late Development Plan;</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coordination with the JMC, determine whether it is reasonably foreseeable that [***];</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discuss, review and approve, in accordance with </w:t>
      </w:r>
      <w:r>
        <w:rPr>
          <w:rFonts w:ascii="Times New Roman" w:cs="Times New Roman" w:eastAsia="Times New Roman" w:hAnsi="Times New Roman"/>
          <w:sz w:val="22"/>
          <w:szCs w:val="22"/>
          <w:u w:val="single" w:color="auto"/>
          <w:color w:val="auto"/>
        </w:rPr>
        <w:t>Section 10.3.2</w:t>
      </w:r>
      <w:r>
        <w:rPr>
          <w:rFonts w:ascii="Times New Roman" w:cs="Times New Roman" w:eastAsia="Times New Roman" w:hAnsi="Times New Roman"/>
          <w:sz w:val="22"/>
          <w:szCs w:val="22"/>
          <w:color w:val="auto"/>
        </w:rPr>
        <w:t xml:space="preserve">, grants of Sublicenses by Kymera of any of the licenses granted to Kymera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xml:space="preserve"> to additional Third Party contractors other than Approved Third Party Contractors, such approval not to be unreasonably withheld, conditioned or delayed;</w:t>
      </w:r>
    </w:p>
    <w:p>
      <w:pPr>
        <w:spacing w:after="0" w:line="173"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information provided by Sanofi pursuant to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whether to approve any related overspend as a Permitted U.S. Budget Overrun;</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75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discuss and determine, in accordance with </w:t>
      </w:r>
      <w:r>
        <w:rPr>
          <w:rFonts w:ascii="Times New Roman" w:cs="Times New Roman" w:eastAsia="Times New Roman" w:hAnsi="Times New Roman"/>
          <w:sz w:val="22"/>
          <w:szCs w:val="22"/>
          <w:u w:val="single" w:color="auto"/>
          <w:color w:val="auto"/>
        </w:rPr>
        <w:t>Section 5.5.6</w:t>
      </w:r>
      <w:r>
        <w:rPr>
          <w:rFonts w:ascii="Times New Roman" w:cs="Times New Roman" w:eastAsia="Times New Roman" w:hAnsi="Times New Roman"/>
          <w:sz w:val="22"/>
          <w:szCs w:val="22"/>
          <w:color w:val="auto"/>
        </w:rPr>
        <w:t>, whether any Research Budget Excession was in Kymera’s reasonable control;</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discuss and approve any U.S. Budget Excession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including whether any U.S. Budget Excession was in Sanofi’s reasonable control;</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approve additional Third Party contractors as Approved Third Party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Contractors;</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determine reasonable expenses pursuant to </w:t>
      </w:r>
      <w:r>
        <w:rPr>
          <w:rFonts w:ascii="Times New Roman" w:cs="Times New Roman" w:eastAsia="Times New Roman" w:hAnsi="Times New Roman"/>
          <w:sz w:val="22"/>
          <w:szCs w:val="22"/>
          <w:u w:val="single" w:color="auto"/>
          <w:color w:val="auto"/>
        </w:rPr>
        <w:t>Section 15.2.4</w:t>
      </w: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as are set forth in this Agreement, or as the Parties may mutually agree in writing, except where in conflict with any provision of this Agreement.</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Any failure of the Parties to agree on matters within the purview of the JRDC as set forth in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will be resolved in accordance with the decision-making and escalation procedures set forth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u w:val="single" w:color="auto"/>
          <w:color w:val="auto"/>
        </w:rPr>
        <w:t>Joint Patent Committee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80" w:firstLine="1497"/>
        <w:spacing w:after="0" w:line="255" w:lineRule="auto"/>
        <w:rPr>
          <w:sz w:val="20"/>
          <w:szCs w:val="20"/>
          <w:color w:val="auto"/>
        </w:rPr>
      </w:pPr>
      <w:r>
        <w:rPr>
          <w:rFonts w:ascii="Times New Roman" w:cs="Times New Roman" w:eastAsia="Times New Roman" w:hAnsi="Times New Roman"/>
          <w:sz w:val="21"/>
          <w:szCs w:val="21"/>
          <w:color w:val="auto"/>
        </w:rPr>
        <w:t xml:space="preserve">9.3.1 </w:t>
      </w:r>
      <w:r>
        <w:rPr>
          <w:rFonts w:ascii="Times New Roman" w:cs="Times New Roman" w:eastAsia="Times New Roman" w:hAnsi="Times New Roman"/>
          <w:sz w:val="21"/>
          <w:szCs w:val="21"/>
          <w:b w:val="1"/>
          <w:bCs w:val="1"/>
          <w:u w:val="single" w:color="auto"/>
          <w:color w:val="auto"/>
        </w:rPr>
        <w:t>Formation</w:t>
      </w:r>
      <w:r>
        <w:rPr>
          <w:rFonts w:ascii="Times New Roman" w:cs="Times New Roman" w:eastAsia="Times New Roman" w:hAnsi="Times New Roman"/>
          <w:sz w:val="21"/>
          <w:szCs w:val="21"/>
          <w:color w:val="auto"/>
        </w:rPr>
        <w:t>. Pursuant to the Original Agreement, the Parties established a joint patent committee (the “</w:t>
      </w:r>
      <w:r>
        <w:rPr>
          <w:rFonts w:ascii="Times New Roman" w:cs="Times New Roman" w:eastAsia="Times New Roman" w:hAnsi="Times New Roman"/>
          <w:sz w:val="21"/>
          <w:szCs w:val="21"/>
          <w:b w:val="1"/>
          <w:bCs w:val="1"/>
          <w:color w:val="auto"/>
        </w:rPr>
        <w:t>JPC</w:t>
      </w:r>
      <w:r>
        <w:rPr>
          <w:rFonts w:ascii="Times New Roman" w:cs="Times New Roman" w:eastAsia="Times New Roman" w:hAnsi="Times New Roman"/>
          <w:sz w:val="21"/>
          <w:szCs w:val="21"/>
          <w:color w:val="auto"/>
        </w:rPr>
        <w:t>”) to coordinate the Prosecution and Maintenance and enforcement of [***]. The JPC will be comprised of up to</w:t>
      </w:r>
    </w:p>
    <w:p>
      <w:pPr>
        <w:spacing w:after="0" w:line="1" w:lineRule="exact"/>
        <w:rPr>
          <w:sz w:val="20"/>
          <w:szCs w:val="20"/>
          <w:color w:val="auto"/>
        </w:rPr>
      </w:pPr>
    </w:p>
    <w:p>
      <w:pPr>
        <w:jc w:val="both"/>
        <w:ind w:left="480" w:hanging="3"/>
        <w:spacing w:after="0" w:line="232" w:lineRule="auto"/>
        <w:tabs>
          <w:tab w:leader="none" w:pos="100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representing each Party. Each Party’s representative(s) on the JPC will be of the seniority and experience appropriate in light of the functions and responsibilities of the JPC. In addition, each Party may invite a reasonable number of additional subject matter experts, outside counsel or relevant personnel of such Party to participate in discussions and meetings of the JPC on an ad-hoc basis. Each Party may replace its representative(s) on the JPC at any time by providing notice in writing to the other Party. The JPC will conduct its responsibilities hereunder in good faith and with reasonable care and diligence.</w:t>
      </w:r>
    </w:p>
    <w:p>
      <w:pPr>
        <w:spacing w:after="0" w:line="179" w:lineRule="exact"/>
        <w:rPr>
          <w:sz w:val="20"/>
          <w:szCs w:val="20"/>
          <w:color w:val="auto"/>
        </w:rPr>
      </w:pPr>
    </w:p>
    <w:p>
      <w:pPr>
        <w:ind w:left="48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9.3.2 </w:t>
      </w:r>
      <w:r>
        <w:rPr>
          <w:rFonts w:ascii="Times New Roman" w:cs="Times New Roman" w:eastAsia="Times New Roman" w:hAnsi="Times New Roman"/>
          <w:sz w:val="22"/>
          <w:szCs w:val="22"/>
          <w:b w:val="1"/>
          <w:bCs w:val="1"/>
          <w:u w:val="single" w:color="auto"/>
          <w:color w:val="auto"/>
        </w:rPr>
        <w:t>Specific Responsibilities</w:t>
      </w:r>
      <w:r>
        <w:rPr>
          <w:rFonts w:ascii="Times New Roman" w:cs="Times New Roman" w:eastAsia="Times New Roman" w:hAnsi="Times New Roman"/>
          <w:sz w:val="22"/>
          <w:szCs w:val="22"/>
          <w:color w:val="auto"/>
        </w:rPr>
        <w:t xml:space="preserve">. The JPC will, subject to the escalation, final decision-making authority and dispute resolution procedures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in coordination with the JSC, review and discuss Potential In-Licenses (including related proposed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economics);</w:t>
      </w:r>
    </w:p>
    <w:p>
      <w:pPr>
        <w:spacing w:after="0" w:line="182" w:lineRule="exact"/>
        <w:rPr>
          <w:sz w:val="20"/>
          <w:szCs w:val="20"/>
          <w:color w:val="auto"/>
        </w:rPr>
      </w:pPr>
    </w:p>
    <w:p>
      <w:pPr>
        <w:jc w:val="both"/>
        <w:ind w:firstLine="2254"/>
        <w:spacing w:after="0" w:line="239" w:lineRule="auto"/>
        <w:tabs>
          <w:tab w:leader="none" w:pos="267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coordination with the JRDC, review and discuss any requests by Kymera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5.6</w:t>
      </w:r>
      <w:r>
        <w:rPr>
          <w:rFonts w:ascii="Times New Roman" w:cs="Times New Roman" w:eastAsia="Times New Roman" w:hAnsi="Times New Roman"/>
          <w:sz w:val="22"/>
          <w:szCs w:val="22"/>
          <w:color w:val="auto"/>
        </w:rPr>
        <w:t xml:space="preserve"> regarding a potential reversion of any Collaboration Compounds or Collaboration Candidates Directed Against Collaboration Target 1 that were Researched by or on behalf of Kymera under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 xml:space="preserve"> but have not been selected as the First Additional Degraders, Second Additional Degraders or Backup Degraders;</w:t>
      </w:r>
    </w:p>
    <w:p>
      <w:pPr>
        <w:spacing w:after="0" w:line="180"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determine [***];</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coordinate the Prosecution and Maintenance activities under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consider matters raised to the JPC pursuant to </w:t>
      </w:r>
      <w:r>
        <w:rPr>
          <w:rFonts w:ascii="Times New Roman" w:cs="Times New Roman" w:eastAsia="Times New Roman" w:hAnsi="Times New Roman"/>
          <w:sz w:val="22"/>
          <w:szCs w:val="22"/>
          <w:u w:val="single" w:color="auto"/>
          <w:color w:val="auto"/>
        </w:rPr>
        <w:t>Section 16.6.3</w:t>
      </w: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as are set forth in this Agreement, or as the Parties may mutually agree in writing, except where in conflict with any provision of this Agreement.</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Any failure of the Parties to agree on matters within the purview of the JPC as set forth in this </w:t>
      </w:r>
      <w:r>
        <w:rPr>
          <w:rFonts w:ascii="Times New Roman" w:cs="Times New Roman" w:eastAsia="Times New Roman" w:hAnsi="Times New Roman"/>
          <w:sz w:val="22"/>
          <w:szCs w:val="22"/>
          <w:u w:val="single" w:color="auto"/>
          <w:color w:val="auto"/>
        </w:rPr>
        <w:t>Section 9.3.2</w:t>
      </w:r>
      <w:r>
        <w:rPr>
          <w:rFonts w:ascii="Times New Roman" w:cs="Times New Roman" w:eastAsia="Times New Roman" w:hAnsi="Times New Roman"/>
          <w:sz w:val="22"/>
          <w:szCs w:val="22"/>
          <w:color w:val="auto"/>
        </w:rPr>
        <w:t xml:space="preserve"> will be resolved in accordance with the decision-making and escalation procedures set forth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u w:val="single" w:color="auto"/>
          <w:color w:val="auto"/>
        </w:rPr>
        <w:t>Joint Manufacturing Committee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41" w:lineRule="auto"/>
        <w:rPr>
          <w:sz w:val="20"/>
          <w:szCs w:val="20"/>
          <w:color w:val="auto"/>
        </w:rPr>
      </w:pPr>
      <w:r>
        <w:rPr>
          <w:rFonts w:ascii="Times New Roman" w:cs="Times New Roman" w:eastAsia="Times New Roman" w:hAnsi="Times New Roman"/>
          <w:sz w:val="22"/>
          <w:szCs w:val="22"/>
          <w:color w:val="auto"/>
        </w:rPr>
        <w:t xml:space="preserve">9.4.1 </w:t>
      </w:r>
      <w:r>
        <w:rPr>
          <w:rFonts w:ascii="Times New Roman" w:cs="Times New Roman" w:eastAsia="Times New Roman" w:hAnsi="Times New Roman"/>
          <w:sz w:val="22"/>
          <w:szCs w:val="22"/>
          <w:b w:val="1"/>
          <w:bCs w:val="1"/>
          <w:u w:val="single" w:color="auto"/>
          <w:color w:val="auto"/>
        </w:rPr>
        <w:t>Formation</w:t>
      </w:r>
      <w:r>
        <w:rPr>
          <w:rFonts w:ascii="Times New Roman" w:cs="Times New Roman" w:eastAsia="Times New Roman" w:hAnsi="Times New Roman"/>
          <w:sz w:val="22"/>
          <w:szCs w:val="22"/>
          <w:color w:val="auto"/>
        </w:rPr>
        <w:t>. Pursuant to the Original Agreement, the Parties established a joint manufacturing committee (the “</w:t>
      </w:r>
      <w:r>
        <w:rPr>
          <w:rFonts w:ascii="Times New Roman" w:cs="Times New Roman" w:eastAsia="Times New Roman" w:hAnsi="Times New Roman"/>
          <w:sz w:val="22"/>
          <w:szCs w:val="22"/>
          <w:b w:val="1"/>
          <w:bCs w:val="1"/>
          <w:color w:val="auto"/>
        </w:rPr>
        <w:t>JMC</w:t>
      </w:r>
      <w:r>
        <w:rPr>
          <w:rFonts w:ascii="Times New Roman" w:cs="Times New Roman" w:eastAsia="Times New Roman" w:hAnsi="Times New Roman"/>
          <w:sz w:val="22"/>
          <w:szCs w:val="22"/>
          <w:color w:val="auto"/>
        </w:rPr>
        <w:t>”) to act as a forum to review, discuss and oversee Manufacturing activities under this Agreement. The JMC will be comprised of [***] from each Party. Each Party’s representatives on the JMC will be of the seniority and experience appropriate in light of the functions and responsibilities of the JMC. In addition,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21"/>
          <w:szCs w:val="21"/>
          <w:color w:val="auto"/>
        </w:rPr>
        <w:t xml:space="preserve">each Party may invite a reasonable number of additional subject matter experts or relevant personnel of such Party to participate in discussions and meetings of the JMC;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individuals will have no decision-making authority. Each Party’s representatives on the JMC and all other individuals attending or participating in discussions and meetings of the JMC on behalf of a Party will be bound under written confidentiality and non-use obligations with respect to information disclosed at such meeting that are no less restrictive than the provisions of </w:t>
      </w:r>
      <w:r>
        <w:rPr>
          <w:rFonts w:ascii="Times New Roman" w:cs="Times New Roman" w:eastAsia="Times New Roman" w:hAnsi="Times New Roman"/>
          <w:sz w:val="21"/>
          <w:szCs w:val="21"/>
          <w:u w:val="single" w:color="auto"/>
          <w:color w:val="auto"/>
        </w:rPr>
        <w:t>Article 16</w:t>
      </w:r>
      <w:r>
        <w:rPr>
          <w:rFonts w:ascii="Times New Roman" w:cs="Times New Roman" w:eastAsia="Times New Roman" w:hAnsi="Times New Roman"/>
          <w:sz w:val="21"/>
          <w:szCs w:val="21"/>
          <w:color w:val="auto"/>
        </w:rPr>
        <w:t>. Each Party may replace its representatives on the JMC at any time by providing notice in writing to the other Party. Prior to the Sanofi Participation Election Effective Date, each Party will appoint one of its representatives on the JMC to act as a co-chairperson of the JMC; thereafter, Sanofi will designate the chairperson of the JMC. The chairperson of the JMC will be responsible for setting the agenda for meetings of the JMC with input from the other members, and for conducting the meetings of the JMC. The JMC will conduct its responsibilities hereunder in good faith and with reasonable care and diligence.</w:t>
      </w:r>
    </w:p>
    <w:p>
      <w:pPr>
        <w:spacing w:after="0" w:line="167" w:lineRule="exact"/>
        <w:rPr>
          <w:sz w:val="20"/>
          <w:szCs w:val="20"/>
          <w:color w:val="auto"/>
        </w:rPr>
      </w:pPr>
    </w:p>
    <w:p>
      <w:pPr>
        <w:jc w:val="both"/>
        <w:ind w:left="48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9.4.2 </w:t>
      </w:r>
      <w:r>
        <w:rPr>
          <w:rFonts w:ascii="Times New Roman" w:cs="Times New Roman" w:eastAsia="Times New Roman" w:hAnsi="Times New Roman"/>
          <w:sz w:val="22"/>
          <w:szCs w:val="22"/>
          <w:b w:val="1"/>
          <w:bCs w:val="1"/>
          <w:u w:val="single" w:color="auto"/>
          <w:color w:val="auto"/>
        </w:rPr>
        <w:t>Specific Responsibilities</w:t>
      </w:r>
      <w:r>
        <w:rPr>
          <w:rFonts w:ascii="Times New Roman" w:cs="Times New Roman" w:eastAsia="Times New Roman" w:hAnsi="Times New Roman"/>
          <w:sz w:val="22"/>
          <w:szCs w:val="22"/>
          <w:color w:val="auto"/>
        </w:rPr>
        <w:t xml:space="preserve">. The JMC will, subject to the escalation, final decision-making authority and dispute resolution procedures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(a)</w:t>
        <w:tab/>
        <w:t>work with the JSC to be responsible for overseeing Manufacturing activities under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2680" w:hanging="426"/>
        <w:spacing w:after="0"/>
        <w:tabs>
          <w:tab w:leader="none" w:pos="26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approve the CMC Transfer Plans;</w:t>
      </w:r>
    </w:p>
    <w:p>
      <w:pPr>
        <w:spacing w:after="0" w:line="206"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timeline for technology transfer of CMC information for a Degrader Directed Against Collaboration Target 1 for which transfer will occur after the achievement of the relevant [***];</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coordination with the JRDC, monitor Kymera’s progress under the Research Plan and the Early Development Plan to anticipate, and plan for, the transition of Manufacturing activities to Sanofi based on the anticipated Development timelines set forth in the Research Plan, the Early Development Plan and the Late Development Plan;</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coordination with the JRDC, (i) determine whether it is reasonably foreseeable that [***];</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discuss and approve changes to </w:t>
      </w:r>
      <w:r>
        <w:rPr>
          <w:rFonts w:ascii="Times New Roman" w:cs="Times New Roman" w:eastAsia="Times New Roman" w:hAnsi="Times New Roman"/>
          <w:sz w:val="22"/>
          <w:szCs w:val="22"/>
          <w:u w:val="single" w:color="auto"/>
          <w:color w:val="auto"/>
        </w:rPr>
        <w:t>Schedule 8.4</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 review and oversee the transfer of Manufacturing activities to Sanofi or its CMO(s); and</w:t>
      </w:r>
    </w:p>
    <w:p>
      <w:pPr>
        <w:spacing w:after="0" w:line="206"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as are set forth herein or as the Parties may mutually agree in writing, except where in conflict with any provision of this Agreement.</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Any failure of the Parties to agree on matters within the purview of the JMC as set forth in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will be resolved in accordance with the decision-making and escalation procedures set forth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b w:val="1"/>
          <w:bCs w:val="1"/>
          <w:u w:val="single" w:color="auto"/>
          <w:color w:val="auto"/>
        </w:rPr>
        <w:t>Joint Transition Team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47" w:name="page248"/>
    <w:bookmarkEnd w:id="247"/>
    <w:p>
      <w:pPr>
        <w:ind w:left="9123"/>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jc w:val="both"/>
        <w:ind w:left="3" w:firstLine="1497"/>
        <w:spacing w:after="0" w:line="232" w:lineRule="auto"/>
        <w:rPr>
          <w:sz w:val="20"/>
          <w:szCs w:val="20"/>
          <w:color w:val="auto"/>
        </w:rPr>
      </w:pPr>
      <w:r>
        <w:rPr>
          <w:rFonts w:ascii="Times New Roman" w:cs="Times New Roman" w:eastAsia="Times New Roman" w:hAnsi="Times New Roman"/>
          <w:sz w:val="22"/>
          <w:szCs w:val="22"/>
          <w:color w:val="auto"/>
        </w:rPr>
        <w:t xml:space="preserve">9.5.1 </w:t>
      </w:r>
      <w:r>
        <w:rPr>
          <w:rFonts w:ascii="Times New Roman" w:cs="Times New Roman" w:eastAsia="Times New Roman" w:hAnsi="Times New Roman"/>
          <w:sz w:val="22"/>
          <w:szCs w:val="22"/>
          <w:b w:val="1"/>
          <w:bCs w:val="1"/>
          <w:u w:val="single" w:color="auto"/>
          <w:color w:val="auto"/>
        </w:rPr>
        <w:t>Formation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On a Collaboration Target-by-Collaboration Target basis, within [***] after the relevant Sanofi Participation Election Effective Date for such Collaboration Target, the Parties will establish a joint transition team (the “</w:t>
      </w:r>
      <w:r>
        <w:rPr>
          <w:rFonts w:ascii="Times New Roman" w:cs="Times New Roman" w:eastAsia="Times New Roman" w:hAnsi="Times New Roman"/>
          <w:sz w:val="22"/>
          <w:szCs w:val="22"/>
          <w:b w:val="1"/>
          <w:bCs w:val="1"/>
          <w:color w:val="auto"/>
        </w:rPr>
        <w:t>JTT</w:t>
      </w:r>
      <w:r>
        <w:rPr>
          <w:rFonts w:ascii="Times New Roman" w:cs="Times New Roman" w:eastAsia="Times New Roman" w:hAnsi="Times New Roman"/>
          <w:sz w:val="22"/>
          <w:szCs w:val="22"/>
          <w:color w:val="auto"/>
        </w:rPr>
        <w:t xml:space="preserve">”) to coordinate the transition of the relevant Collaboration Compounds, Collaboration Candidates and Licensed Products Directed Against such Collaboration Target. The JTT will be comprised of [***] from each Party. Without limiting the foregoing, but subject to the escalation, final decision-making authority and dispute resolution procedures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xml:space="preserve">, the JTT will be responsible for (a) finalizing and approving a transition plan, including transition activities that either Party will be obligated to perform under such transition plan and (b) performing such other activities as the Parties agree in writing will be the responsibility of the JTT with respect to such Collaboration Target. Each Party’s representatives on the JTT will be of the seniority and experience appropriate in light of the functions and responsibilities of the JTT. In addition, each Party may invite a reasonable number of additional subject matter experts or relevant personnel of such Party to participate in discussions and meetings of the JTT;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individuals will have no decision-making authority. Each Party’s representatives on the JTT and all other individuals attending or participating in discussions and meetings of the JTT on behalf of a Party will be bound under written confidentiality and non-use obligations with respect to information disclosed at such meeting that are no less restrictive than the provisions of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Each Party may replace its representatives on the JTT at any time by providing notice in writing to the other Party. Sanofi will designate the chairperson of the JTT. The chairperson of the JTT will be responsible for setting the agenda for meetings of the JTT with input from the other members, and for conducting the meetings of the JTT. The JTT will conduct its responsibilities hereunder in good faith and with reasonable care and diligence. Any failure of the Parties to agree on matters within the purview of the JTT as set forth in this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will be resolved in accordance with the decision-making and escalation procedures set forth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363"/>
        <w:spacing w:after="0"/>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b w:val="1"/>
          <w:bCs w:val="1"/>
          <w:u w:val="single" w:color="auto"/>
          <w:color w:val="auto"/>
        </w:rPr>
        <w:t>Joint Commercialization Committee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3"/>
        <w:spacing w:after="0"/>
        <w:tabs>
          <w:tab w:leader="none" w:pos="2343" w:val="left"/>
        </w:tabs>
        <w:rPr>
          <w:sz w:val="20"/>
          <w:szCs w:val="20"/>
          <w:color w:val="auto"/>
        </w:rPr>
      </w:pPr>
      <w:r>
        <w:rPr>
          <w:rFonts w:ascii="Times New Roman" w:cs="Times New Roman" w:eastAsia="Times New Roman" w:hAnsi="Times New Roman"/>
          <w:sz w:val="22"/>
          <w:szCs w:val="22"/>
          <w:color w:val="auto"/>
        </w:rPr>
        <w:t>9.6.1</w:t>
      </w:r>
      <w:r>
        <w:rPr>
          <w:sz w:val="20"/>
          <w:szCs w:val="20"/>
          <w:color w:val="auto"/>
        </w:rPr>
        <w:tab/>
      </w:r>
      <w:r>
        <w:rPr>
          <w:rFonts w:ascii="Times New Roman" w:cs="Times New Roman" w:eastAsia="Times New Roman" w:hAnsi="Times New Roman"/>
          <w:sz w:val="21"/>
          <w:szCs w:val="21"/>
          <w:b w:val="1"/>
          <w:bCs w:val="1"/>
          <w:u w:val="single" w:color="auto"/>
          <w:color w:val="auto"/>
        </w:rPr>
        <w:t>Formation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The Parties will establish a joint commercialization committee (the “</w:t>
      </w:r>
      <w:r>
        <w:rPr>
          <w:rFonts w:ascii="Times New Roman" w:cs="Times New Roman" w:eastAsia="Times New Roman" w:hAnsi="Times New Roman"/>
          <w:sz w:val="21"/>
          <w:szCs w:val="21"/>
          <w:b w:val="1"/>
          <w:bCs w:val="1"/>
          <w:color w:val="auto"/>
        </w:rPr>
        <w:t>JCC</w:t>
      </w:r>
      <w:r>
        <w:rPr>
          <w:rFonts w:ascii="Times New Roman" w:cs="Times New Roman" w:eastAsia="Times New Roman" w:hAnsi="Times New Roman"/>
          <w:sz w:val="21"/>
          <w:szCs w:val="21"/>
          <w:color w:val="auto"/>
        </w:rPr>
        <w:t>”) at least</w:t>
      </w:r>
    </w:p>
    <w:p>
      <w:pPr>
        <w:spacing w:after="0" w:line="18" w:lineRule="exact"/>
        <w:rPr>
          <w:sz w:val="20"/>
          <w:szCs w:val="20"/>
          <w:color w:val="auto"/>
        </w:rPr>
      </w:pPr>
    </w:p>
    <w:p>
      <w:pPr>
        <w:jc w:val="both"/>
        <w:ind w:left="3" w:hanging="3"/>
        <w:spacing w:after="0" w:line="243" w:lineRule="auto"/>
        <w:tabs>
          <w:tab w:leader="none" w:pos="557"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act as a forum to review, discuss and oversee Co-Promotion activities for Licensed Products Directed Against Collaboration Targets for which Kymera has exercised the Kymera Opt-In Right. The JCC will be comprised of [***] from each Party. Each Party’s representatives on the JCC will be of the seniority and experience appropriate in light of the functions and responsibilities of the JCC. In addition, each Party may invite a reasonable number of additional subject matter experts or relevant personnel of such Party to participate in discussions and meetings of the JCC;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individuals will have no decision-making authority. Each Party’s representatives on the JCC and all other individuals attending or participating in discussions and meetings of the JCC on behalf of a Party will be bound under written confidentiality and non-use obligations with respect to information disclosed at such meeting that are no less restrictive than the provisions of </w:t>
      </w:r>
      <w:r>
        <w:rPr>
          <w:rFonts w:ascii="Times New Roman" w:cs="Times New Roman" w:eastAsia="Times New Roman" w:hAnsi="Times New Roman"/>
          <w:sz w:val="21"/>
          <w:szCs w:val="21"/>
          <w:u w:val="single" w:color="auto"/>
          <w:color w:val="auto"/>
        </w:rPr>
        <w:t>Article 16</w:t>
      </w:r>
      <w:r>
        <w:rPr>
          <w:rFonts w:ascii="Times New Roman" w:cs="Times New Roman" w:eastAsia="Times New Roman" w:hAnsi="Times New Roman"/>
          <w:sz w:val="21"/>
          <w:szCs w:val="21"/>
          <w:color w:val="auto"/>
        </w:rPr>
        <w:t>. Each Party may replace its representatives on the JCC at any time by providing notice in writing to the other Party. Sanofi will designate the chairperson of the JCC. The chairperson of the JCC will be responsible for setting the agenda for meetings of the JCC with input from the other members, and for conducting the meetings of the JCC. The JCC will conduct its responsibilities hereunder in good faith and with reasonable care and diligence.</w:t>
      </w:r>
    </w:p>
    <w:p>
      <w:pPr>
        <w:spacing w:after="0" w:line="200" w:lineRule="exact"/>
        <w:rPr>
          <w:sz w:val="20"/>
          <w:szCs w:val="20"/>
          <w:color w:val="auto"/>
        </w:rPr>
      </w:pPr>
    </w:p>
    <w:p>
      <w:pPr>
        <w:spacing w:after="0" w:line="379"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478155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3"/>
          </w:cols>
          <w:pgMar w:left="797" w:top="754"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both"/>
        <w:ind w:left="480" w:right="2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9.6.2 </w:t>
      </w:r>
      <w:r>
        <w:rPr>
          <w:rFonts w:ascii="Times New Roman" w:cs="Times New Roman" w:eastAsia="Times New Roman" w:hAnsi="Times New Roman"/>
          <w:sz w:val="22"/>
          <w:szCs w:val="22"/>
          <w:b w:val="1"/>
          <w:bCs w:val="1"/>
          <w:u w:val="single" w:color="auto"/>
          <w:color w:val="auto"/>
        </w:rPr>
        <w:t>Specific Responsibilities</w:t>
      </w:r>
      <w:r>
        <w:rPr>
          <w:rFonts w:ascii="Times New Roman" w:cs="Times New Roman" w:eastAsia="Times New Roman" w:hAnsi="Times New Roman"/>
          <w:sz w:val="22"/>
          <w:szCs w:val="22"/>
          <w:color w:val="auto"/>
        </w:rPr>
        <w:t xml:space="preserve">. The JCC will, subject to the escalation, final decision-making authority and dispute resolution procedures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2680" w:hanging="426"/>
        <w:spacing w:after="0"/>
        <w:tabs>
          <w:tab w:leader="none" w:pos="26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approve the FTE Rate with respect to Co-Promote activities;</w:t>
      </w:r>
    </w:p>
    <w:p>
      <w:pPr>
        <w:spacing w:after="0" w:line="202" w:lineRule="exact"/>
        <w:rPr>
          <w:rFonts w:ascii="Times New Roman" w:cs="Times New Roman" w:eastAsia="Times New Roman" w:hAnsi="Times New Roman"/>
          <w:sz w:val="22"/>
          <w:szCs w:val="22"/>
          <w:color w:val="auto"/>
        </w:rPr>
      </w:pPr>
    </w:p>
    <w:p>
      <w:pPr>
        <w:ind w:firstLine="2254"/>
        <w:spacing w:after="0" w:line="262" w:lineRule="auto"/>
        <w:tabs>
          <w:tab w:leader="none" w:pos="267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ensure that each Co-Promotion Plan allocates to the Designated Sales Force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portion of centers of excellence and high prescribing physicians for the Opt-In Product(s);</w:t>
      </w:r>
    </w:p>
    <w:p>
      <w:pPr>
        <w:spacing w:after="0" w:line="15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of  a  Party,  discuss  the  appropriate  level  of  detail  to  include  in  a  Co-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Commercialization Budget;</w:t>
      </w:r>
    </w:p>
    <w:p>
      <w:pPr>
        <w:spacing w:after="0" w:line="182"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approve each proposed Co-Commercialization Plan; while endeavoring to approve each such Co-Commercialization Plan no later than [***] of each relevant Calendar Year;</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approve proposed updates or amendments to a Co-Commercialization Plan;</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 and discuss reports provided pursuant to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or a Co-Promotion Agreement;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discuss and provide comments with respect to any promotional materials for the Co-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Promotion of Opt-In Products;</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discuss notification from Kymera that Kymera wishes to decrease its then-allocated percentage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Detailing;</w:t>
      </w:r>
    </w:p>
    <w:p>
      <w:pPr>
        <w:spacing w:after="0" w:line="182"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the Parties’ joint promotional efforts;</w:t>
      </w:r>
    </w:p>
    <w:p>
      <w:pPr>
        <w:spacing w:after="0" w:line="206" w:lineRule="exact"/>
        <w:rPr>
          <w:rFonts w:ascii="Times New Roman" w:cs="Times New Roman" w:eastAsia="Times New Roman" w:hAnsi="Times New Roman"/>
          <w:sz w:val="22"/>
          <w:szCs w:val="22"/>
          <w:color w:val="auto"/>
        </w:rPr>
      </w:pPr>
    </w:p>
    <w:p>
      <w:pPr>
        <w:ind w:right="80" w:firstLine="2254"/>
        <w:spacing w:after="0" w:line="258" w:lineRule="auto"/>
        <w:tabs>
          <w:tab w:leader="none" w:pos="267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which commercial functional area experts (other than managed care) of Sanofi the Designated Sales Force will have access to;</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discuss the engagement by Sanofi of a commercial advertising agency to be used in connection with Detailing of the Opt-In Products, including the identity of such agency and the material terms of such engagement;</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value of secondary position details, consistent with Sanofi’s then-current standard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procedures;</w:t>
      </w:r>
    </w:p>
    <w:p>
      <w:pPr>
        <w:spacing w:after="0" w:line="182"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benchmarks for the content and effectiveness of the principal promotional messages that are used by the Parties to promote the relevant Opt-In Product(s);</w:t>
      </w:r>
    </w:p>
    <w:p>
      <w:pPr>
        <w:spacing w:after="0" w:line="158"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 a Corrective Plan in the event market research indicates that a Party’s delivery of the principal promotional messages for an Opt-In Product set forth in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 Co-Promotion Plan is not effective and not conveying the corresponding underlying promotional message;</w:t>
      </w:r>
    </w:p>
    <w:p>
      <w:pPr>
        <w:spacing w:after="0" w:line="206" w:lineRule="exact"/>
        <w:rPr>
          <w:sz w:val="20"/>
          <w:szCs w:val="20"/>
          <w:color w:val="auto"/>
        </w:rPr>
      </w:pPr>
    </w:p>
    <w:p>
      <w:pPr>
        <w:ind w:left="2680" w:hanging="426"/>
        <w:spacing w:after="0"/>
        <w:tabs>
          <w:tab w:leader="none" w:pos="26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PDE Cost;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anticipated commercial launch date of each Opt-In Product; and</w:t>
      </w:r>
    </w:p>
    <w:p>
      <w:pPr>
        <w:spacing w:after="0" w:line="206"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as are set forth in this Agreement, or as the Parties may mutually agree in writing, except where in conflict with any provision of this Agreement.</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Any failure of the Parties to agree on matters within the purview of the JCC as set forth in this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xml:space="preserve"> will be resolved in accordance with the decision-making and escalation procedures set forth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b w:val="1"/>
          <w:bCs w:val="1"/>
          <w:u w:val="single" w:color="auto"/>
          <w:color w:val="auto"/>
        </w:rPr>
        <w:t>Joint Finance Committee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33" w:lineRule="auto"/>
        <w:rPr>
          <w:sz w:val="20"/>
          <w:szCs w:val="20"/>
          <w:color w:val="auto"/>
        </w:rPr>
      </w:pPr>
      <w:r>
        <w:rPr>
          <w:rFonts w:ascii="Times New Roman" w:cs="Times New Roman" w:eastAsia="Times New Roman" w:hAnsi="Times New Roman"/>
          <w:sz w:val="22"/>
          <w:szCs w:val="22"/>
          <w:color w:val="auto"/>
        </w:rPr>
        <w:t xml:space="preserve">9.7.1 </w:t>
      </w:r>
      <w:r>
        <w:rPr>
          <w:rFonts w:ascii="Times New Roman" w:cs="Times New Roman" w:eastAsia="Times New Roman" w:hAnsi="Times New Roman"/>
          <w:sz w:val="22"/>
          <w:szCs w:val="22"/>
          <w:b w:val="1"/>
          <w:bCs w:val="1"/>
          <w:u w:val="single" w:color="auto"/>
          <w:color w:val="auto"/>
        </w:rPr>
        <w:t>Formation</w:t>
      </w:r>
      <w:r>
        <w:rPr>
          <w:rFonts w:ascii="Times New Roman" w:cs="Times New Roman" w:eastAsia="Times New Roman" w:hAnsi="Times New Roman"/>
          <w:sz w:val="22"/>
          <w:szCs w:val="22"/>
          <w:color w:val="auto"/>
        </w:rPr>
        <w:t>. Within [***], the Parties will establish a joint finance committee (the “</w:t>
      </w:r>
      <w:r>
        <w:rPr>
          <w:rFonts w:ascii="Times New Roman" w:cs="Times New Roman" w:eastAsia="Times New Roman" w:hAnsi="Times New Roman"/>
          <w:sz w:val="22"/>
          <w:szCs w:val="22"/>
          <w:b w:val="1"/>
          <w:bCs w:val="1"/>
          <w:color w:val="auto"/>
        </w:rPr>
        <w:t>JFC</w:t>
      </w:r>
      <w:r>
        <w:rPr>
          <w:rFonts w:ascii="Times New Roman" w:cs="Times New Roman" w:eastAsia="Times New Roman" w:hAnsi="Times New Roman"/>
          <w:sz w:val="22"/>
          <w:szCs w:val="22"/>
          <w:color w:val="auto"/>
        </w:rPr>
        <w:t xml:space="preserve">”) to coordinate the financial reporting by the Parties with respect to the funding of U.S. Development Costs for Opt-In Products pursuant to the Cost/Profit Sharing Agreement and to discuss and resolve financial disputes in connection therewith. The JFC will be comprised of [***] from each Party. Each Party’s representatives on the JFC will be of the seniority and experience appropriate in light of the functions and responsibilities of the JFC. In addition, each Party may invite a reasonable number of additional subject matter experts or relevant personnel of such Party to participate in discussions and meetings of the JFC;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individuals will have no decision-making authority. Each Party’s representatives on the JFC and all other individuals attending or participating in discussions and meetings of the JFC on behalf of a Party will be bound under written confidentiality and non-use obligations with respect to information disclosed at such meeting that are no less restrictive than the provisions of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Each Party may replace its representatives on the JFC at any time by providing notice in writing to the other Party. Sanofi will designate the chairperson of the JFC. The chairperson of the JFC will be responsible for setting the agenda for meetings of the JFC with input from the other members, and for conducting the meetings of the JFC. The JFC will conduct its responsibilities hereunder in good faith and with reasonable care and diligence.</w:t>
      </w:r>
    </w:p>
    <w:p>
      <w:pPr>
        <w:spacing w:after="0" w:line="180" w:lineRule="exact"/>
        <w:rPr>
          <w:sz w:val="20"/>
          <w:szCs w:val="20"/>
          <w:color w:val="auto"/>
        </w:rPr>
      </w:pPr>
    </w:p>
    <w:p>
      <w:pPr>
        <w:jc w:val="both"/>
        <w:ind w:left="48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9.7.2 </w:t>
      </w:r>
      <w:r>
        <w:rPr>
          <w:rFonts w:ascii="Times New Roman" w:cs="Times New Roman" w:eastAsia="Times New Roman" w:hAnsi="Times New Roman"/>
          <w:sz w:val="22"/>
          <w:szCs w:val="22"/>
          <w:b w:val="1"/>
          <w:bCs w:val="1"/>
          <w:u w:val="single" w:color="auto"/>
          <w:color w:val="auto"/>
        </w:rPr>
        <w:t>Specific Responsibilities</w:t>
      </w:r>
      <w:r>
        <w:rPr>
          <w:rFonts w:ascii="Times New Roman" w:cs="Times New Roman" w:eastAsia="Times New Roman" w:hAnsi="Times New Roman"/>
          <w:sz w:val="22"/>
          <w:szCs w:val="22"/>
          <w:color w:val="auto"/>
        </w:rPr>
        <w:t xml:space="preserve">. The JFC will, subject to the escalation, final decision-making authority and dispute resolution procedures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right="40" w:firstLine="2254"/>
        <w:spacing w:after="0" w:line="258" w:lineRule="auto"/>
        <w:tabs>
          <w:tab w:leader="none" w:pos="267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facilitate, in coordination with the JSC and JCC, the creation of U.S. Development Budget and Co-Commercialization Budget, including the annual updates thereto;</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reconcile financial and accounting matters between the Parties;</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initiate and execute an effective and efficient revenue and cost sharing process (cross-charges);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50" w:name="page251"/>
    <w:bookmarkEnd w:id="250"/>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right="20" w:firstLine="2254"/>
        <w:spacing w:after="0" w:line="244" w:lineRule="auto"/>
        <w:tabs>
          <w:tab w:leader="none" w:pos="267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cooperate to ensure that the U.S. Development Budget and Co-Commercialization Budget agreed to for a Calendar Year (or any other given period) can be interpreted for the purposes of both Parties’ internal financial and audit reporting requirements, including each Party’s fiscal year reporting;</w:t>
      </w:r>
    </w:p>
    <w:p>
      <w:pPr>
        <w:spacing w:after="0" w:line="17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monitor the budget, expense and revenue reporting requirements between the Parties related to each Cost/Profit Sharing Agreement to ensure that each Party is able to comply with its respective internal financial and audit reporting requirements and, as appropriate, recommending to the JSC for approval, changes to the reporting requirements under this Agreement; and</w:t>
      </w:r>
    </w:p>
    <w:p>
      <w:pPr>
        <w:spacing w:after="0" w:line="180"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undertake such other tasks with respect to the calculation, implementation and reporting for the Parties’ sharing of U.S. Development Costs, Allowable Expenses, Net Profits or Net Losses as the Parties mutually agree.</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Any failure of the Parties to agree on matters within the purview of the JFC as set forth in this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 xml:space="preserve"> will be resolved in accordance with the decision-making and escalation procedures set forth in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b w:val="1"/>
          <w:bCs w:val="1"/>
          <w:u w:val="single" w:color="auto"/>
          <w:color w:val="auto"/>
        </w:rPr>
        <w:t>Meetings; Minutes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80" w:firstLine="1497"/>
        <w:spacing w:after="0" w:line="248" w:lineRule="auto"/>
        <w:rPr>
          <w:sz w:val="20"/>
          <w:szCs w:val="20"/>
          <w:color w:val="auto"/>
        </w:rPr>
      </w:pPr>
      <w:r>
        <w:rPr>
          <w:rFonts w:ascii="Times New Roman" w:cs="Times New Roman" w:eastAsia="Times New Roman" w:hAnsi="Times New Roman"/>
          <w:sz w:val="21"/>
          <w:szCs w:val="21"/>
          <w:color w:val="auto"/>
        </w:rPr>
        <w:t xml:space="preserve">9.8.1 Each Committee will meet in person or by teleconference at least [***] following the formation thereof on such dates and at such times and places as agreed to by the members of the such Committee;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at least [***] such meeting of each Committee per Calendar Year will be in person unless the Parties agree otherwise and (ii) the first meeting of the JCC will occur within [***] of the date on which Sanofi proposes the initial Co-Commercialization Plan to the JCC. Each Party will be responsible for its own expenses relating to attendance at, or participation in, Committee meetings. Upon [***] prior written notice, either Party may convene a special meeting of a Committee for the purpose of discussing any urgent matter within the scope of the authority and responsibility of such Committee.</w:t>
      </w:r>
    </w:p>
    <w:p>
      <w:pPr>
        <w:spacing w:after="0" w:line="170" w:lineRule="exact"/>
        <w:rPr>
          <w:sz w:val="20"/>
          <w:szCs w:val="20"/>
          <w:color w:val="auto"/>
        </w:rPr>
      </w:pPr>
    </w:p>
    <w:p>
      <w:pPr>
        <w:jc w:val="both"/>
        <w:ind w:left="480" w:firstLine="1497"/>
        <w:spacing w:after="0" w:line="233" w:lineRule="auto"/>
        <w:rPr>
          <w:sz w:val="20"/>
          <w:szCs w:val="20"/>
          <w:color w:val="auto"/>
        </w:rPr>
      </w:pPr>
      <w:r>
        <w:rPr>
          <w:rFonts w:ascii="Times New Roman" w:cs="Times New Roman" w:eastAsia="Times New Roman" w:hAnsi="Times New Roman"/>
          <w:sz w:val="22"/>
          <w:szCs w:val="22"/>
          <w:color w:val="auto"/>
        </w:rPr>
        <w:t>9.8.2 The responsibility for preparing the minutes will alternate between the Alliance Managers or their respective designees on a meeting-by-meeting basis. The Alliance Manager or its designee responsible for the minutes will provide the other Alliance Manager and the members of such Committee with draft written minutes for the Committee’s approval from each meeting within [***] after each such meeting setting forth, among other things, a description, in reasonable detail, of the discussions at the meeting and a list of any actions, decisions, or determinations approved by the Committee. Such minutes will be effective only after being approved by both Parties. If the minutes of any meeting of the Committee are not approved by the Committee (with each Party’s representatives on the Committee collectively having one (1) vote) within [***] after the meeting, the objecting Party will append a notice of objection with the specific details of the objection to the proposed minutes. Should a decision be made by a Committee outside of a meeting, such decision may be made by a written resolution unanimously agreed to by the Parties; notwithstanding anything herein to the contrary, such written agreement may be by email. Notwithstanding the foregoing, no minutes will be prepared for meetings of the JPC.</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51" w:name="page252"/>
    <w:bookmarkEnd w:id="251"/>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b w:val="1"/>
          <w:bCs w:val="1"/>
          <w:u w:val="single" w:color="auto"/>
          <w:color w:val="auto"/>
        </w:rPr>
        <w:t>Decisions; Disputes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33" w:lineRule="auto"/>
        <w:rPr>
          <w:sz w:val="20"/>
          <w:szCs w:val="20"/>
          <w:color w:val="auto"/>
        </w:rPr>
      </w:pPr>
      <w:r>
        <w:rPr>
          <w:rFonts w:ascii="Times New Roman" w:cs="Times New Roman" w:eastAsia="Times New Roman" w:hAnsi="Times New Roman"/>
          <w:sz w:val="22"/>
          <w:szCs w:val="22"/>
          <w:color w:val="auto"/>
        </w:rPr>
        <w:t xml:space="preserve">9.9.1 </w:t>
      </w:r>
      <w:r>
        <w:rPr>
          <w:rFonts w:ascii="Times New Roman" w:cs="Times New Roman" w:eastAsia="Times New Roman" w:hAnsi="Times New Roman"/>
          <w:sz w:val="22"/>
          <w:szCs w:val="22"/>
          <w:b w:val="1"/>
          <w:bCs w:val="1"/>
          <w:u w:val="single" w:color="auto"/>
          <w:color w:val="auto"/>
        </w:rPr>
        <w:t>Decisions and Disputes within Committees other than the JSC</w:t>
      </w:r>
      <w:r>
        <w:rPr>
          <w:rFonts w:ascii="Times New Roman" w:cs="Times New Roman" w:eastAsia="Times New Roman" w:hAnsi="Times New Roman"/>
          <w:sz w:val="22"/>
          <w:szCs w:val="22"/>
          <w:color w:val="auto"/>
        </w:rPr>
        <w:t xml:space="preserve">. With respect to decisions of all Committees other than the JSC, the representatives of each Party will have collectively one (1) vote on behalf of such Party. For each meeting of such Committee, at least [***] of each Party will constitute a quorum and each Party will use Commercially Reasonable Efforts to have its representative(s) participate in each Committee meeting. Action on any matter may be taken at a meeting, by teleconference, videoconference or by written agreement. Each such Committee will attempt to resolve any and all matters before it for decision by consensus. If a Committee other than the JSC is unable to resolve a matter by consensus during a period of [***], then (a) with [***] with respect to all other matters not discussed in the foregoing clauses (a)-(d), such matter(s) will be escalated to the JSC. Any action of any Committee taken pursuant to this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xml:space="preserve"> will be recorded in meeting minutes in accordance with </w:t>
      </w:r>
      <w:r>
        <w:rPr>
          <w:rFonts w:ascii="Times New Roman" w:cs="Times New Roman" w:eastAsia="Times New Roman" w:hAnsi="Times New Roman"/>
          <w:sz w:val="22"/>
          <w:szCs w:val="22"/>
          <w:u w:val="single" w:color="auto"/>
          <w:color w:val="auto"/>
        </w:rPr>
        <w:t>Section 9.8.2</w:t>
      </w:r>
      <w:r>
        <w:rPr>
          <w:rFonts w:ascii="Times New Roman" w:cs="Times New Roman" w:eastAsia="Times New Roman" w:hAnsi="Times New Roman"/>
          <w:sz w:val="22"/>
          <w:szCs w:val="22"/>
          <w:color w:val="auto"/>
        </w:rPr>
        <w:t>. Notwithstanding anything to the contrary set forth in this Agreement, without the other Party’s prior written consent, no exercise of a Party’s decision-making authority on any such matters may, without the other Party’s prior written consent, (i) conflict with any of the express terms of this Agreement or any Co-Promotion Agreement or Cost/Profit Sharing Agreement, (ii) impose any requirements that the other Party take or decline to take any action that would result in a violation of any Law or any Collaboration In-License Agreement or (iii) otherwise conflict with this Agreement.</w:t>
      </w:r>
    </w:p>
    <w:p>
      <w:pPr>
        <w:spacing w:after="0" w:line="180" w:lineRule="exact"/>
        <w:rPr>
          <w:sz w:val="20"/>
          <w:szCs w:val="20"/>
          <w:color w:val="auto"/>
        </w:rPr>
      </w:pPr>
    </w:p>
    <w:p>
      <w:pPr>
        <w:jc w:val="both"/>
        <w:ind w:left="48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9.9.2 </w:t>
      </w:r>
      <w:r>
        <w:rPr>
          <w:rFonts w:ascii="Times New Roman" w:cs="Times New Roman" w:eastAsia="Times New Roman" w:hAnsi="Times New Roman"/>
          <w:sz w:val="22"/>
          <w:szCs w:val="22"/>
          <w:b w:val="1"/>
          <w:bCs w:val="1"/>
          <w:u w:val="single" w:color="auto"/>
          <w:color w:val="auto"/>
        </w:rPr>
        <w:t>JSC Decisions and Disputes</w:t>
      </w:r>
      <w:r>
        <w:rPr>
          <w:rFonts w:ascii="Times New Roman" w:cs="Times New Roman" w:eastAsia="Times New Roman" w:hAnsi="Times New Roman"/>
          <w:sz w:val="22"/>
          <w:szCs w:val="22"/>
          <w:color w:val="auto"/>
        </w:rPr>
        <w:t>. With respect to decisions of the JSC, the representatives of each Party will have collectively one (1) vote on behalf of such Party. For each meeting of the JSC, at least [***] of each Party will constitute a quorum and each Party will use Commercially Reasonable Efforts to have its representative(s) participate in each JSC meeting. Action on any matter may be taken at a meeting, by teleconference, videoconference or by written agreement. The JSC will attempt to resolve any and all matters before it for decision by consensus. If a dispute is escalated to the JSC by any Subcommittee, then at the next meeting of the JSC each Party will provide analysis to support its position with respect to the dispute.</w:t>
      </w:r>
    </w:p>
    <w:p>
      <w:pPr>
        <w:spacing w:after="0" w:line="180" w:lineRule="exact"/>
        <w:rPr>
          <w:sz w:val="20"/>
          <w:szCs w:val="20"/>
          <w:color w:val="auto"/>
        </w:rPr>
      </w:pPr>
    </w:p>
    <w:p>
      <w:pPr>
        <w:jc w:val="both"/>
        <w:ind w:firstLine="2254"/>
        <w:spacing w:after="0" w:line="244" w:lineRule="auto"/>
        <w:tabs>
          <w:tab w:leader="none" w:pos="267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JSC is unable to reach a consensus with respect to a matter before the JSC within [***], then the dispute will be submitted to a senior executive of each of Kymera and Sanofi to be designated by Kymera and Sanofi, respectively, for resolution.</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escalated dispute cannot be resolved by the senior executives during a period of [***], then</w:t>
      </w:r>
    </w:p>
    <w:p>
      <w:pPr>
        <w:spacing w:after="0" w:line="217" w:lineRule="exact"/>
        <w:rPr>
          <w:rFonts w:ascii="Times New Roman" w:cs="Times New Roman" w:eastAsia="Times New Roman" w:hAnsi="Times New Roman"/>
          <w:sz w:val="21"/>
          <w:szCs w:val="21"/>
          <w:color w:val="auto"/>
        </w:rPr>
      </w:pPr>
    </w:p>
    <w:p>
      <w:pPr>
        <w:jc w:val="both"/>
        <w:ind w:firstLine="3003"/>
        <w:spacing w:after="0" w:line="238" w:lineRule="auto"/>
        <w:tabs>
          <w:tab w:leader="none" w:pos="342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 Collaboration Target-by-Collaboration Target basis, prior to the Sanofi Participation Election Effective Date (if any), except as set forth in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(A) Kymera will have final decision-making authority on all matters, except as to the following matters: [***]; (B) subject to the terms and obligations set forth in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each Party will have final decision-making authority with respect to matters concerning [***]; and (C) Sanofi shall have final decision making authority on [***].</w:t>
      </w:r>
    </w:p>
    <w:p>
      <w:pPr>
        <w:spacing w:after="0" w:line="176" w:lineRule="exact"/>
        <w:rPr>
          <w:rFonts w:ascii="Times New Roman" w:cs="Times New Roman" w:eastAsia="Times New Roman" w:hAnsi="Times New Roman"/>
          <w:sz w:val="22"/>
          <w:szCs w:val="22"/>
          <w:color w:val="auto"/>
        </w:rPr>
      </w:pPr>
    </w:p>
    <w:p>
      <w:pPr>
        <w:ind w:right="120" w:firstLine="3003"/>
        <w:spacing w:after="0" w:line="258" w:lineRule="auto"/>
        <w:tabs>
          <w:tab w:leader="none" w:pos="342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 Collaboration Target-by-Collaboration Target basis, following the Sanofi Participation Election Effective Date (if any), except as set forth in </w:t>
      </w:r>
      <w:r>
        <w:rPr>
          <w:rFonts w:ascii="Times New Roman" w:cs="Times New Roman" w:eastAsia="Times New Roman" w:hAnsi="Times New Roman"/>
          <w:sz w:val="22"/>
          <w:szCs w:val="22"/>
          <w:u w:val="single" w:color="auto"/>
          <w:color w:val="auto"/>
        </w:rPr>
        <w:t>Article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52" w:name="page253"/>
    <w:bookmarkEnd w:id="252"/>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Sanofi will have final decision-making authority on all matters, except as to the following matters: [***]. Following the Sanofi Participation Election Effective Date (if any), Sanofi will have final decision making authority with respect to matters concerning [***].</w:t>
      </w:r>
    </w:p>
    <w:p>
      <w:pPr>
        <w:spacing w:after="0" w:line="169" w:lineRule="exact"/>
        <w:rPr>
          <w:sz w:val="20"/>
          <w:szCs w:val="20"/>
          <w:color w:val="auto"/>
        </w:rPr>
      </w:pPr>
    </w:p>
    <w:p>
      <w:pPr>
        <w:jc w:val="both"/>
        <w:ind w:firstLine="3003"/>
        <w:spacing w:after="0" w:line="241" w:lineRule="auto"/>
        <w:tabs>
          <w:tab w:leader="none" w:pos="342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dispute arises out of any of [***] (each of the foregoing, an “</w:t>
      </w:r>
      <w:r>
        <w:rPr>
          <w:rFonts w:ascii="Times New Roman" w:cs="Times New Roman" w:eastAsia="Times New Roman" w:hAnsi="Times New Roman"/>
          <w:sz w:val="22"/>
          <w:szCs w:val="22"/>
          <w:b w:val="1"/>
          <w:bCs w:val="1"/>
          <w:color w:val="auto"/>
        </w:rPr>
        <w:t>Expert Dispute</w:t>
      </w:r>
      <w:r>
        <w:rPr>
          <w:rFonts w:ascii="Times New Roman" w:cs="Times New Roman" w:eastAsia="Times New Roman" w:hAnsi="Times New Roman"/>
          <w:sz w:val="22"/>
          <w:szCs w:val="22"/>
          <w:color w:val="auto"/>
        </w:rPr>
        <w:t xml:space="preserve">”) the Parties will submit such matter for resolution in accordance with </w:t>
      </w:r>
      <w:r>
        <w:rPr>
          <w:rFonts w:ascii="Times New Roman" w:cs="Times New Roman" w:eastAsia="Times New Roman" w:hAnsi="Times New Roman"/>
          <w:sz w:val="22"/>
          <w:szCs w:val="22"/>
          <w:u w:val="single" w:color="auto"/>
          <w:color w:val="auto"/>
        </w:rPr>
        <w:t>Schedule 9.9.2(b)(iii)</w:t>
      </w:r>
      <w:r>
        <w:rPr>
          <w:rFonts w:ascii="Times New Roman" w:cs="Times New Roman" w:eastAsia="Times New Roman" w:hAnsi="Times New Roman"/>
          <w:sz w:val="22"/>
          <w:szCs w:val="22"/>
          <w:color w:val="auto"/>
        </w:rPr>
        <w:t>, and the determination of the R&amp;D Expert will be binding on the Parties. For avoidance of doubt, the Parties will be bound by the determination of such R&amp;D Expert and neither Party nor the JSC will have authority to modify or amend the finding of the R&amp;D Expert.</w:t>
      </w:r>
    </w:p>
    <w:p>
      <w:pPr>
        <w:spacing w:after="0" w:line="175" w:lineRule="exact"/>
        <w:rPr>
          <w:rFonts w:ascii="Times New Roman" w:cs="Times New Roman" w:eastAsia="Times New Roman" w:hAnsi="Times New Roman"/>
          <w:sz w:val="22"/>
          <w:szCs w:val="22"/>
          <w:color w:val="auto"/>
        </w:rPr>
      </w:pPr>
    </w:p>
    <w:p>
      <w:pPr>
        <w:ind w:right="20" w:firstLine="3003"/>
        <w:spacing w:after="0" w:line="258" w:lineRule="auto"/>
        <w:tabs>
          <w:tab w:leader="none" w:pos="342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dispute is related to [***], then the Parties will submit their respective proposals to arbitration in accordance with the provisions set forth on </w:t>
      </w:r>
      <w:r>
        <w:rPr>
          <w:rFonts w:ascii="Times New Roman" w:cs="Times New Roman" w:eastAsia="Times New Roman" w:hAnsi="Times New Roman"/>
          <w:sz w:val="22"/>
          <w:szCs w:val="22"/>
          <w:u w:val="single" w:color="auto"/>
          <w:color w:val="auto"/>
        </w:rPr>
        <w:t>Schedule 9.9.2(b)(iv)</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3003"/>
        <w:spacing w:after="0" w:line="239" w:lineRule="auto"/>
        <w:tabs>
          <w:tab w:leader="none" w:pos="342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dispute is related to the calculation, sharing, or payment of amounts owed with respect to U.S. Development Costs, Allowable Expenses or Net Profits and Net Losses during the Opt-In Period in accordance with this Agreement or the Cost/Profit Sharing Agreement (a “</w:t>
      </w:r>
      <w:r>
        <w:rPr>
          <w:rFonts w:ascii="Times New Roman" w:cs="Times New Roman" w:eastAsia="Times New Roman" w:hAnsi="Times New Roman"/>
          <w:sz w:val="22"/>
          <w:szCs w:val="22"/>
          <w:b w:val="1"/>
          <w:bCs w:val="1"/>
          <w:color w:val="auto"/>
        </w:rPr>
        <w:t>Finance Dispute</w:t>
      </w:r>
      <w:r>
        <w:rPr>
          <w:rFonts w:ascii="Times New Roman" w:cs="Times New Roman" w:eastAsia="Times New Roman" w:hAnsi="Times New Roman"/>
          <w:sz w:val="22"/>
          <w:szCs w:val="22"/>
          <w:color w:val="auto"/>
        </w:rPr>
        <w:t xml:space="preserve">”), then such dispute will be resolved by “Baseball” arbitration in accordance with the provisions set forth on </w:t>
      </w:r>
      <w:r>
        <w:rPr>
          <w:rFonts w:ascii="Times New Roman" w:cs="Times New Roman" w:eastAsia="Times New Roman" w:hAnsi="Times New Roman"/>
          <w:sz w:val="22"/>
          <w:szCs w:val="22"/>
          <w:u w:val="single" w:color="auto"/>
          <w:color w:val="auto"/>
        </w:rPr>
        <w:t>Schedule 9.9.2(b)(v)</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3003"/>
        <w:spacing w:after="0" w:line="244" w:lineRule="auto"/>
        <w:tabs>
          <w:tab w:leader="none" w:pos="342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dispute relates to a Party’s request that Kymera suspend or cease Development activities due to a Safety Concern prior to the Sanofi Participation Election Effective Date (if any), Kymera will suspend or cease such Development activities unless and until the Parties mutually agree to re-start such Development activities.</w:t>
      </w:r>
    </w:p>
    <w:p>
      <w:pPr>
        <w:spacing w:after="0" w:line="173" w:lineRule="exact"/>
        <w:rPr>
          <w:rFonts w:ascii="Times New Roman" w:cs="Times New Roman" w:eastAsia="Times New Roman" w:hAnsi="Times New Roman"/>
          <w:sz w:val="22"/>
          <w:szCs w:val="22"/>
          <w:color w:val="auto"/>
        </w:rPr>
      </w:pPr>
    </w:p>
    <w:p>
      <w:pPr>
        <w:ind w:right="40" w:firstLine="3003"/>
        <w:spacing w:after="0" w:line="258" w:lineRule="auto"/>
        <w:tabs>
          <w:tab w:leader="none" w:pos="342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all other disputes, a Party may institute dispute resolution procedures pursuant to </w:t>
      </w:r>
      <w:r>
        <w:rPr>
          <w:rFonts w:ascii="Times New Roman" w:cs="Times New Roman" w:eastAsia="Times New Roman" w:hAnsi="Times New Roman"/>
          <w:sz w:val="22"/>
          <w:szCs w:val="22"/>
          <w:u w:val="single" w:color="auto"/>
          <w:color w:val="auto"/>
        </w:rPr>
        <w:t>Section 18.12</w:t>
      </w:r>
      <w:r>
        <w:rPr>
          <w:rFonts w:ascii="Times New Roman" w:cs="Times New Roman" w:eastAsia="Times New Roman" w:hAnsi="Times New Roman"/>
          <w:sz w:val="22"/>
          <w:szCs w:val="22"/>
          <w:color w:val="auto"/>
        </w:rPr>
        <w:t xml:space="preserve"> (excluding </w:t>
      </w:r>
      <w:r>
        <w:rPr>
          <w:rFonts w:ascii="Times New Roman" w:cs="Times New Roman" w:eastAsia="Times New Roman" w:hAnsi="Times New Roman"/>
          <w:sz w:val="22"/>
          <w:szCs w:val="22"/>
          <w:u w:val="single" w:color="auto"/>
          <w:color w:val="auto"/>
        </w:rPr>
        <w:t>Section 18.12.1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JSC will conduct its activities in good faith and will not have the power to (i) amend or modify the Parties’ respective rights and obligations under this Agreement or (ii) resolve any dispute between the Parties regarding such rights and obligations.</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 this Agreement or any Co-Promotion or Cost/Profit Sharing Agreement refers to a decision or determination or similar action by a Committee and the relevant matter is decided pursuant to this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such decision, determination or similar action will be deemed to have been made by the relevant Committee.</w:t>
      </w:r>
    </w:p>
    <w:p>
      <w:pPr>
        <w:spacing w:after="0" w:line="169" w:lineRule="exact"/>
        <w:rPr>
          <w:sz w:val="20"/>
          <w:szCs w:val="20"/>
          <w:color w:val="auto"/>
        </w:rPr>
      </w:pPr>
    </w:p>
    <w:p>
      <w:pPr>
        <w:jc w:val="both"/>
        <w:ind w:left="80" w:firstLine="749"/>
        <w:spacing w:after="0" w:line="236" w:lineRule="auto"/>
        <w:rPr>
          <w:sz w:val="20"/>
          <w:szCs w:val="20"/>
          <w:color w:val="auto"/>
        </w:rPr>
      </w:pPr>
      <w:r>
        <w:rPr>
          <w:rFonts w:ascii="Times New Roman" w:cs="Times New Roman" w:eastAsia="Times New Roman" w:hAnsi="Times New Roman"/>
          <w:sz w:val="22"/>
          <w:szCs w:val="22"/>
          <w:color w:val="auto"/>
        </w:rPr>
        <w:t xml:space="preserve">9.10 </w:t>
      </w:r>
      <w:r>
        <w:rPr>
          <w:rFonts w:ascii="Times New Roman" w:cs="Times New Roman" w:eastAsia="Times New Roman" w:hAnsi="Times New Roman"/>
          <w:sz w:val="22"/>
          <w:szCs w:val="22"/>
          <w:b w:val="1"/>
          <w:bCs w:val="1"/>
          <w:u w:val="single" w:color="auto"/>
          <w:color w:val="auto"/>
        </w:rPr>
        <w:t>Discontinuation of the Committees</w:t>
      </w:r>
      <w:r>
        <w:rPr>
          <w:rFonts w:ascii="Times New Roman" w:cs="Times New Roman" w:eastAsia="Times New Roman" w:hAnsi="Times New Roman"/>
          <w:sz w:val="22"/>
          <w:szCs w:val="22"/>
          <w:color w:val="auto"/>
        </w:rPr>
        <w:t xml:space="preserve">. The JSC and JPC will remain in existence throughout the Term, unless the Parties mutually agree to terminate the responsibilities of such Committee with respect to each Collaboration Target. The JRDC will disband and terminate on the effective date of expiration of the latest to expire Sanofi Participation Election with respect to the Collaboration Candidates. The JMC will disband and terminate upon completion of technology transfer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w:t>
      </w:r>
      <w:r>
        <w:rPr>
          <w:rFonts w:ascii="Times New Roman" w:cs="Times New Roman" w:eastAsia="Times New Roman" w:hAnsi="Times New Roman"/>
          <w:sz w:val="22"/>
          <w:szCs w:val="22"/>
          <w:color w:val="auto"/>
        </w:rPr>
        <w:t>. The JTT will disband and terminate upon the completion of all transitions of the relevant Collaboration Compounds, Collaboration Candidates and Licensed Products Directed Against each Collaboration Target. The JCC and JFC will disband and terminate on the effective date of termination or expiration of the Opt-In Period 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80" w:right="20"/>
        <w:spacing w:after="0" w:line="258" w:lineRule="auto"/>
        <w:rPr>
          <w:sz w:val="20"/>
          <w:szCs w:val="20"/>
          <w:color w:val="auto"/>
        </w:rPr>
      </w:pPr>
      <w:r>
        <w:rPr>
          <w:rFonts w:ascii="Times New Roman" w:cs="Times New Roman" w:eastAsia="Times New Roman" w:hAnsi="Times New Roman"/>
          <w:sz w:val="22"/>
          <w:szCs w:val="22"/>
          <w:color w:val="auto"/>
        </w:rPr>
        <w:t xml:space="preserve">with respect to the JCC, termination of Kymera’s Co-Promotion activities pursuant to </w:t>
      </w:r>
      <w:r>
        <w:rPr>
          <w:rFonts w:ascii="Times New Roman" w:cs="Times New Roman" w:eastAsia="Times New Roman" w:hAnsi="Times New Roman"/>
          <w:sz w:val="22"/>
          <w:szCs w:val="22"/>
          <w:u w:val="single" w:color="auto"/>
          <w:color w:val="auto"/>
        </w:rPr>
        <w:t>Section 10.8.3(b)</w:t>
      </w:r>
      <w:r>
        <w:rPr>
          <w:rFonts w:ascii="Times New Roman" w:cs="Times New Roman" w:eastAsia="Times New Roman" w:hAnsi="Times New Roman"/>
          <w:sz w:val="22"/>
          <w:szCs w:val="22"/>
          <w:color w:val="auto"/>
        </w:rPr>
        <w:t xml:space="preserve"> or the Co-Promotion Agreement.</w:t>
      </w:r>
    </w:p>
    <w:p>
      <w:pPr>
        <w:spacing w:after="0" w:line="154" w:lineRule="exact"/>
        <w:rPr>
          <w:sz w:val="20"/>
          <w:szCs w:val="20"/>
          <w:color w:val="auto"/>
        </w:rPr>
      </w:pPr>
    </w:p>
    <w:p>
      <w:pPr>
        <w:jc w:val="both"/>
        <w:ind w:left="80" w:firstLine="749"/>
        <w:spacing w:after="0" w:line="238"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b w:val="1"/>
          <w:bCs w:val="1"/>
          <w:u w:val="single" w:color="auto"/>
          <w:color w:val="auto"/>
        </w:rPr>
        <w:t>Establishment of Sub-Committees</w:t>
      </w:r>
      <w:r>
        <w:rPr>
          <w:rFonts w:ascii="Times New Roman" w:cs="Times New Roman" w:eastAsia="Times New Roman" w:hAnsi="Times New Roman"/>
          <w:sz w:val="22"/>
          <w:szCs w:val="22"/>
          <w:color w:val="auto"/>
        </w:rPr>
        <w:t xml:space="preserve">. Each Committee may establish sub-committees or working groups to interact on a more frequent basis on specific projects and tasks assigned to them by such Committee;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authority of such sub-committees or working groups will not expand beyond the authority of the applicable Committee. Any such sub-committees or working groups will have no decision-making authority, but will make recommendations to the applicable Committee for its review and approval.</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b w:val="1"/>
          <w:bCs w:val="1"/>
          <w:u w:val="single" w:color="auto"/>
          <w:color w:val="auto"/>
        </w:rPr>
        <w:t>Alliance Managers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9.12.1 </w:t>
      </w:r>
      <w:r>
        <w:rPr>
          <w:rFonts w:ascii="Times New Roman" w:cs="Times New Roman" w:eastAsia="Times New Roman" w:hAnsi="Times New Roman"/>
          <w:sz w:val="22"/>
          <w:szCs w:val="22"/>
          <w:b w:val="1"/>
          <w:bCs w:val="1"/>
          <w:u w:val="single" w:color="auto"/>
          <w:color w:val="auto"/>
        </w:rPr>
        <w:t>Appointment</w:t>
      </w:r>
      <w:r>
        <w:rPr>
          <w:rFonts w:ascii="Times New Roman" w:cs="Times New Roman" w:eastAsia="Times New Roman" w:hAnsi="Times New Roman"/>
          <w:sz w:val="22"/>
          <w:szCs w:val="22"/>
          <w:color w:val="auto"/>
        </w:rPr>
        <w:t>. Each Party will appoint a representative of such Party to act as its alliance manager under this Agreement (each, an “</w:t>
      </w:r>
      <w:r>
        <w:rPr>
          <w:rFonts w:ascii="Times New Roman" w:cs="Times New Roman" w:eastAsia="Times New Roman" w:hAnsi="Times New Roman"/>
          <w:sz w:val="22"/>
          <w:szCs w:val="22"/>
          <w:b w:val="1"/>
          <w:bCs w:val="1"/>
          <w:color w:val="auto"/>
        </w:rPr>
        <w:t>Alliance Manager</w:t>
      </w:r>
      <w:r>
        <w:rPr>
          <w:rFonts w:ascii="Times New Roman" w:cs="Times New Roman" w:eastAsia="Times New Roman" w:hAnsi="Times New Roman"/>
          <w:sz w:val="22"/>
          <w:szCs w:val="22"/>
          <w:color w:val="auto"/>
        </w:rPr>
        <w:t>”). Each Party may replace its Alliance Manager at any time upon notice to the other Party. The Alliance Managers as of the Restatement Effective Date will be: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Sanofi: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Kymera: [***]</w:t>
      </w:r>
    </w:p>
    <w:p>
      <w:pPr>
        <w:spacing w:after="0" w:line="202" w:lineRule="exact"/>
        <w:rPr>
          <w:sz w:val="20"/>
          <w:szCs w:val="20"/>
          <w:color w:val="auto"/>
        </w:rPr>
      </w:pPr>
    </w:p>
    <w:p>
      <w:pPr>
        <w:jc w:val="both"/>
        <w:ind w:left="480" w:firstLine="1497"/>
        <w:spacing w:after="0" w:line="241" w:lineRule="auto"/>
        <w:rPr>
          <w:sz w:val="20"/>
          <w:szCs w:val="20"/>
          <w:color w:val="auto"/>
        </w:rPr>
      </w:pPr>
      <w:r>
        <w:rPr>
          <w:rFonts w:ascii="Times New Roman" w:cs="Times New Roman" w:eastAsia="Times New Roman" w:hAnsi="Times New Roman"/>
          <w:sz w:val="22"/>
          <w:szCs w:val="22"/>
          <w:color w:val="auto"/>
        </w:rPr>
        <w:t xml:space="preserve">9.12.2 </w:t>
      </w:r>
      <w:r>
        <w:rPr>
          <w:rFonts w:ascii="Times New Roman" w:cs="Times New Roman" w:eastAsia="Times New Roman" w:hAnsi="Times New Roman"/>
          <w:sz w:val="22"/>
          <w:szCs w:val="22"/>
          <w:b w:val="1"/>
          <w:bCs w:val="1"/>
          <w:u w:val="single" w:color="auto"/>
          <w:color w:val="auto"/>
        </w:rPr>
        <w:t>Specific Responsibilities</w:t>
      </w:r>
      <w:r>
        <w:rPr>
          <w:rFonts w:ascii="Times New Roman" w:cs="Times New Roman" w:eastAsia="Times New Roman" w:hAnsi="Times New Roman"/>
          <w:sz w:val="22"/>
          <w:szCs w:val="22"/>
          <w:color w:val="auto"/>
        </w:rPr>
        <w:t>. The Alliance Managers will attend all meetings of each Committee (other than the JPC) but may not be members of any Committee. The Alliance Managers will serve as the primary contact point between the Parties for the purpose of providing each Party with information regarding the other Party’s activities pursuant to this Agreement and will have the following responsibilities:</w:t>
      </w:r>
    </w:p>
    <w:p>
      <w:pPr>
        <w:spacing w:after="0" w:line="172"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(a)</w:t>
        <w:tab/>
        <w:t xml:space="preserve">schedule meetings of each Committee and circulate draft written minutes as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9.8</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right="20" w:firstLine="2254"/>
        <w:spacing w:after="0" w:line="258" w:lineRule="auto"/>
        <w:tabs>
          <w:tab w:leader="none" w:pos="267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and facilitate the flow of information and otherwise promote communication, coordination and collaboration between the Parties;</w:t>
      </w:r>
    </w:p>
    <w:p>
      <w:pPr>
        <w:spacing w:after="0" w:line="158"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single point of communication for seeking consensus both internally within the respective Party’s organization and between the Parties regarding key strategy and planning issues; and</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as requested by the JSC.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GRANTS; EXCLUSIVITY</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u w:val="single" w:color="auto"/>
          <w:color w:val="auto"/>
        </w:rPr>
        <w:t>License Grants to Sanofi</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80" w:firstLine="1497"/>
        <w:spacing w:after="0" w:line="244" w:lineRule="auto"/>
        <w:rPr>
          <w:sz w:val="20"/>
          <w:szCs w:val="20"/>
          <w:color w:val="auto"/>
        </w:rPr>
      </w:pPr>
      <w:r>
        <w:rPr>
          <w:rFonts w:ascii="Times New Roman" w:cs="Times New Roman" w:eastAsia="Times New Roman" w:hAnsi="Times New Roman"/>
          <w:sz w:val="22"/>
          <w:szCs w:val="22"/>
          <w:color w:val="auto"/>
        </w:rPr>
        <w:t>10.1.1 Subject to the terms of this Agreement, on a Collaboration Target-by-Collaboration Target basis, during the period commencing on the Original Agreement Execution Date and expiring on the Original Agreement Effective Date, Kymera hereby grants to Sanofi a non-exclusive, non-royalty bearing license, including the right to grant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54" w:name="page255"/>
    <w:bookmarkEnd w:id="254"/>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22"/>
          <w:szCs w:val="22"/>
          <w:color w:val="auto"/>
        </w:rPr>
        <w:t xml:space="preserve">Sublicenses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under the Licensed Technology to perform CMC process development activities and Manufacturing of [***].</w:t>
      </w:r>
    </w:p>
    <w:p>
      <w:pPr>
        <w:spacing w:after="0" w:line="158" w:lineRule="exact"/>
        <w:rPr>
          <w:sz w:val="20"/>
          <w:szCs w:val="20"/>
          <w:color w:val="auto"/>
        </w:rPr>
      </w:pPr>
    </w:p>
    <w:p>
      <w:pPr>
        <w:jc w:val="both"/>
        <w:ind w:left="48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10.1.2 Subject to the terms of this Agreement, on a Collaboration Target-by-Collaboration Target basis, during the Research Term, solely to the extent that Sanofi has any Step-In Activities, CMC activities, Manufacturing activities, or other activities under the Research Plan, Early Development Plan and Phase 2 Activities, Kymera hereby grants to Sanofi a non-exclusive, non-royalty bearing license, including the right to grant Sublicenses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under the Licensed Technology to perform such Step-In Activities, CMC activities, Manufacturing activities, or other activities under the Research Plan, Early Development Plan or Phase 2 Activities, as applicable.</w:t>
      </w:r>
    </w:p>
    <w:p>
      <w:pPr>
        <w:spacing w:after="0" w:line="181" w:lineRule="exact"/>
        <w:rPr>
          <w:sz w:val="20"/>
          <w:szCs w:val="20"/>
          <w:color w:val="auto"/>
        </w:rPr>
      </w:pPr>
    </w:p>
    <w:p>
      <w:pPr>
        <w:jc w:val="both"/>
        <w:ind w:left="48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10.1.3 Subject to the terms of this Agreement, on a Collaboration Target-by-Collaboration Target basis, Kymera hereby grants to Sanofi (a) an exclusive license (even as to Kymera), including the right to grant Sublicenses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under the Licensed Technology to Research, Develop and Manufacture Collaboration Compounds, Collaboration Candidates and Licensed Products Directed Against such Collaboration Target in the applicable Field in the Territory, and (b) an exclusive (even as to Kymera) royalty-bearing license under the Licensed Technology to Commercialize Licensed Products Directed Against such Collaboration Target in the applicable Field in the Territory (collectively, the “</w:t>
      </w:r>
      <w:r>
        <w:rPr>
          <w:rFonts w:ascii="Times New Roman" w:cs="Times New Roman" w:eastAsia="Times New Roman" w:hAnsi="Times New Roman"/>
          <w:sz w:val="22"/>
          <w:szCs w:val="22"/>
          <w:b w:val="1"/>
          <w:bCs w:val="1"/>
          <w:color w:val="auto"/>
        </w:rPr>
        <w:t>Exclusive Licenses</w:t>
      </w:r>
      <w:r>
        <w:rPr>
          <w:rFonts w:ascii="Times New Roman" w:cs="Times New Roman" w:eastAsia="Times New Roman" w:hAnsi="Times New Roman"/>
          <w:sz w:val="22"/>
          <w:szCs w:val="22"/>
          <w:color w:val="auto"/>
        </w:rPr>
        <w:t xml:space="preserve">”); [***], and (ii) such Exclusive Licenses are subject to immediate termination (and without any further action) as set forth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10.1.4</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80" w:firstLine="749"/>
        <w:spacing w:after="0" w:line="234"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u w:val="single" w:color="auto"/>
          <w:color w:val="auto"/>
        </w:rPr>
        <w:t>License Grant to Kymera</w:t>
      </w:r>
      <w:r>
        <w:rPr>
          <w:rFonts w:ascii="Times New Roman" w:cs="Times New Roman" w:eastAsia="Times New Roman" w:hAnsi="Times New Roman"/>
          <w:sz w:val="22"/>
          <w:szCs w:val="22"/>
          <w:color w:val="auto"/>
        </w:rPr>
        <w:t xml:space="preserve">. Subject to the terms and conditions of this Agreement, including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on a Collaboration Target-by-Collaboration Target basis during the Term, Sanofi hereby grants to Kymera a non-exclusive license under (i) the Sanofi Technology, and (ii) the Exclusive Licenses under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xml:space="preserve"> each including the right to grant Sublicenses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solely to perform Kymera’s obligations under this Agreement. The foregoing license to Kymera and its Affiliates includes, on a Collaboration Target-by-Collaboration Target basis, a license to Kymera and its Affiliates to (a) perform activities under the Research Plan, Early Development Plan and Backup Research Plan for a given Collaboration Target, (b) if Kymera exercises the Kymera Co-Promote Right for a Collaboration Target, to perform Co-Promotion activities for Opt-In Products Directed Against such Collaboration Target in the applicable Field in the United States, and (c) perform Manufacturing activities for Collaboration Compounds, Collaboration Candidates and Licensed Products Directed Against such Collaboration Target as set forth in this Agreement.</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u w:val="single" w:color="auto"/>
          <w:color w:val="auto"/>
        </w:rPr>
        <w:t>Sublicensing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10.3.1</w:t>
      </w:r>
      <w:r>
        <w:rPr>
          <w:sz w:val="20"/>
          <w:szCs w:val="20"/>
          <w:color w:val="auto"/>
        </w:rPr>
        <w:tab/>
      </w:r>
      <w:r>
        <w:rPr>
          <w:rFonts w:ascii="Times New Roman" w:cs="Times New Roman" w:eastAsia="Times New Roman" w:hAnsi="Times New Roman"/>
          <w:sz w:val="21"/>
          <w:szCs w:val="21"/>
          <w:b w:val="1"/>
          <w:bCs w:val="1"/>
          <w:u w:val="single" w:color="auto"/>
          <w:color w:val="auto"/>
        </w:rPr>
        <w:t>By Sanofi</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100" w:firstLine="2254"/>
        <w:spacing w:after="0" w:line="282" w:lineRule="auto"/>
        <w:tabs>
          <w:tab w:leader="none" w:pos="2678"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Sanofi may grant Sublicenses (through multiple tiers) to its Affiliates and Third Party Subcontractors (including CMOs) of any of the licenses granted to Sanofi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without the prior consent of Kymera.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55" w:name="page256"/>
    <w:bookmarkEnd w:id="255"/>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2680" w:hanging="426"/>
        <w:spacing w:after="0"/>
        <w:tabs>
          <w:tab w:leader="none" w:pos="26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10.3.1(c)</w:t>
      </w:r>
      <w:r>
        <w:rPr>
          <w:rFonts w:ascii="Times New Roman" w:cs="Times New Roman" w:eastAsia="Times New Roman" w:hAnsi="Times New Roman"/>
          <w:sz w:val="22"/>
          <w:szCs w:val="22"/>
          <w:color w:val="auto"/>
        </w:rPr>
        <w:t>, Sanofi may grant Sublicenses (through multiple tiers) to [***].</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As used herein, “[***]” means [***].</w:t>
      </w:r>
    </w:p>
    <w:p>
      <w:pPr>
        <w:spacing w:after="0" w:line="202" w:lineRule="exact"/>
        <w:rPr>
          <w:sz w:val="20"/>
          <w:szCs w:val="20"/>
          <w:color w:val="auto"/>
        </w:rPr>
      </w:pPr>
    </w:p>
    <w:p>
      <w:pPr>
        <w:jc w:val="both"/>
        <w:ind w:left="48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10.3.2 </w:t>
      </w:r>
      <w:r>
        <w:rPr>
          <w:rFonts w:ascii="Times New Roman" w:cs="Times New Roman" w:eastAsia="Times New Roman" w:hAnsi="Times New Roman"/>
          <w:sz w:val="22"/>
          <w:szCs w:val="22"/>
          <w:b w:val="1"/>
          <w:bCs w:val="1"/>
          <w:u w:val="single" w:color="auto"/>
          <w:color w:val="auto"/>
        </w:rPr>
        <w:t>By Kymera</w:t>
      </w:r>
      <w:r>
        <w:rPr>
          <w:rFonts w:ascii="Times New Roman" w:cs="Times New Roman" w:eastAsia="Times New Roman" w:hAnsi="Times New Roman"/>
          <w:sz w:val="22"/>
          <w:szCs w:val="22"/>
          <w:color w:val="auto"/>
        </w:rPr>
        <w:t xml:space="preserve">. Kymera may grant Sublicenses to its Affiliates and to Approved Third Party Contractors of any of the licenses granted to Kymera in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without the prior consent of Sanofi. In addition, Kymera may grant Sublicenses to additional Third Party contractors [***].</w:t>
      </w:r>
    </w:p>
    <w:p>
      <w:pPr>
        <w:spacing w:after="0" w:line="167"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10.3.3</w:t>
      </w:r>
      <w:r>
        <w:rPr>
          <w:sz w:val="20"/>
          <w:szCs w:val="20"/>
          <w:color w:val="auto"/>
        </w:rPr>
        <w:tab/>
      </w:r>
      <w:r>
        <w:rPr>
          <w:rFonts w:ascii="Times New Roman" w:cs="Times New Roman" w:eastAsia="Times New Roman" w:hAnsi="Times New Roman"/>
          <w:sz w:val="21"/>
          <w:szCs w:val="21"/>
          <w:b w:val="1"/>
          <w:bCs w:val="1"/>
          <w:u w:val="single" w:color="auto"/>
          <w:color w:val="auto"/>
        </w:rPr>
        <w:t>Generally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2254"/>
        <w:spacing w:after="0" w:line="239" w:lineRule="auto"/>
        <w:tabs>
          <w:tab w:leader="none" w:pos="267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set forth in </w:t>
      </w:r>
      <w:r>
        <w:rPr>
          <w:rFonts w:ascii="Times New Roman" w:cs="Times New Roman" w:eastAsia="Times New Roman" w:hAnsi="Times New Roman"/>
          <w:sz w:val="22"/>
          <w:szCs w:val="22"/>
          <w:u w:val="single" w:color="auto"/>
          <w:color w:val="auto"/>
        </w:rPr>
        <w:t>Section 10.3.1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10.3.2</w:t>
      </w:r>
      <w:r>
        <w:rPr>
          <w:rFonts w:ascii="Times New Roman" w:cs="Times New Roman" w:eastAsia="Times New Roman" w:hAnsi="Times New Roman"/>
          <w:sz w:val="22"/>
          <w:szCs w:val="22"/>
          <w:color w:val="auto"/>
        </w:rPr>
        <w:t xml:space="preserve">, prior to granting a Sublicense of the licenses granted in </w:t>
      </w:r>
      <w:r>
        <w:rPr>
          <w:rFonts w:ascii="Times New Roman" w:cs="Times New Roman" w:eastAsia="Times New Roman" w:hAnsi="Times New Roman"/>
          <w:sz w:val="22"/>
          <w:szCs w:val="22"/>
          <w:u w:val="single" w:color="auto"/>
          <w:color w:val="auto"/>
        </w:rPr>
        <w:t>Sections 10.1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xml:space="preserve">, the sublicensing Party will obtain the prior written consent of the other Party. For clarity, Sanofi has no licenses or other rights with respect the Excluded Compounds except with as expressly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10.1.4</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2254"/>
        <w:spacing w:after="0" w:line="247" w:lineRule="auto"/>
        <w:tabs>
          <w:tab w:leader="none" w:pos="2678"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such Sublicense will be consistent with, the terms of this Agreement and will require such Sublicensee to comply with all applicable terms of this Agreement. The sublicensing Party will, as soon as reasonably practicable thereafter (and in any event within [***]), provide the other Party with a copy of an executed Sublicense with a Third Party Sublicensee (which copy may be redacted to remove provisions which are not necessary to monitor compliance with this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Party will have no obligation to provide the other Party with any copy of any Subcontractor agreement. Each Sublicense will contain the following provisions: [***]. Notwithstanding any Sublicense, the Party that grants a Sublicense will remain liable to the other Party for the performance of the granting Party’s obligations hereunder, and will be responsible for all actions and omissions of each Sublicensee of such Party, as if such Sublicensee were such Party hereunder.</w:t>
      </w:r>
    </w:p>
    <w:p>
      <w:pPr>
        <w:spacing w:after="0" w:line="168" w:lineRule="exact"/>
        <w:rPr>
          <w:sz w:val="20"/>
          <w:szCs w:val="20"/>
          <w:color w:val="auto"/>
        </w:rPr>
      </w:pPr>
    </w:p>
    <w:p>
      <w:pPr>
        <w:jc w:val="both"/>
        <w:ind w:left="80"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u w:val="single" w:color="auto"/>
          <w:color w:val="auto"/>
        </w:rPr>
        <w:t>No Implied Licenses</w:t>
      </w:r>
      <w:r>
        <w:rPr>
          <w:rFonts w:ascii="Times New Roman" w:cs="Times New Roman" w:eastAsia="Times New Roman" w:hAnsi="Times New Roman"/>
          <w:sz w:val="22"/>
          <w:szCs w:val="22"/>
          <w:color w:val="auto"/>
        </w:rPr>
        <w:t>. Except as expressly provided in this Agreement, no Party will be deemed by estoppel, implication or otherwise to have granted the other Party any licenses or other right with respect to any intellectual property.</w:t>
      </w:r>
    </w:p>
    <w:p>
      <w:pPr>
        <w:spacing w:after="0" w:line="150" w:lineRule="exact"/>
        <w:rPr>
          <w:sz w:val="20"/>
          <w:szCs w:val="20"/>
          <w:color w:val="auto"/>
        </w:rPr>
      </w:pPr>
    </w:p>
    <w:p>
      <w:pPr>
        <w:jc w:val="both"/>
        <w:ind w:left="80" w:firstLine="749"/>
        <w:spacing w:after="0" w:line="234"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u w:val="single" w:color="auto"/>
          <w:color w:val="auto"/>
        </w:rPr>
        <w:t>Bankruptcy</w:t>
      </w:r>
      <w:r>
        <w:rPr>
          <w:rFonts w:ascii="Times New Roman" w:cs="Times New Roman" w:eastAsia="Times New Roman" w:hAnsi="Times New Roman"/>
          <w:sz w:val="22"/>
          <w:szCs w:val="22"/>
          <w:color w:val="auto"/>
        </w:rPr>
        <w:t>. All rights and licenses granted under or pursuant to this Agreement by a Party to the other are and will otherwise be deemed to be, for purposes of Section 365(n) of the Bankruptcy Code, licenses of rights to “intellectual property” as defined under Section 101 of the Bankruptcy Code. The Parties agree that the Parties will retain and may fully exercise all of their rights and elections under the Bankruptcy Code and any foreign equivalent thereto. The Parties further agree that if (x) a bankruptcy proceeding by or against a Party (the “</w:t>
      </w:r>
      <w:r>
        <w:rPr>
          <w:rFonts w:ascii="Times New Roman" w:cs="Times New Roman" w:eastAsia="Times New Roman" w:hAnsi="Times New Roman"/>
          <w:sz w:val="22"/>
          <w:szCs w:val="22"/>
          <w:b w:val="1"/>
          <w:bCs w:val="1"/>
          <w:color w:val="auto"/>
        </w:rPr>
        <w:t>Bankrupt Party</w:t>
      </w:r>
      <w:r>
        <w:rPr>
          <w:rFonts w:ascii="Times New Roman" w:cs="Times New Roman" w:eastAsia="Times New Roman" w:hAnsi="Times New Roman"/>
          <w:sz w:val="22"/>
          <w:szCs w:val="22"/>
          <w:color w:val="auto"/>
        </w:rPr>
        <w:t xml:space="preserve">”) is commenced under the Bankruptcy Code, (y) this Agreement is rejected as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the Bankruptcy Code, and (z) the other Party (the “</w:t>
      </w:r>
      <w:r>
        <w:rPr>
          <w:rFonts w:ascii="Times New Roman" w:cs="Times New Roman" w:eastAsia="Times New Roman" w:hAnsi="Times New Roman"/>
          <w:sz w:val="22"/>
          <w:szCs w:val="22"/>
          <w:b w:val="1"/>
          <w:bCs w:val="1"/>
          <w:color w:val="auto"/>
        </w:rPr>
        <w:t>Non-Bankrupt Party</w:t>
      </w:r>
      <w:r>
        <w:rPr>
          <w:rFonts w:ascii="Times New Roman" w:cs="Times New Roman" w:eastAsia="Times New Roman" w:hAnsi="Times New Roman"/>
          <w:sz w:val="22"/>
          <w:szCs w:val="22"/>
          <w:color w:val="auto"/>
        </w:rPr>
        <w:t xml:space="preserve">”) elects to retain its rights hereunder as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Section 365(n) of the Bankruptcy Code, the Non-Bankrupt Party will be entitled to a complete duplicate of, and complete access to (as the Non-Bankrupt Party deems appropriate), all such intellectual property and all embodiments of such intellectual property. Upon such occurrence, such intellectual property and all embodiments of such intellectual property will be promptly delivered to the Non-Bankrupt Party. The Bankrupt Party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any capacity, including debtor-in-possession) and its successors and assigns (including any trustee) agrees not to interfere with the exercise by the Non-Bankrupt Party of its rights and licenses to such intellectual property and such embodiments of intellectual property in accordance with this Agreement, and agrees to assist the Non-Bankrupt Party and its Affiliates in obtaining such intellectual property and such embodiments of intellectual property in the possession or control of Third Parties. The foregoing provisions are without prejudice to any rights the Non-Bankrupt Party may have arising under the Bankruptcy Code or other Applicable Law. As used herein, “</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means Title 11, United States Code, as from time to time in effect.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b w:val="1"/>
          <w:bCs w:val="1"/>
          <w:u w:val="single" w:color="auto"/>
          <w:color w:val="auto"/>
        </w:rPr>
        <w:t>Exclusivity Covenants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right="20" w:firstLine="1497"/>
        <w:spacing w:after="0" w:line="282" w:lineRule="auto"/>
        <w:rPr>
          <w:sz w:val="20"/>
          <w:szCs w:val="20"/>
          <w:color w:val="auto"/>
        </w:rPr>
      </w:pPr>
      <w:r>
        <w:rPr>
          <w:rFonts w:ascii="Times New Roman" w:cs="Times New Roman" w:eastAsia="Times New Roman" w:hAnsi="Times New Roman"/>
          <w:sz w:val="21"/>
          <w:szCs w:val="21"/>
          <w:color w:val="auto"/>
        </w:rPr>
        <w:t>10.6.1 From and after the Original Agreement Effective Date and [***], on a Collaboration Target-by-Collaboration Target basis, except as expressly permitted under this Agreement, each Party and its Affiliates will not [***].</w:t>
      </w:r>
    </w:p>
    <w:p>
      <w:pPr>
        <w:spacing w:after="0" w:line="135" w:lineRule="exact"/>
        <w:rPr>
          <w:sz w:val="20"/>
          <w:szCs w:val="20"/>
          <w:color w:val="auto"/>
        </w:rPr>
      </w:pPr>
    </w:p>
    <w:p>
      <w:pPr>
        <w:jc w:val="both"/>
        <w:ind w:left="400" w:right="20" w:firstLine="1497"/>
        <w:spacing w:after="0" w:line="258" w:lineRule="auto"/>
        <w:rPr>
          <w:sz w:val="20"/>
          <w:szCs w:val="20"/>
          <w:color w:val="auto"/>
        </w:rPr>
      </w:pPr>
      <w:r>
        <w:rPr>
          <w:rFonts w:ascii="Times New Roman" w:cs="Times New Roman" w:eastAsia="Times New Roman" w:hAnsi="Times New Roman"/>
          <w:sz w:val="22"/>
          <w:szCs w:val="22"/>
          <w:color w:val="auto"/>
        </w:rPr>
        <w:t>10.6.2 From and after the Original Agreement Effective Date and [***], for Collaboration Target 1, each Party and its Affiliates will not, itself or through any Affiliate or Third Party [***].</w:t>
      </w:r>
    </w:p>
    <w:p>
      <w:pPr>
        <w:spacing w:after="0" w:line="158" w:lineRule="exact"/>
        <w:rPr>
          <w:sz w:val="20"/>
          <w:szCs w:val="20"/>
          <w:color w:val="auto"/>
        </w:rPr>
      </w:pPr>
    </w:p>
    <w:p>
      <w:pPr>
        <w:ind w:left="1900"/>
        <w:spacing w:after="0"/>
        <w:tabs>
          <w:tab w:leader="none" w:pos="2740" w:val="left"/>
        </w:tabs>
        <w:rPr>
          <w:sz w:val="20"/>
          <w:szCs w:val="20"/>
          <w:color w:val="auto"/>
        </w:rPr>
      </w:pPr>
      <w:r>
        <w:rPr>
          <w:rFonts w:ascii="Times New Roman" w:cs="Times New Roman" w:eastAsia="Times New Roman" w:hAnsi="Times New Roman"/>
          <w:sz w:val="22"/>
          <w:szCs w:val="22"/>
          <w:color w:val="auto"/>
        </w:rPr>
        <w:t>10.6.3</w:t>
        <w:tab/>
        <w:t>From and after the Original Agreement Effective Date and [***], for Collaboration Target 1</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400" w:right="20" w:firstLine="1497"/>
        <w:spacing w:after="0" w:line="258" w:lineRule="auto"/>
        <w:rPr>
          <w:sz w:val="20"/>
          <w:szCs w:val="20"/>
          <w:color w:val="auto"/>
        </w:rPr>
      </w:pPr>
      <w:r>
        <w:rPr>
          <w:rFonts w:ascii="Times New Roman" w:cs="Times New Roman" w:eastAsia="Times New Roman" w:hAnsi="Times New Roman"/>
          <w:sz w:val="22"/>
          <w:szCs w:val="22"/>
          <w:color w:val="auto"/>
        </w:rPr>
        <w:t>10.6.4 From and after the Original Agreement Effective Date and [***], with respect to Collaboration Target 1, Kymera and its Affiliates will [***].</w:t>
      </w:r>
    </w:p>
    <w:p>
      <w:pPr>
        <w:spacing w:after="0" w:line="158" w:lineRule="exact"/>
        <w:rPr>
          <w:sz w:val="20"/>
          <w:szCs w:val="20"/>
          <w:color w:val="auto"/>
        </w:rPr>
      </w:pPr>
    </w:p>
    <w:p>
      <w:pPr>
        <w:ind w:left="1900"/>
        <w:spacing w:after="0"/>
        <w:tabs>
          <w:tab w:leader="none" w:pos="2740" w:val="left"/>
        </w:tabs>
        <w:rPr>
          <w:sz w:val="20"/>
          <w:szCs w:val="20"/>
          <w:color w:val="auto"/>
        </w:rPr>
      </w:pPr>
      <w:r>
        <w:rPr>
          <w:rFonts w:ascii="Times New Roman" w:cs="Times New Roman" w:eastAsia="Times New Roman" w:hAnsi="Times New Roman"/>
          <w:sz w:val="22"/>
          <w:szCs w:val="22"/>
          <w:color w:val="auto"/>
        </w:rPr>
        <w:t>10.6.5</w:t>
        <w:tab/>
        <w:t xml:space="preserve">The Parties hereby acknowledge and agree that neither Party’s obligations under this </w:t>
      </w:r>
      <w:r>
        <w:rPr>
          <w:rFonts w:ascii="Times New Roman" w:cs="Times New Roman" w:eastAsia="Times New Roman" w:hAnsi="Times New Roman"/>
          <w:sz w:val="22"/>
          <w:szCs w:val="22"/>
          <w:u w:val="single" w:color="auto"/>
          <w:color w:val="auto"/>
        </w:rPr>
        <w:t>Section</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u w:val="single" w:color="auto"/>
          <w:color w:val="auto"/>
        </w:rPr>
        <w:t>10.6</w:t>
      </w:r>
      <w:r>
        <w:rPr>
          <w:rFonts w:ascii="Times New Roman" w:cs="Times New Roman" w:eastAsia="Times New Roman" w:hAnsi="Times New Roman"/>
          <w:sz w:val="22"/>
          <w:szCs w:val="22"/>
          <w:color w:val="auto"/>
        </w:rPr>
        <w:t xml:space="preserve"> will apply to any activities intended by such Party or any of its Affiliates to ensure its compliance with this </w:t>
      </w:r>
      <w:r>
        <w:rPr>
          <w:rFonts w:ascii="Times New Roman" w:cs="Times New Roman" w:eastAsia="Times New Roman" w:hAnsi="Times New Roman"/>
          <w:sz w:val="22"/>
          <w:szCs w:val="22"/>
          <w:u w:val="single" w:color="auto"/>
          <w:color w:val="auto"/>
        </w:rPr>
        <w:t>Section</w:t>
      </w:r>
    </w:p>
    <w:p>
      <w:pPr>
        <w:jc w:val="both"/>
        <w:ind w:left="400" w:right="20"/>
        <w:spacing w:after="0" w:line="235" w:lineRule="auto"/>
        <w:rPr>
          <w:sz w:val="20"/>
          <w:szCs w:val="20"/>
          <w:color w:val="auto"/>
        </w:rPr>
      </w:pPr>
      <w:r>
        <w:rPr>
          <w:rFonts w:ascii="Times New Roman" w:cs="Times New Roman" w:eastAsia="Times New Roman" w:hAnsi="Times New Roman"/>
          <w:sz w:val="22"/>
          <w:szCs w:val="22"/>
          <w:u w:val="single" w:color="auto"/>
          <w:color w:val="auto"/>
        </w:rPr>
        <w:t>10.6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using screening assays for compounds). In addition, notwithstanding the foregoing, the rights and licenses granted to the Counterparty pursuant to the Third Party Agreement, and the Counterparty’s practice of such rights and licenses, did not and will not constitute a breach of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b w:val="1"/>
          <w:bCs w:val="1"/>
          <w:u w:val="single" w:color="auto"/>
          <w:color w:val="auto"/>
        </w:rPr>
        <w:t>Acquisition of Competing Product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10.7.1 Notwithstanding the provisions of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if a Party or any of its Affiliates (such Party, the “</w:t>
      </w:r>
      <w:r>
        <w:rPr>
          <w:rFonts w:ascii="Times New Roman" w:cs="Times New Roman" w:eastAsia="Times New Roman" w:hAnsi="Times New Roman"/>
          <w:sz w:val="22"/>
          <w:szCs w:val="22"/>
          <w:b w:val="1"/>
          <w:bCs w:val="1"/>
          <w:color w:val="auto"/>
        </w:rPr>
        <w:t>Competing Party</w:t>
      </w:r>
      <w:r>
        <w:rPr>
          <w:rFonts w:ascii="Times New Roman" w:cs="Times New Roman" w:eastAsia="Times New Roman" w:hAnsi="Times New Roman"/>
          <w:sz w:val="22"/>
          <w:szCs w:val="22"/>
          <w:color w:val="auto"/>
        </w:rPr>
        <w:t>”) acquires rights to research, develop, manufacture, or commercialize a product in the applicable Field as the result of a merger, acquisition or combination with or of a Third Party other than a Change of Control of such Party (each, an “</w:t>
      </w:r>
      <w:r>
        <w:rPr>
          <w:rFonts w:ascii="Times New Roman" w:cs="Times New Roman" w:eastAsia="Times New Roman" w:hAnsi="Times New Roman"/>
          <w:sz w:val="22"/>
          <w:szCs w:val="22"/>
          <w:b w:val="1"/>
          <w:bCs w:val="1"/>
          <w:color w:val="auto"/>
        </w:rPr>
        <w:t>Acquisition Transaction</w:t>
      </w:r>
      <w:r>
        <w:rPr>
          <w:rFonts w:ascii="Times New Roman" w:cs="Times New Roman" w:eastAsia="Times New Roman" w:hAnsi="Times New Roman"/>
          <w:sz w:val="22"/>
          <w:szCs w:val="22"/>
          <w:color w:val="auto"/>
        </w:rPr>
        <w:t xml:space="preserve">”) and, on the date of the closing of such Acquisition Transaction, such product is being researched, developed, manufactured or commercialized and such activities would, but for 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10.7</w:t>
      </w:r>
      <w:r>
        <w:rPr>
          <w:rFonts w:ascii="Times New Roman" w:cs="Times New Roman" w:eastAsia="Times New Roman" w:hAnsi="Times New Roman"/>
          <w:sz w:val="22"/>
          <w:szCs w:val="22"/>
          <w:color w:val="auto"/>
        </w:rPr>
        <w:t xml:space="preserve">, constitute a breach of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(such product, a “</w:t>
      </w:r>
      <w:r>
        <w:rPr>
          <w:rFonts w:ascii="Times New Roman" w:cs="Times New Roman" w:eastAsia="Times New Roman" w:hAnsi="Times New Roman"/>
          <w:sz w:val="22"/>
          <w:szCs w:val="22"/>
          <w:b w:val="1"/>
          <w:bCs w:val="1"/>
          <w:color w:val="auto"/>
        </w:rPr>
        <w:t>Competing Product</w:t>
      </w:r>
      <w:r>
        <w:rPr>
          <w:rFonts w:ascii="Times New Roman" w:cs="Times New Roman" w:eastAsia="Times New Roman" w:hAnsi="Times New Roman"/>
          <w:sz w:val="22"/>
          <w:szCs w:val="22"/>
          <w:color w:val="auto"/>
        </w:rPr>
        <w:t>”), the Competing Party or such Affiliate will, within [***] notify the other Party in writing of such acquisition and either:</w:t>
      </w:r>
    </w:p>
    <w:p>
      <w:pPr>
        <w:spacing w:after="0" w:line="183" w:lineRule="exact"/>
        <w:rPr>
          <w:sz w:val="20"/>
          <w:szCs w:val="20"/>
          <w:color w:val="auto"/>
        </w:rPr>
      </w:pPr>
    </w:p>
    <w:p>
      <w:pPr>
        <w:ind w:left="2600" w:hanging="426"/>
        <w:spacing w:after="0"/>
        <w:tabs>
          <w:tab w:leader="none" w:pos="26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00" w:hanging="426"/>
        <w:spacing w:after="0"/>
        <w:tabs>
          <w:tab w:leader="none" w:pos="26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left="2260"/>
        <w:spacing w:after="0"/>
        <w:tabs>
          <w:tab w:leader="none" w:pos="26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48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10.7.2 During the discussion period under </w:t>
      </w:r>
      <w:r>
        <w:rPr>
          <w:rFonts w:ascii="Times New Roman" w:cs="Times New Roman" w:eastAsia="Times New Roman" w:hAnsi="Times New Roman"/>
          <w:sz w:val="22"/>
          <w:szCs w:val="22"/>
          <w:u w:val="single" w:color="auto"/>
          <w:color w:val="auto"/>
        </w:rPr>
        <w:t>Section 10.7.1(a)</w:t>
      </w:r>
      <w:r>
        <w:rPr>
          <w:rFonts w:ascii="Times New Roman" w:cs="Times New Roman" w:eastAsia="Times New Roman" w:hAnsi="Times New Roman"/>
          <w:sz w:val="22"/>
          <w:szCs w:val="22"/>
          <w:color w:val="auto"/>
        </w:rPr>
        <w:t xml:space="preserve">, prior to the time of divestiture pursuant to </w:t>
      </w:r>
      <w:r>
        <w:rPr>
          <w:rFonts w:ascii="Times New Roman" w:cs="Times New Roman" w:eastAsia="Times New Roman" w:hAnsi="Times New Roman"/>
          <w:sz w:val="22"/>
          <w:szCs w:val="22"/>
          <w:u w:val="single" w:color="auto"/>
          <w:color w:val="auto"/>
        </w:rPr>
        <w:t>Section 10.7.1(b)</w:t>
      </w:r>
      <w:r>
        <w:rPr>
          <w:rFonts w:ascii="Times New Roman" w:cs="Times New Roman" w:eastAsia="Times New Roman" w:hAnsi="Times New Roman"/>
          <w:sz w:val="22"/>
          <w:szCs w:val="22"/>
          <w:color w:val="auto"/>
        </w:rPr>
        <w:t xml:space="preserve"> or prior to the termination of activities pursuant to </w:t>
      </w:r>
      <w:r>
        <w:rPr>
          <w:rFonts w:ascii="Times New Roman" w:cs="Times New Roman" w:eastAsia="Times New Roman" w:hAnsi="Times New Roman"/>
          <w:sz w:val="22"/>
          <w:szCs w:val="22"/>
          <w:u w:val="single" w:color="auto"/>
          <w:color w:val="auto"/>
        </w:rPr>
        <w:t>Section 10.7.1(c)</w:t>
      </w:r>
      <w:r>
        <w:rPr>
          <w:rFonts w:ascii="Times New Roman" w:cs="Times New Roman" w:eastAsia="Times New Roman" w:hAnsi="Times New Roman"/>
          <w:sz w:val="22"/>
          <w:szCs w:val="22"/>
          <w:color w:val="auto"/>
        </w:rPr>
        <w:t>, as applicable, the Competing Party and its Affiliates will [***].</w:t>
      </w:r>
    </w:p>
    <w:p>
      <w:pPr>
        <w:spacing w:after="0" w:line="1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80" w:right="20" w:firstLine="1497"/>
        <w:spacing w:after="0" w:line="244" w:lineRule="auto"/>
        <w:rPr>
          <w:sz w:val="20"/>
          <w:szCs w:val="20"/>
          <w:color w:val="auto"/>
        </w:rPr>
      </w:pPr>
      <w:r>
        <w:rPr>
          <w:rFonts w:ascii="Times New Roman" w:cs="Times New Roman" w:eastAsia="Times New Roman" w:hAnsi="Times New Roman"/>
          <w:sz w:val="22"/>
          <w:szCs w:val="22"/>
          <w:color w:val="auto"/>
        </w:rPr>
        <w:t>10.8.1 Each Party will notify the other Party in writing promptly (and in any event within [***]) following the closing of a Change of Control of such Party (the Party subject to the Change of Control, the “</w:t>
      </w:r>
      <w:r>
        <w:rPr>
          <w:rFonts w:ascii="Times New Roman" w:cs="Times New Roman" w:eastAsia="Times New Roman" w:hAnsi="Times New Roman"/>
          <w:sz w:val="22"/>
          <w:szCs w:val="22"/>
          <w:b w:val="1"/>
          <w:bCs w:val="1"/>
          <w:color w:val="auto"/>
        </w:rPr>
        <w:t>Acquired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10.8.2 On a Collaboration Target-by-Collaboration Target basis, if, as of the closing of the Change of Control, the acquirer or its Affiliates (other than the Acquired Party and its Preexisting Affiliates) (the “</w:t>
      </w:r>
      <w:r>
        <w:rPr>
          <w:rFonts w:ascii="Times New Roman" w:cs="Times New Roman" w:eastAsia="Times New Roman" w:hAnsi="Times New Roman"/>
          <w:sz w:val="22"/>
          <w:szCs w:val="22"/>
          <w:b w:val="1"/>
          <w:bCs w:val="1"/>
          <w:color w:val="auto"/>
        </w:rPr>
        <w:t>Acquiring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possess rights to research, develop, manufacture, or commercialize a Competing Product Directed Against a given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Target in the applicable Field on the closing of the Change of Control transaction, [***].</w:t>
      </w:r>
    </w:p>
    <w:p>
      <w:pPr>
        <w:spacing w:after="0" w:line="180" w:lineRule="exact"/>
        <w:rPr>
          <w:sz w:val="20"/>
          <w:szCs w:val="20"/>
          <w:color w:val="auto"/>
        </w:rPr>
      </w:pPr>
    </w:p>
    <w:p>
      <w:pPr>
        <w:jc w:val="both"/>
        <w:ind w:left="48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10.8.3 If the Acquired Party is Kymera and the Acquiring Parties possess rights to research, develop, manufacture, or commercialize a Competing Product in the applicable Field as permitted pursuant to </w:t>
      </w:r>
      <w:r>
        <w:rPr>
          <w:rFonts w:ascii="Times New Roman" w:cs="Times New Roman" w:eastAsia="Times New Roman" w:hAnsi="Times New Roman"/>
          <w:sz w:val="22"/>
          <w:szCs w:val="22"/>
          <w:u w:val="single" w:color="auto"/>
          <w:color w:val="auto"/>
        </w:rPr>
        <w:t>Section 10.8.2</w:t>
      </w:r>
      <w:r>
        <w:rPr>
          <w:rFonts w:ascii="Times New Roman" w:cs="Times New Roman" w:eastAsia="Times New Roman" w:hAnsi="Times New Roman"/>
          <w:sz w:val="22"/>
          <w:szCs w:val="22"/>
          <w:color w:val="auto"/>
        </w:rPr>
        <w:t xml:space="preserve"> as of the closing of the Change of Control transaction, then:</w:t>
      </w:r>
    </w:p>
    <w:p>
      <w:pPr>
        <w:spacing w:after="0" w:line="173" w:lineRule="exact"/>
        <w:rPr>
          <w:sz w:val="20"/>
          <w:szCs w:val="20"/>
          <w:color w:val="auto"/>
        </w:rPr>
      </w:pPr>
    </w:p>
    <w:p>
      <w:pPr>
        <w:ind w:left="2680" w:hanging="426"/>
        <w:spacing w:after="0"/>
        <w:tabs>
          <w:tab w:leader="none" w:pos="26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 Collaboration Target-by-Collaboration Target basis, Sanofi may, in its sole discretion, within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FINANCIAL PROVISIONS</w:t>
      </w:r>
    </w:p>
    <w:p>
      <w:pPr>
        <w:spacing w:after="0" w:line="178" w:lineRule="exact"/>
        <w:rPr>
          <w:sz w:val="20"/>
          <w:szCs w:val="20"/>
          <w:color w:val="auto"/>
        </w:rPr>
      </w:pPr>
    </w:p>
    <w:p>
      <w:pPr>
        <w:ind w:left="8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u w:val="single" w:color="auto"/>
          <w:color w:val="auto"/>
        </w:rPr>
        <w:t>Up-Front Fee</w:t>
      </w:r>
      <w:r>
        <w:rPr>
          <w:rFonts w:ascii="Times New Roman" w:cs="Times New Roman" w:eastAsia="Times New Roman" w:hAnsi="Times New Roman"/>
          <w:sz w:val="22"/>
          <w:szCs w:val="22"/>
          <w:color w:val="auto"/>
        </w:rPr>
        <w:t>. Under the Original Agreement, Sanofi paid Kymera a one-time, non-refundable, non-creditable, up-front fee of One Hundred Fifty Million Dollars ($150,000,000) that is not subject to set-off.</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u w:val="single" w:color="auto"/>
          <w:color w:val="auto"/>
        </w:rPr>
        <w:t>Milestone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11.2.1 </w:t>
      </w:r>
      <w:r>
        <w:rPr>
          <w:rFonts w:ascii="Times New Roman" w:cs="Times New Roman" w:eastAsia="Times New Roman" w:hAnsi="Times New Roman"/>
          <w:sz w:val="22"/>
          <w:szCs w:val="22"/>
          <w:b w:val="1"/>
          <w:bCs w:val="1"/>
          <w:u w:val="single" w:color="auto"/>
          <w:color w:val="auto"/>
        </w:rPr>
        <w:t>Early Development Milestones</w:t>
      </w:r>
      <w:r>
        <w:rPr>
          <w:rFonts w:ascii="Times New Roman" w:cs="Times New Roman" w:eastAsia="Times New Roman" w:hAnsi="Times New Roman"/>
          <w:sz w:val="22"/>
          <w:szCs w:val="22"/>
          <w:color w:val="auto"/>
        </w:rPr>
        <w:t>. On a Collaboration Target-by-Collaboration Target basis, Sanofi will pay to Kymera the milestone payments (each an “</w:t>
      </w:r>
      <w:r>
        <w:rPr>
          <w:rFonts w:ascii="Times New Roman" w:cs="Times New Roman" w:eastAsia="Times New Roman" w:hAnsi="Times New Roman"/>
          <w:sz w:val="22"/>
          <w:szCs w:val="22"/>
          <w:b w:val="1"/>
          <w:bCs w:val="1"/>
          <w:color w:val="auto"/>
        </w:rPr>
        <w:t>Early Development Milestone Payment</w:t>
      </w:r>
      <w:r>
        <w:rPr>
          <w:rFonts w:ascii="Times New Roman" w:cs="Times New Roman" w:eastAsia="Times New Roman" w:hAnsi="Times New Roman"/>
          <w:sz w:val="22"/>
          <w:szCs w:val="22"/>
          <w:color w:val="auto"/>
        </w:rPr>
        <w:t xml:space="preserve">”) set forth in this </w:t>
      </w:r>
      <w:r>
        <w:rPr>
          <w:rFonts w:ascii="Times New Roman" w:cs="Times New Roman" w:eastAsia="Times New Roman" w:hAnsi="Times New Roman"/>
          <w:sz w:val="22"/>
          <w:szCs w:val="22"/>
          <w:u w:val="single" w:color="auto"/>
          <w:color w:val="auto"/>
        </w:rPr>
        <w:t>Section 11.2.1</w:t>
      </w:r>
      <w:r>
        <w:rPr>
          <w:rFonts w:ascii="Times New Roman" w:cs="Times New Roman" w:eastAsia="Times New Roman" w:hAnsi="Times New Roman"/>
          <w:sz w:val="22"/>
          <w:szCs w:val="22"/>
          <w:color w:val="auto"/>
        </w:rPr>
        <w:t xml:space="preserve"> upon the [***] (each an “</w:t>
      </w:r>
      <w:r>
        <w:rPr>
          <w:rFonts w:ascii="Times New Roman" w:cs="Times New Roman" w:eastAsia="Times New Roman" w:hAnsi="Times New Roman"/>
          <w:sz w:val="22"/>
          <w:szCs w:val="22"/>
          <w:b w:val="1"/>
          <w:bCs w:val="1"/>
          <w:color w:val="auto"/>
        </w:rPr>
        <w:t>Early Development Milestone Event</w:t>
      </w:r>
      <w:r>
        <w:rPr>
          <w:rFonts w:ascii="Times New Roman" w:cs="Times New Roman" w:eastAsia="Times New Roman" w:hAnsi="Times New Roman"/>
          <w:sz w:val="22"/>
          <w:szCs w:val="22"/>
          <w:color w:val="auto"/>
        </w:rPr>
        <w:t xml:space="preserve">”) with respect to a Licensed Product Directed Against such Collaboration Target, as applicable, in each case, subject to reductions pursuant to </w:t>
      </w:r>
      <w:r>
        <w:rPr>
          <w:rFonts w:ascii="Times New Roman" w:cs="Times New Roman" w:eastAsia="Times New Roman" w:hAnsi="Times New Roman"/>
          <w:sz w:val="22"/>
          <w:szCs w:val="22"/>
          <w:u w:val="single" w:color="auto"/>
          <w:color w:val="auto"/>
        </w:rPr>
        <w:t>Section 11.2.5</w:t>
      </w:r>
      <w:r>
        <w:rPr>
          <w:rFonts w:ascii="Times New Roman" w:cs="Times New Roman" w:eastAsia="Times New Roman" w:hAnsi="Times New Roman"/>
          <w:sz w:val="22"/>
          <w:szCs w:val="22"/>
          <w:color w:val="auto"/>
        </w:rPr>
        <w:t>.</w:t>
      </w:r>
    </w:p>
    <w:p>
      <w:pPr>
        <w:spacing w:after="0" w:line="180" w:lineRule="exact"/>
        <w:rPr>
          <w:sz w:val="20"/>
          <w:szCs w:val="20"/>
          <w:color w:val="auto"/>
        </w:rPr>
      </w:pPr>
    </w:p>
    <w:tbl>
      <w:tblPr>
        <w:tblLayout w:type="fixed"/>
        <w:tblInd w:w="90" w:type="dxa"/>
        <w:tblCellMar>
          <w:top w:w="0" w:type="dxa"/>
          <w:left w:w="0" w:type="dxa"/>
          <w:bottom w:w="0" w:type="dxa"/>
          <w:right w:w="0" w:type="dxa"/>
        </w:tblCellMar>
      </w:tblPr>
      <w:tr>
        <w:trPr>
          <w:trHeight w:val="353"/>
        </w:trPr>
        <w:tc>
          <w:tcPr>
            <w:tcW w:w="16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1420" w:type="dxa"/>
            <w:vAlign w:val="bottom"/>
            <w:tcBorders>
              <w:top w:val="single" w:sz="8" w:color="auto"/>
              <w:right w:val="single" w:sz="8" w:color="D9D9D9"/>
            </w:tcBorders>
            <w:shd w:val="clear" w:color="auto" w:fill="D9D9D9"/>
          </w:tcPr>
          <w:p>
            <w:pPr>
              <w:spacing w:after="0"/>
              <w:rPr>
                <w:sz w:val="24"/>
                <w:szCs w:val="24"/>
                <w:color w:val="auto"/>
              </w:rPr>
            </w:pPr>
          </w:p>
        </w:tc>
        <w:tc>
          <w:tcPr>
            <w:tcW w:w="440" w:type="dxa"/>
            <w:vAlign w:val="bottom"/>
            <w:tcBorders>
              <w:top w:val="single" w:sz="8" w:color="auto"/>
              <w:right w:val="single" w:sz="8" w:color="D9D9D9"/>
            </w:tcBorders>
            <w:shd w:val="clear" w:color="auto" w:fill="D9D9D9"/>
          </w:tcPr>
          <w:p>
            <w:pPr>
              <w:spacing w:after="0"/>
              <w:rPr>
                <w:sz w:val="24"/>
                <w:szCs w:val="24"/>
                <w:color w:val="auto"/>
              </w:rPr>
            </w:pPr>
          </w:p>
        </w:tc>
        <w:tc>
          <w:tcPr>
            <w:tcW w:w="760" w:type="dxa"/>
            <w:vAlign w:val="bottom"/>
            <w:tcBorders>
              <w:top w:val="single" w:sz="8" w:color="auto"/>
            </w:tcBorders>
            <w:shd w:val="clear" w:color="auto" w:fill="D9D9D9"/>
          </w:tcPr>
          <w:p>
            <w:pPr>
              <w:spacing w:after="0"/>
              <w:rPr>
                <w:sz w:val="24"/>
                <w:szCs w:val="24"/>
                <w:color w:val="auto"/>
              </w:rPr>
            </w:pPr>
          </w:p>
        </w:tc>
        <w:tc>
          <w:tcPr>
            <w:tcW w:w="5620" w:type="dxa"/>
            <w:vAlign w:val="bottom"/>
            <w:tcBorders>
              <w:top w:val="single" w:sz="8" w:color="auto"/>
              <w:right w:val="single" w:sz="8" w:color="D9D9D9"/>
            </w:tcBorders>
            <w:shd w:val="clear" w:color="auto" w:fill="D9D9D9"/>
          </w:tcPr>
          <w:p>
            <w:pPr>
              <w:ind w:left="200"/>
              <w:spacing w:after="0"/>
              <w:rPr>
                <w:sz w:val="20"/>
                <w:szCs w:val="20"/>
                <w:color w:val="auto"/>
              </w:rPr>
            </w:pPr>
            <w:r>
              <w:rPr>
                <w:rFonts w:ascii="Times New Roman" w:cs="Times New Roman" w:eastAsia="Times New Roman" w:hAnsi="Times New Roman"/>
                <w:sz w:val="22"/>
                <w:szCs w:val="22"/>
                <w:b w:val="1"/>
                <w:bCs w:val="1"/>
                <w:color w:val="auto"/>
              </w:rPr>
              <w:t>Collaboration Target 1 – Early Development Milestones</w:t>
            </w:r>
          </w:p>
        </w:tc>
        <w:tc>
          <w:tcPr>
            <w:tcW w:w="2620" w:type="dxa"/>
            <w:vAlign w:val="bottom"/>
            <w:tcBorders>
              <w:top w:val="single" w:sz="8" w:color="auto"/>
              <w:right w:val="single" w:sz="8" w:color="D9D9D9"/>
            </w:tcBorders>
            <w:shd w:val="clear" w:color="auto" w:fill="D9D9D9"/>
          </w:tcPr>
          <w:p>
            <w:pPr>
              <w:spacing w:after="0"/>
              <w:rPr>
                <w:sz w:val="24"/>
                <w:szCs w:val="24"/>
                <w:color w:val="auto"/>
              </w:rPr>
            </w:pPr>
          </w:p>
        </w:tc>
        <w:tc>
          <w:tcPr>
            <w:tcW w:w="100" w:type="dxa"/>
            <w:vAlign w:val="bottom"/>
            <w:tcBorders>
              <w:top w:val="single" w:sz="8" w:color="auto"/>
              <w:left w:val="single" w:sz="8" w:color="D9D9D9"/>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60" w:type="dxa"/>
            <w:vAlign w:val="bottom"/>
            <w:tcBorders>
              <w:left w:val="single" w:sz="8" w:color="auto"/>
              <w:bottom w:val="single" w:sz="8" w:color="auto"/>
              <w:right w:val="single" w:sz="8" w:color="D9D9D9"/>
            </w:tcBorders>
            <w:shd w:val="clear" w:color="auto" w:fill="D9D9D9"/>
          </w:tcPr>
          <w:p>
            <w:pPr>
              <w:spacing w:after="0"/>
              <w:rPr>
                <w:sz w:val="5"/>
                <w:szCs w:val="5"/>
                <w:color w:val="auto"/>
              </w:rPr>
            </w:pPr>
          </w:p>
        </w:tc>
        <w:tc>
          <w:tcPr>
            <w:tcW w:w="1420" w:type="dxa"/>
            <w:vAlign w:val="bottom"/>
            <w:tcBorders>
              <w:bottom w:val="single" w:sz="8" w:color="auto"/>
              <w:right w:val="single" w:sz="8" w:color="D9D9D9"/>
            </w:tcBorders>
            <w:shd w:val="clear" w:color="auto" w:fill="D9D9D9"/>
          </w:tcPr>
          <w:p>
            <w:pPr>
              <w:spacing w:after="0"/>
              <w:rPr>
                <w:sz w:val="5"/>
                <w:szCs w:val="5"/>
                <w:color w:val="auto"/>
              </w:rPr>
            </w:pPr>
          </w:p>
        </w:tc>
        <w:tc>
          <w:tcPr>
            <w:tcW w:w="440" w:type="dxa"/>
            <w:vAlign w:val="bottom"/>
            <w:tcBorders>
              <w:bottom w:val="single" w:sz="8" w:color="auto"/>
              <w:right w:val="single" w:sz="8" w:color="D9D9D9"/>
            </w:tcBorders>
            <w:shd w:val="clear" w:color="auto" w:fill="D9D9D9"/>
          </w:tcPr>
          <w:p>
            <w:pPr>
              <w:spacing w:after="0"/>
              <w:rPr>
                <w:sz w:val="5"/>
                <w:szCs w:val="5"/>
                <w:color w:val="auto"/>
              </w:rPr>
            </w:pPr>
          </w:p>
        </w:tc>
        <w:tc>
          <w:tcPr>
            <w:tcW w:w="760" w:type="dxa"/>
            <w:vAlign w:val="bottom"/>
            <w:tcBorders>
              <w:bottom w:val="single" w:sz="8" w:color="auto"/>
            </w:tcBorders>
            <w:shd w:val="clear" w:color="auto" w:fill="D9D9D9"/>
          </w:tcPr>
          <w:p>
            <w:pPr>
              <w:spacing w:after="0"/>
              <w:rPr>
                <w:sz w:val="5"/>
                <w:szCs w:val="5"/>
                <w:color w:val="auto"/>
              </w:rPr>
            </w:pPr>
          </w:p>
        </w:tc>
        <w:tc>
          <w:tcPr>
            <w:tcW w:w="5620" w:type="dxa"/>
            <w:vAlign w:val="bottom"/>
            <w:tcBorders>
              <w:bottom w:val="single" w:sz="8" w:color="auto"/>
              <w:right w:val="single" w:sz="8" w:color="D9D9D9"/>
            </w:tcBorders>
            <w:shd w:val="clear" w:color="auto" w:fill="D9D9D9"/>
          </w:tcPr>
          <w:p>
            <w:pPr>
              <w:spacing w:after="0"/>
              <w:rPr>
                <w:sz w:val="5"/>
                <w:szCs w:val="5"/>
                <w:color w:val="auto"/>
              </w:rPr>
            </w:pPr>
          </w:p>
        </w:tc>
        <w:tc>
          <w:tcPr>
            <w:tcW w:w="2620" w:type="dxa"/>
            <w:vAlign w:val="bottom"/>
            <w:tcBorders>
              <w:bottom w:val="single" w:sz="8" w:color="auto"/>
              <w:right w:val="single" w:sz="8" w:color="D9D9D9"/>
            </w:tcBorders>
            <w:shd w:val="clear" w:color="auto" w:fill="D9D9D9"/>
          </w:tcPr>
          <w:p>
            <w:pPr>
              <w:spacing w:after="0"/>
              <w:rPr>
                <w:sz w:val="5"/>
                <w:szCs w:val="5"/>
                <w:color w:val="auto"/>
              </w:rPr>
            </w:pPr>
          </w:p>
        </w:tc>
        <w:tc>
          <w:tcPr>
            <w:tcW w:w="100" w:type="dxa"/>
            <w:vAlign w:val="bottom"/>
            <w:tcBorders>
              <w:left w:val="single" w:sz="8" w:color="D9D9D9"/>
              <w:bottom w:val="single" w:sz="8" w:color="auto"/>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60" w:type="dxa"/>
            <w:vAlign w:val="bottom"/>
            <w:tcBorders>
              <w:left w:val="single" w:sz="8" w:color="D9D9D9"/>
              <w:right w:val="single" w:sz="8" w:color="D9D9D9"/>
            </w:tcBorders>
            <w:shd w:val="clear" w:color="auto" w:fill="D9D9D9"/>
          </w:tcPr>
          <w:p>
            <w:pPr>
              <w:spacing w:after="0"/>
              <w:rPr>
                <w:sz w:val="19"/>
                <w:szCs w:val="19"/>
                <w:color w:val="auto"/>
              </w:rPr>
            </w:pPr>
          </w:p>
        </w:tc>
        <w:tc>
          <w:tcPr>
            <w:tcW w:w="1420" w:type="dxa"/>
            <w:vAlign w:val="bottom"/>
            <w:tcBorders>
              <w:right w:val="single" w:sz="8" w:color="auto"/>
            </w:tcBorders>
            <w:shd w:val="clear" w:color="auto" w:fill="D9D9D9"/>
          </w:tcPr>
          <w:p>
            <w:pPr>
              <w:jc w:val="right"/>
              <w:ind w:right="272"/>
              <w:spacing w:after="0" w:line="222" w:lineRule="exact"/>
              <w:rPr>
                <w:sz w:val="20"/>
                <w:szCs w:val="20"/>
                <w:color w:val="auto"/>
              </w:rPr>
            </w:pPr>
            <w:r>
              <w:rPr>
                <w:rFonts w:ascii="Times New Roman" w:cs="Times New Roman" w:eastAsia="Times New Roman" w:hAnsi="Times New Roman"/>
                <w:sz w:val="22"/>
                <w:szCs w:val="22"/>
                <w:b w:val="1"/>
                <w:bCs w:val="1"/>
                <w:color w:val="auto"/>
              </w:rPr>
              <w:t>Milestone</w:t>
            </w:r>
          </w:p>
        </w:tc>
        <w:tc>
          <w:tcPr>
            <w:tcW w:w="440" w:type="dxa"/>
            <w:vAlign w:val="bottom"/>
            <w:tcBorders>
              <w:right w:val="single" w:sz="8" w:color="D9D9D9"/>
            </w:tcBorders>
            <w:shd w:val="clear" w:color="auto" w:fill="D9D9D9"/>
          </w:tcPr>
          <w:p>
            <w:pPr>
              <w:spacing w:after="0"/>
              <w:rPr>
                <w:sz w:val="19"/>
                <w:szCs w:val="19"/>
                <w:color w:val="auto"/>
              </w:rPr>
            </w:pPr>
          </w:p>
        </w:tc>
        <w:tc>
          <w:tcPr>
            <w:tcW w:w="760" w:type="dxa"/>
            <w:vAlign w:val="bottom"/>
            <w:shd w:val="clear" w:color="auto" w:fill="D9D9D9"/>
          </w:tcPr>
          <w:p>
            <w:pPr>
              <w:spacing w:after="0"/>
              <w:rPr>
                <w:sz w:val="19"/>
                <w:szCs w:val="19"/>
                <w:color w:val="auto"/>
              </w:rPr>
            </w:pPr>
          </w:p>
        </w:tc>
        <w:tc>
          <w:tcPr>
            <w:tcW w:w="5620" w:type="dxa"/>
            <w:vAlign w:val="bottom"/>
            <w:tcBorders>
              <w:right w:val="single" w:sz="8" w:color="auto"/>
            </w:tcBorders>
            <w:vMerge w:val="restart"/>
            <w:shd w:val="clear" w:color="auto" w:fill="D9D9D9"/>
          </w:tcPr>
          <w:p>
            <w:pPr>
              <w:ind w:left="520"/>
              <w:spacing w:after="0"/>
              <w:rPr>
                <w:sz w:val="20"/>
                <w:szCs w:val="20"/>
                <w:color w:val="auto"/>
              </w:rPr>
            </w:pPr>
            <w:r>
              <w:rPr>
                <w:rFonts w:ascii="Times New Roman" w:cs="Times New Roman" w:eastAsia="Times New Roman" w:hAnsi="Times New Roman"/>
                <w:sz w:val="22"/>
                <w:szCs w:val="22"/>
                <w:b w:val="1"/>
                <w:bCs w:val="1"/>
                <w:color w:val="auto"/>
              </w:rPr>
              <w:t>Early Development Milestone Event</w:t>
            </w:r>
          </w:p>
        </w:tc>
        <w:tc>
          <w:tcPr>
            <w:tcW w:w="2620" w:type="dxa"/>
            <w:vAlign w:val="bottom"/>
            <w:tcBorders>
              <w:right w:val="single" w:sz="8" w:color="D9D9D9"/>
            </w:tcBorders>
            <w:shd w:val="clear" w:color="auto" w:fill="D9D9D9"/>
          </w:tcPr>
          <w:p>
            <w:pPr>
              <w:jc w:val="center"/>
              <w:spacing w:after="0" w:line="222" w:lineRule="exact"/>
              <w:rPr>
                <w:sz w:val="20"/>
                <w:szCs w:val="20"/>
                <w:color w:val="auto"/>
              </w:rPr>
            </w:pPr>
            <w:r>
              <w:rPr>
                <w:rFonts w:ascii="Times New Roman" w:cs="Times New Roman" w:eastAsia="Times New Roman" w:hAnsi="Times New Roman"/>
                <w:sz w:val="22"/>
                <w:szCs w:val="22"/>
                <w:b w:val="1"/>
                <w:bCs w:val="1"/>
                <w:color w:val="auto"/>
                <w:w w:val="98"/>
              </w:rPr>
              <w:t>Early Development</w:t>
            </w:r>
          </w:p>
        </w:tc>
        <w:tc>
          <w:tcPr>
            <w:tcW w:w="100" w:type="dxa"/>
            <w:vAlign w:val="bottom"/>
            <w:tcBorders>
              <w:left w:val="single" w:sz="8" w:color="D9D9D9"/>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60" w:type="dxa"/>
            <w:vAlign w:val="bottom"/>
            <w:tcBorders>
              <w:left w:val="single" w:sz="8" w:color="D9D9D9"/>
              <w:right w:val="single" w:sz="8" w:color="D9D9D9"/>
            </w:tcBorders>
            <w:shd w:val="clear" w:color="auto" w:fill="D9D9D9"/>
          </w:tcPr>
          <w:p>
            <w:pPr>
              <w:spacing w:after="0"/>
              <w:rPr>
                <w:sz w:val="14"/>
                <w:szCs w:val="14"/>
                <w:color w:val="auto"/>
              </w:rPr>
            </w:pPr>
          </w:p>
        </w:tc>
        <w:tc>
          <w:tcPr>
            <w:tcW w:w="1420" w:type="dxa"/>
            <w:vAlign w:val="bottom"/>
            <w:tcBorders>
              <w:right w:val="single" w:sz="8" w:color="auto"/>
            </w:tcBorders>
            <w:vMerge w:val="restart"/>
            <w:shd w:val="clear" w:color="auto" w:fill="D9D9D9"/>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Number</w:t>
            </w:r>
          </w:p>
        </w:tc>
        <w:tc>
          <w:tcPr>
            <w:tcW w:w="440" w:type="dxa"/>
            <w:vAlign w:val="bottom"/>
            <w:tcBorders>
              <w:right w:val="single" w:sz="8" w:color="D9D9D9"/>
            </w:tcBorders>
            <w:shd w:val="clear" w:color="auto" w:fill="D9D9D9"/>
          </w:tcPr>
          <w:p>
            <w:pPr>
              <w:spacing w:after="0"/>
              <w:rPr>
                <w:sz w:val="14"/>
                <w:szCs w:val="14"/>
                <w:color w:val="auto"/>
              </w:rPr>
            </w:pPr>
          </w:p>
        </w:tc>
        <w:tc>
          <w:tcPr>
            <w:tcW w:w="760" w:type="dxa"/>
            <w:vAlign w:val="bottom"/>
            <w:shd w:val="clear" w:color="auto" w:fill="D9D9D9"/>
          </w:tcPr>
          <w:p>
            <w:pPr>
              <w:spacing w:after="0"/>
              <w:rPr>
                <w:sz w:val="14"/>
                <w:szCs w:val="14"/>
                <w:color w:val="auto"/>
              </w:rPr>
            </w:pPr>
          </w:p>
        </w:tc>
        <w:tc>
          <w:tcPr>
            <w:tcW w:w="5620" w:type="dxa"/>
            <w:vAlign w:val="bottom"/>
            <w:tcBorders>
              <w:right w:val="single" w:sz="8" w:color="auto"/>
            </w:tcBorders>
            <w:vMerge w:val="continue"/>
            <w:shd w:val="clear" w:color="auto" w:fill="D9D9D9"/>
          </w:tcPr>
          <w:p>
            <w:pPr>
              <w:spacing w:after="0"/>
              <w:rPr>
                <w:sz w:val="14"/>
                <w:szCs w:val="14"/>
                <w:color w:val="auto"/>
              </w:rPr>
            </w:pPr>
          </w:p>
        </w:tc>
        <w:tc>
          <w:tcPr>
            <w:tcW w:w="2720" w:type="dxa"/>
            <w:vAlign w:val="bottom"/>
            <w:tcBorders>
              <w:right w:val="single" w:sz="8" w:color="auto"/>
            </w:tcBorders>
            <w:gridSpan w:val="2"/>
            <w:vMerge w:val="restart"/>
            <w:shd w:val="clear" w:color="auto" w:fill="D9D9D9"/>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Milestone Payment</w:t>
            </w:r>
          </w:p>
        </w:tc>
        <w:tc>
          <w:tcPr>
            <w:tcW w:w="0" w:type="dxa"/>
            <w:vAlign w:val="bottom"/>
          </w:tcPr>
          <w:p>
            <w:pPr>
              <w:spacing w:after="0"/>
              <w:rPr>
                <w:sz w:val="1"/>
                <w:szCs w:val="1"/>
                <w:color w:val="auto"/>
              </w:rPr>
            </w:pPr>
          </w:p>
        </w:tc>
      </w:tr>
      <w:tr>
        <w:trPr>
          <w:trHeight w:val="122"/>
        </w:trPr>
        <w:tc>
          <w:tcPr>
            <w:tcW w:w="160" w:type="dxa"/>
            <w:vAlign w:val="bottom"/>
            <w:tcBorders>
              <w:left w:val="single" w:sz="8" w:color="D9D9D9"/>
              <w:bottom w:val="single" w:sz="8" w:color="auto"/>
              <w:right w:val="single" w:sz="8" w:color="D9D9D9"/>
            </w:tcBorders>
            <w:shd w:val="clear" w:color="auto" w:fill="D9D9D9"/>
          </w:tcPr>
          <w:p>
            <w:pPr>
              <w:spacing w:after="0"/>
              <w:rPr>
                <w:sz w:val="10"/>
                <w:szCs w:val="10"/>
                <w:color w:val="auto"/>
              </w:rPr>
            </w:pPr>
          </w:p>
        </w:tc>
        <w:tc>
          <w:tcPr>
            <w:tcW w:w="142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440" w:type="dxa"/>
            <w:vAlign w:val="bottom"/>
            <w:tcBorders>
              <w:bottom w:val="single" w:sz="8" w:color="auto"/>
              <w:right w:val="single" w:sz="8" w:color="D9D9D9"/>
            </w:tcBorders>
            <w:shd w:val="clear" w:color="auto" w:fill="D9D9D9"/>
          </w:tcPr>
          <w:p>
            <w:pPr>
              <w:spacing w:after="0"/>
              <w:rPr>
                <w:sz w:val="10"/>
                <w:szCs w:val="10"/>
                <w:color w:val="auto"/>
              </w:rPr>
            </w:pPr>
          </w:p>
        </w:tc>
        <w:tc>
          <w:tcPr>
            <w:tcW w:w="760" w:type="dxa"/>
            <w:vAlign w:val="bottom"/>
            <w:tcBorders>
              <w:bottom w:val="single" w:sz="8" w:color="auto"/>
            </w:tcBorders>
            <w:shd w:val="clear" w:color="auto" w:fill="D9D9D9"/>
          </w:tcPr>
          <w:p>
            <w:pPr>
              <w:spacing w:after="0"/>
              <w:rPr>
                <w:sz w:val="10"/>
                <w:szCs w:val="10"/>
                <w:color w:val="auto"/>
              </w:rPr>
            </w:pPr>
          </w:p>
        </w:tc>
        <w:tc>
          <w:tcPr>
            <w:tcW w:w="5620" w:type="dxa"/>
            <w:vAlign w:val="bottom"/>
            <w:tcBorders>
              <w:bottom w:val="single" w:sz="8" w:color="auto"/>
              <w:right w:val="single" w:sz="8" w:color="auto"/>
            </w:tcBorders>
            <w:shd w:val="clear" w:color="auto" w:fill="D9D9D9"/>
          </w:tcPr>
          <w:p>
            <w:pPr>
              <w:spacing w:after="0"/>
              <w:rPr>
                <w:sz w:val="10"/>
                <w:szCs w:val="10"/>
                <w:color w:val="auto"/>
              </w:rPr>
            </w:pPr>
          </w:p>
        </w:tc>
        <w:tc>
          <w:tcPr>
            <w:tcW w:w="2720" w:type="dxa"/>
            <w:vAlign w:val="bottom"/>
            <w:tcBorders>
              <w:bottom w:val="single" w:sz="8" w:color="auto"/>
              <w:right w:val="single" w:sz="8" w:color="auto"/>
            </w:tcBorders>
            <w:gridSpan w:val="2"/>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1580" w:type="dxa"/>
            <w:vAlign w:val="bottom"/>
            <w:tcBorders>
              <w:right w:val="single" w:sz="8" w:color="auto"/>
            </w:tcBorders>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w:t>
            </w:r>
          </w:p>
        </w:tc>
        <w:tc>
          <w:tcPr>
            <w:tcW w:w="5620" w:type="dxa"/>
            <w:vAlign w:val="bottom"/>
            <w:tcBorders>
              <w:right w:val="single" w:sz="8" w:color="auto"/>
            </w:tcBorders>
          </w:tcPr>
          <w:p>
            <w:pPr>
              <w:spacing w:after="0"/>
              <w:rPr>
                <w:sz w:val="24"/>
                <w:szCs w:val="24"/>
                <w:color w:val="auto"/>
              </w:rPr>
            </w:pPr>
          </w:p>
        </w:tc>
        <w:tc>
          <w:tcPr>
            <w:tcW w:w="262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1580" w:type="dxa"/>
            <w:vAlign w:val="bottom"/>
            <w:tcBorders>
              <w:right w:val="single" w:sz="8" w:color="auto"/>
            </w:tcBorders>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w:t>
            </w:r>
          </w:p>
        </w:tc>
        <w:tc>
          <w:tcPr>
            <w:tcW w:w="5620" w:type="dxa"/>
            <w:vAlign w:val="bottom"/>
            <w:tcBorders>
              <w:right w:val="single" w:sz="8" w:color="auto"/>
            </w:tcBorders>
          </w:tcPr>
          <w:p>
            <w:pPr>
              <w:spacing w:after="0"/>
              <w:rPr>
                <w:sz w:val="24"/>
                <w:szCs w:val="24"/>
                <w:color w:val="auto"/>
              </w:rPr>
            </w:pPr>
          </w:p>
        </w:tc>
        <w:tc>
          <w:tcPr>
            <w:tcW w:w="262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1580" w:type="dxa"/>
            <w:vAlign w:val="bottom"/>
            <w:tcBorders>
              <w:right w:val="single" w:sz="8" w:color="auto"/>
            </w:tcBorders>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w:t>
            </w:r>
          </w:p>
        </w:tc>
        <w:tc>
          <w:tcPr>
            <w:tcW w:w="5620" w:type="dxa"/>
            <w:vAlign w:val="bottom"/>
            <w:tcBorders>
              <w:right w:val="single" w:sz="8" w:color="auto"/>
            </w:tcBorders>
          </w:tcPr>
          <w:p>
            <w:pPr>
              <w:spacing w:after="0"/>
              <w:rPr>
                <w:sz w:val="24"/>
                <w:szCs w:val="24"/>
                <w:color w:val="auto"/>
              </w:rPr>
            </w:pPr>
          </w:p>
        </w:tc>
        <w:tc>
          <w:tcPr>
            <w:tcW w:w="262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1580" w:type="dxa"/>
            <w:vAlign w:val="bottom"/>
            <w:tcBorders>
              <w:right w:val="single" w:sz="8" w:color="auto"/>
            </w:tcBorders>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w:t>
            </w:r>
          </w:p>
        </w:tc>
        <w:tc>
          <w:tcPr>
            <w:tcW w:w="5620" w:type="dxa"/>
            <w:vAlign w:val="bottom"/>
            <w:tcBorders>
              <w:right w:val="single" w:sz="8" w:color="auto"/>
            </w:tcBorders>
          </w:tcPr>
          <w:p>
            <w:pPr>
              <w:spacing w:after="0"/>
              <w:rPr>
                <w:sz w:val="24"/>
                <w:szCs w:val="24"/>
                <w:color w:val="auto"/>
              </w:rPr>
            </w:pPr>
          </w:p>
        </w:tc>
        <w:tc>
          <w:tcPr>
            <w:tcW w:w="262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1580" w:type="dxa"/>
            <w:vAlign w:val="bottom"/>
            <w:tcBorders>
              <w:right w:val="single" w:sz="8" w:color="auto"/>
            </w:tcBorders>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w:t>
            </w:r>
          </w:p>
        </w:tc>
        <w:tc>
          <w:tcPr>
            <w:tcW w:w="5620" w:type="dxa"/>
            <w:vAlign w:val="bottom"/>
            <w:tcBorders>
              <w:right w:val="single" w:sz="8" w:color="auto"/>
            </w:tcBorders>
          </w:tcPr>
          <w:p>
            <w:pPr>
              <w:spacing w:after="0"/>
              <w:rPr>
                <w:sz w:val="24"/>
                <w:szCs w:val="24"/>
                <w:color w:val="auto"/>
              </w:rPr>
            </w:pPr>
          </w:p>
        </w:tc>
        <w:tc>
          <w:tcPr>
            <w:tcW w:w="262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16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60" w:type="dxa"/>
            <w:vAlign w:val="bottom"/>
            <w:tcBorders>
              <w:right w:val="single" w:sz="8" w:color="auto"/>
            </w:tcBorders>
          </w:tcPr>
          <w:p>
            <w:pPr>
              <w:spacing w:after="0"/>
              <w:rPr>
                <w:sz w:val="24"/>
                <w:szCs w:val="24"/>
                <w:color w:val="auto"/>
              </w:rPr>
            </w:pPr>
          </w:p>
        </w:tc>
        <w:tc>
          <w:tcPr>
            <w:tcW w:w="1420" w:type="dxa"/>
            <w:vAlign w:val="bottom"/>
            <w:tcBorders>
              <w:right w:val="single" w:sz="8" w:color="D9D9D9"/>
            </w:tcBorders>
            <w:shd w:val="clear" w:color="auto" w:fill="D9D9D9"/>
          </w:tcPr>
          <w:p>
            <w:pPr>
              <w:spacing w:after="0"/>
              <w:rPr>
                <w:sz w:val="24"/>
                <w:szCs w:val="24"/>
                <w:color w:val="auto"/>
              </w:rPr>
            </w:pPr>
          </w:p>
        </w:tc>
        <w:tc>
          <w:tcPr>
            <w:tcW w:w="440" w:type="dxa"/>
            <w:vAlign w:val="bottom"/>
            <w:tcBorders>
              <w:right w:val="single" w:sz="8" w:color="D9D9D9"/>
            </w:tcBorders>
            <w:shd w:val="clear" w:color="auto" w:fill="D9D9D9"/>
          </w:tcPr>
          <w:p>
            <w:pPr>
              <w:spacing w:after="0"/>
              <w:rPr>
                <w:sz w:val="24"/>
                <w:szCs w:val="24"/>
                <w:color w:val="auto"/>
              </w:rPr>
            </w:pPr>
          </w:p>
        </w:tc>
        <w:tc>
          <w:tcPr>
            <w:tcW w:w="760" w:type="dxa"/>
            <w:vAlign w:val="bottom"/>
            <w:shd w:val="clear" w:color="auto" w:fill="D9D9D9"/>
          </w:tcPr>
          <w:p>
            <w:pPr>
              <w:spacing w:after="0"/>
              <w:rPr>
                <w:sz w:val="24"/>
                <w:szCs w:val="24"/>
                <w:color w:val="auto"/>
              </w:rPr>
            </w:pPr>
          </w:p>
        </w:tc>
        <w:tc>
          <w:tcPr>
            <w:tcW w:w="5620" w:type="dxa"/>
            <w:vAlign w:val="bottom"/>
            <w:tcBorders>
              <w:right w:val="single" w:sz="8" w:color="D9D9D9"/>
            </w:tcBorders>
            <w:shd w:val="clear" w:color="auto" w:fill="D9D9D9"/>
          </w:tcPr>
          <w:p>
            <w:pPr>
              <w:ind w:left="200"/>
              <w:spacing w:after="0"/>
              <w:rPr>
                <w:sz w:val="20"/>
                <w:szCs w:val="20"/>
                <w:color w:val="auto"/>
              </w:rPr>
            </w:pPr>
            <w:r>
              <w:rPr>
                <w:rFonts w:ascii="Times New Roman" w:cs="Times New Roman" w:eastAsia="Times New Roman" w:hAnsi="Times New Roman"/>
                <w:sz w:val="22"/>
                <w:szCs w:val="22"/>
                <w:b w:val="1"/>
                <w:bCs w:val="1"/>
                <w:color w:val="auto"/>
              </w:rPr>
              <w:t>Collaboration Target 2 – Early Development Milestones</w:t>
            </w:r>
          </w:p>
        </w:tc>
        <w:tc>
          <w:tcPr>
            <w:tcW w:w="2620" w:type="dxa"/>
            <w:vAlign w:val="bottom"/>
            <w:tcBorders>
              <w:right w:val="single" w:sz="8" w:color="auto"/>
            </w:tcBorders>
            <w:shd w:val="clear" w:color="auto" w:fill="D9D9D9"/>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1420" w:type="dxa"/>
            <w:vAlign w:val="bottom"/>
            <w:tcBorders>
              <w:bottom w:val="single" w:sz="8" w:color="auto"/>
              <w:right w:val="single" w:sz="8" w:color="D9D9D9"/>
            </w:tcBorders>
            <w:shd w:val="clear" w:color="auto" w:fill="D9D9D9"/>
          </w:tcPr>
          <w:p>
            <w:pPr>
              <w:spacing w:after="0"/>
              <w:rPr>
                <w:sz w:val="5"/>
                <w:szCs w:val="5"/>
                <w:color w:val="auto"/>
              </w:rPr>
            </w:pPr>
          </w:p>
        </w:tc>
        <w:tc>
          <w:tcPr>
            <w:tcW w:w="440" w:type="dxa"/>
            <w:vAlign w:val="bottom"/>
            <w:tcBorders>
              <w:bottom w:val="single" w:sz="8" w:color="auto"/>
              <w:right w:val="single" w:sz="8" w:color="D9D9D9"/>
            </w:tcBorders>
            <w:shd w:val="clear" w:color="auto" w:fill="D9D9D9"/>
          </w:tcPr>
          <w:p>
            <w:pPr>
              <w:spacing w:after="0"/>
              <w:rPr>
                <w:sz w:val="5"/>
                <w:szCs w:val="5"/>
                <w:color w:val="auto"/>
              </w:rPr>
            </w:pPr>
          </w:p>
        </w:tc>
        <w:tc>
          <w:tcPr>
            <w:tcW w:w="760" w:type="dxa"/>
            <w:vAlign w:val="bottom"/>
            <w:tcBorders>
              <w:bottom w:val="single" w:sz="8" w:color="auto"/>
            </w:tcBorders>
            <w:shd w:val="clear" w:color="auto" w:fill="D9D9D9"/>
          </w:tcPr>
          <w:p>
            <w:pPr>
              <w:spacing w:after="0"/>
              <w:rPr>
                <w:sz w:val="5"/>
                <w:szCs w:val="5"/>
                <w:color w:val="auto"/>
              </w:rPr>
            </w:pPr>
          </w:p>
        </w:tc>
        <w:tc>
          <w:tcPr>
            <w:tcW w:w="5620" w:type="dxa"/>
            <w:vAlign w:val="bottom"/>
            <w:tcBorders>
              <w:bottom w:val="single" w:sz="8" w:color="auto"/>
              <w:right w:val="single" w:sz="8" w:color="D9D9D9"/>
            </w:tcBorders>
            <w:shd w:val="clear" w:color="auto" w:fill="D9D9D9"/>
          </w:tcPr>
          <w:p>
            <w:pPr>
              <w:spacing w:after="0"/>
              <w:rPr>
                <w:sz w:val="5"/>
                <w:szCs w:val="5"/>
                <w:color w:val="auto"/>
              </w:rPr>
            </w:pPr>
          </w:p>
        </w:tc>
        <w:tc>
          <w:tcPr>
            <w:tcW w:w="2620" w:type="dxa"/>
            <w:vAlign w:val="bottom"/>
            <w:tcBorders>
              <w:bottom w:val="single" w:sz="8" w:color="auto"/>
              <w:right w:val="single" w:sz="8" w:color="auto"/>
            </w:tcBorders>
            <w:shd w:val="clear" w:color="auto" w:fill="D9D9D9"/>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60" w:type="dxa"/>
            <w:vAlign w:val="bottom"/>
            <w:tcBorders>
              <w:right w:val="single" w:sz="8" w:color="auto"/>
            </w:tcBorders>
          </w:tcPr>
          <w:p>
            <w:pPr>
              <w:spacing w:after="0"/>
              <w:rPr>
                <w:sz w:val="19"/>
                <w:szCs w:val="19"/>
                <w:color w:val="auto"/>
              </w:rPr>
            </w:pPr>
          </w:p>
        </w:tc>
        <w:tc>
          <w:tcPr>
            <w:tcW w:w="1420" w:type="dxa"/>
            <w:vAlign w:val="bottom"/>
            <w:tcBorders>
              <w:right w:val="single" w:sz="8" w:color="D9D9D9"/>
            </w:tcBorders>
            <w:shd w:val="clear" w:color="auto" w:fill="D9D9D9"/>
          </w:tcPr>
          <w:p>
            <w:pPr>
              <w:jc w:val="right"/>
              <w:spacing w:after="0" w:line="222" w:lineRule="exact"/>
              <w:rPr>
                <w:sz w:val="20"/>
                <w:szCs w:val="20"/>
                <w:color w:val="auto"/>
              </w:rPr>
            </w:pPr>
            <w:r>
              <w:rPr>
                <w:rFonts w:ascii="Times New Roman" w:cs="Times New Roman" w:eastAsia="Times New Roman" w:hAnsi="Times New Roman"/>
                <w:sz w:val="22"/>
                <w:szCs w:val="22"/>
                <w:b w:val="1"/>
                <w:bCs w:val="1"/>
                <w:color w:val="auto"/>
              </w:rPr>
              <w:t>Milestone</w:t>
            </w:r>
          </w:p>
        </w:tc>
        <w:tc>
          <w:tcPr>
            <w:tcW w:w="440" w:type="dxa"/>
            <w:vAlign w:val="bottom"/>
            <w:tcBorders>
              <w:right w:val="single" w:sz="8" w:color="auto"/>
            </w:tcBorders>
            <w:shd w:val="clear" w:color="auto" w:fill="D9D9D9"/>
          </w:tcPr>
          <w:p>
            <w:pPr>
              <w:spacing w:after="0"/>
              <w:rPr>
                <w:sz w:val="19"/>
                <w:szCs w:val="19"/>
                <w:color w:val="auto"/>
              </w:rPr>
            </w:pPr>
          </w:p>
        </w:tc>
        <w:tc>
          <w:tcPr>
            <w:tcW w:w="760" w:type="dxa"/>
            <w:vAlign w:val="bottom"/>
            <w:shd w:val="clear" w:color="auto" w:fill="D9D9D9"/>
          </w:tcPr>
          <w:p>
            <w:pPr>
              <w:spacing w:after="0"/>
              <w:rPr>
                <w:sz w:val="19"/>
                <w:szCs w:val="19"/>
                <w:color w:val="auto"/>
              </w:rPr>
            </w:pPr>
          </w:p>
        </w:tc>
        <w:tc>
          <w:tcPr>
            <w:tcW w:w="5620" w:type="dxa"/>
            <w:vAlign w:val="bottom"/>
            <w:tcBorders>
              <w:right w:val="single" w:sz="8" w:color="auto"/>
            </w:tcBorders>
            <w:vMerge w:val="restart"/>
            <w:shd w:val="clear" w:color="auto" w:fill="D9D9D9"/>
          </w:tcPr>
          <w:p>
            <w:pPr>
              <w:ind w:left="720"/>
              <w:spacing w:after="0"/>
              <w:rPr>
                <w:sz w:val="20"/>
                <w:szCs w:val="20"/>
                <w:color w:val="auto"/>
              </w:rPr>
            </w:pPr>
            <w:r>
              <w:rPr>
                <w:rFonts w:ascii="Times New Roman" w:cs="Times New Roman" w:eastAsia="Times New Roman" w:hAnsi="Times New Roman"/>
                <w:sz w:val="22"/>
                <w:szCs w:val="22"/>
                <w:b w:val="1"/>
                <w:bCs w:val="1"/>
                <w:color w:val="auto"/>
              </w:rPr>
              <w:t>Early Development Milestone Event</w:t>
            </w:r>
          </w:p>
        </w:tc>
        <w:tc>
          <w:tcPr>
            <w:tcW w:w="2620" w:type="dxa"/>
            <w:vAlign w:val="bottom"/>
            <w:tcBorders>
              <w:right w:val="single" w:sz="8" w:color="auto"/>
            </w:tcBorders>
            <w:shd w:val="clear" w:color="auto" w:fill="D9D9D9"/>
          </w:tcPr>
          <w:p>
            <w:pPr>
              <w:jc w:val="right"/>
              <w:ind w:right="372"/>
              <w:spacing w:after="0" w:line="222" w:lineRule="exact"/>
              <w:rPr>
                <w:sz w:val="20"/>
                <w:szCs w:val="20"/>
                <w:color w:val="auto"/>
              </w:rPr>
            </w:pPr>
            <w:r>
              <w:rPr>
                <w:rFonts w:ascii="Times New Roman" w:cs="Times New Roman" w:eastAsia="Times New Roman" w:hAnsi="Times New Roman"/>
                <w:sz w:val="22"/>
                <w:szCs w:val="22"/>
                <w:b w:val="1"/>
                <w:bCs w:val="1"/>
                <w:color w:val="auto"/>
              </w:rPr>
              <w:t>Early Development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60" w:type="dxa"/>
            <w:vAlign w:val="bottom"/>
            <w:tcBorders>
              <w:right w:val="single" w:sz="8" w:color="auto"/>
            </w:tcBorders>
          </w:tcPr>
          <w:p>
            <w:pPr>
              <w:spacing w:after="0"/>
              <w:rPr>
                <w:sz w:val="14"/>
                <w:szCs w:val="14"/>
                <w:color w:val="auto"/>
              </w:rPr>
            </w:pPr>
          </w:p>
        </w:tc>
        <w:tc>
          <w:tcPr>
            <w:tcW w:w="1420" w:type="dxa"/>
            <w:vAlign w:val="bottom"/>
            <w:tcBorders>
              <w:right w:val="single" w:sz="8" w:color="D9D9D9"/>
            </w:tcBorders>
            <w:vMerge w:val="restart"/>
            <w:shd w:val="clear" w:color="auto" w:fill="D9D9D9"/>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Number</w:t>
            </w:r>
          </w:p>
        </w:tc>
        <w:tc>
          <w:tcPr>
            <w:tcW w:w="440" w:type="dxa"/>
            <w:vAlign w:val="bottom"/>
            <w:tcBorders>
              <w:right w:val="single" w:sz="8" w:color="auto"/>
            </w:tcBorders>
            <w:shd w:val="clear" w:color="auto" w:fill="D9D9D9"/>
          </w:tcPr>
          <w:p>
            <w:pPr>
              <w:spacing w:after="0"/>
              <w:rPr>
                <w:sz w:val="14"/>
                <w:szCs w:val="14"/>
                <w:color w:val="auto"/>
              </w:rPr>
            </w:pPr>
          </w:p>
        </w:tc>
        <w:tc>
          <w:tcPr>
            <w:tcW w:w="760" w:type="dxa"/>
            <w:vAlign w:val="bottom"/>
            <w:shd w:val="clear" w:color="auto" w:fill="D9D9D9"/>
          </w:tcPr>
          <w:p>
            <w:pPr>
              <w:spacing w:after="0"/>
              <w:rPr>
                <w:sz w:val="14"/>
                <w:szCs w:val="14"/>
                <w:color w:val="auto"/>
              </w:rPr>
            </w:pPr>
          </w:p>
        </w:tc>
        <w:tc>
          <w:tcPr>
            <w:tcW w:w="5620" w:type="dxa"/>
            <w:vAlign w:val="bottom"/>
            <w:tcBorders>
              <w:right w:val="single" w:sz="8" w:color="auto"/>
            </w:tcBorders>
            <w:vMerge w:val="continue"/>
            <w:shd w:val="clear" w:color="auto" w:fill="D9D9D9"/>
          </w:tcPr>
          <w:p>
            <w:pPr>
              <w:spacing w:after="0"/>
              <w:rPr>
                <w:sz w:val="14"/>
                <w:szCs w:val="14"/>
                <w:color w:val="auto"/>
              </w:rPr>
            </w:pPr>
          </w:p>
        </w:tc>
        <w:tc>
          <w:tcPr>
            <w:tcW w:w="2620" w:type="dxa"/>
            <w:vAlign w:val="bottom"/>
            <w:tcBorders>
              <w:right w:val="single" w:sz="8" w:color="auto"/>
            </w:tcBorders>
            <w:vMerge w:val="restart"/>
            <w:shd w:val="clear" w:color="auto" w:fill="D9D9D9"/>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Milestone Payment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 w:type="dxa"/>
            <w:vAlign w:val="bottom"/>
            <w:tcBorders>
              <w:right w:val="single" w:sz="8" w:color="auto"/>
            </w:tcBorders>
          </w:tcPr>
          <w:p>
            <w:pPr>
              <w:spacing w:after="0"/>
              <w:rPr>
                <w:sz w:val="10"/>
                <w:szCs w:val="10"/>
                <w:color w:val="auto"/>
              </w:rPr>
            </w:pPr>
          </w:p>
        </w:tc>
        <w:tc>
          <w:tcPr>
            <w:tcW w:w="1420" w:type="dxa"/>
            <w:vAlign w:val="bottom"/>
            <w:tcBorders>
              <w:bottom w:val="single" w:sz="8" w:color="auto"/>
              <w:right w:val="single" w:sz="8" w:color="D9D9D9"/>
            </w:tcBorders>
            <w:vMerge w:val="continue"/>
            <w:shd w:val="clear" w:color="auto" w:fill="D9D9D9"/>
          </w:tcPr>
          <w:p>
            <w:pPr>
              <w:spacing w:after="0"/>
              <w:rPr>
                <w:sz w:val="10"/>
                <w:szCs w:val="10"/>
                <w:color w:val="auto"/>
              </w:rPr>
            </w:pPr>
          </w:p>
        </w:tc>
        <w:tc>
          <w:tcPr>
            <w:tcW w:w="440" w:type="dxa"/>
            <w:vAlign w:val="bottom"/>
            <w:tcBorders>
              <w:bottom w:val="single" w:sz="8" w:color="auto"/>
              <w:right w:val="single" w:sz="8" w:color="auto"/>
            </w:tcBorders>
            <w:shd w:val="clear" w:color="auto" w:fill="D9D9D9"/>
          </w:tcPr>
          <w:p>
            <w:pPr>
              <w:spacing w:after="0"/>
              <w:rPr>
                <w:sz w:val="10"/>
                <w:szCs w:val="10"/>
                <w:color w:val="auto"/>
              </w:rPr>
            </w:pPr>
          </w:p>
        </w:tc>
        <w:tc>
          <w:tcPr>
            <w:tcW w:w="760" w:type="dxa"/>
            <w:vAlign w:val="bottom"/>
            <w:tcBorders>
              <w:bottom w:val="single" w:sz="8" w:color="auto"/>
            </w:tcBorders>
            <w:shd w:val="clear" w:color="auto" w:fill="D9D9D9"/>
          </w:tcPr>
          <w:p>
            <w:pPr>
              <w:spacing w:after="0"/>
              <w:rPr>
                <w:sz w:val="10"/>
                <w:szCs w:val="10"/>
                <w:color w:val="auto"/>
              </w:rPr>
            </w:pPr>
          </w:p>
        </w:tc>
        <w:tc>
          <w:tcPr>
            <w:tcW w:w="5620" w:type="dxa"/>
            <w:vAlign w:val="bottom"/>
            <w:tcBorders>
              <w:bottom w:val="single" w:sz="8" w:color="auto"/>
              <w:right w:val="single" w:sz="8" w:color="auto"/>
            </w:tcBorders>
            <w:shd w:val="clear" w:color="auto" w:fill="D9D9D9"/>
          </w:tcPr>
          <w:p>
            <w:pPr>
              <w:spacing w:after="0"/>
              <w:rPr>
                <w:sz w:val="10"/>
                <w:szCs w:val="10"/>
                <w:color w:val="auto"/>
              </w:rPr>
            </w:pPr>
          </w:p>
        </w:tc>
        <w:tc>
          <w:tcPr>
            <w:tcW w:w="262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60" w:type="dxa"/>
            <w:vAlign w:val="bottom"/>
            <w:tcBorders>
              <w:right w:val="single" w:sz="8" w:color="auto"/>
            </w:tcBorders>
          </w:tcPr>
          <w:p>
            <w:pPr>
              <w:spacing w:after="0"/>
              <w:rPr>
                <w:sz w:val="24"/>
                <w:szCs w:val="24"/>
                <w:color w:val="auto"/>
              </w:rPr>
            </w:pPr>
          </w:p>
        </w:tc>
        <w:tc>
          <w:tcPr>
            <w:tcW w:w="14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Borders>
              <w:right w:val="single" w:sz="8" w:color="auto"/>
            </w:tcBorders>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562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jc w:val="right"/>
              <w:ind w:right="20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60" w:type="dxa"/>
            <w:vAlign w:val="bottom"/>
            <w:tcBorders>
              <w:right w:val="single" w:sz="8" w:color="auto"/>
            </w:tcBorders>
            <w:vMerge w:val="restart"/>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62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60" w:type="dxa"/>
            <w:vAlign w:val="bottom"/>
            <w:tcBorders>
              <w:right w:val="single" w:sz="8" w:color="auto"/>
            </w:tcBorders>
            <w:vMerge w:val="continue"/>
          </w:tcPr>
          <w:p>
            <w:pPr>
              <w:spacing w:after="0"/>
              <w:rPr>
                <w:sz w:val="23"/>
                <w:szCs w:val="23"/>
                <w:color w:val="auto"/>
              </w:rPr>
            </w:pPr>
          </w:p>
        </w:tc>
        <w:tc>
          <w:tcPr>
            <w:tcW w:w="14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Borders>
              <w:right w:val="single" w:sz="8" w:color="auto"/>
            </w:tcBorders>
          </w:tcPr>
          <w:p>
            <w:pPr>
              <w:spacing w:after="0"/>
              <w:rPr>
                <w:sz w:val="23"/>
                <w:szCs w:val="23"/>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5620" w:type="dxa"/>
            <w:vAlign w:val="bottom"/>
            <w:tcBorders>
              <w:right w:val="single" w:sz="8" w:color="auto"/>
            </w:tcBorders>
          </w:tcPr>
          <w:p>
            <w:pPr>
              <w:spacing w:after="0"/>
              <w:rPr>
                <w:sz w:val="23"/>
                <w:szCs w:val="23"/>
                <w:color w:val="auto"/>
              </w:rPr>
            </w:pPr>
          </w:p>
        </w:tc>
        <w:tc>
          <w:tcPr>
            <w:tcW w:w="2620" w:type="dxa"/>
            <w:vAlign w:val="bottom"/>
            <w:tcBorders>
              <w:right w:val="single" w:sz="8" w:color="auto"/>
            </w:tcBorders>
          </w:tcPr>
          <w:p>
            <w:pPr>
              <w:jc w:val="right"/>
              <w:ind w:right="20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60" w:type="dxa"/>
            <w:vAlign w:val="bottom"/>
            <w:tcBorders>
              <w:right w:val="single" w:sz="8" w:color="auto"/>
            </w:tcBorders>
            <w:vMerge w:val="restart"/>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62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60" w:type="dxa"/>
            <w:vAlign w:val="bottom"/>
            <w:tcBorders>
              <w:right w:val="single" w:sz="8" w:color="auto"/>
            </w:tcBorders>
            <w:vMerge w:val="continue"/>
          </w:tcPr>
          <w:p>
            <w:pPr>
              <w:spacing w:after="0"/>
              <w:rPr>
                <w:sz w:val="23"/>
                <w:szCs w:val="23"/>
                <w:color w:val="auto"/>
              </w:rPr>
            </w:pPr>
          </w:p>
        </w:tc>
        <w:tc>
          <w:tcPr>
            <w:tcW w:w="14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Borders>
              <w:right w:val="single" w:sz="8" w:color="auto"/>
            </w:tcBorders>
          </w:tcPr>
          <w:p>
            <w:pPr>
              <w:spacing w:after="0"/>
              <w:rPr>
                <w:sz w:val="23"/>
                <w:szCs w:val="23"/>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5620" w:type="dxa"/>
            <w:vAlign w:val="bottom"/>
            <w:tcBorders>
              <w:right w:val="single" w:sz="8" w:color="auto"/>
            </w:tcBorders>
          </w:tcPr>
          <w:p>
            <w:pPr>
              <w:spacing w:after="0"/>
              <w:rPr>
                <w:sz w:val="23"/>
                <w:szCs w:val="23"/>
                <w:color w:val="auto"/>
              </w:rPr>
            </w:pPr>
          </w:p>
        </w:tc>
        <w:tc>
          <w:tcPr>
            <w:tcW w:w="2620" w:type="dxa"/>
            <w:vAlign w:val="bottom"/>
            <w:tcBorders>
              <w:right w:val="single" w:sz="8" w:color="auto"/>
            </w:tcBorders>
          </w:tcPr>
          <w:p>
            <w:pPr>
              <w:jc w:val="right"/>
              <w:ind w:right="20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60" w:type="dxa"/>
            <w:vAlign w:val="bottom"/>
            <w:tcBorders>
              <w:right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620" w:type="dxa"/>
            <w:vAlign w:val="bottom"/>
            <w:tcBorders>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On a Collaboration Target-by-Collaboration Target basis, each of the Early Development Milestone Payments [***]. Further, in no event will the Early Development Milestone Payments with respect to [***] exceed [***], will the Early Development Milestone Payments with respect to [***] exceed [***], nor will the total Early Development Milestone Payments exceed [***].</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59" w:name="page260"/>
    <w:bookmarkEnd w:id="259"/>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jc w:val="both"/>
        <w:ind w:left="48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11.2.2 </w:t>
      </w:r>
      <w:r>
        <w:rPr>
          <w:rFonts w:ascii="Times New Roman" w:cs="Times New Roman" w:eastAsia="Times New Roman" w:hAnsi="Times New Roman"/>
          <w:sz w:val="22"/>
          <w:szCs w:val="22"/>
          <w:b w:val="1"/>
          <w:bCs w:val="1"/>
          <w:u w:val="single" w:color="auto"/>
          <w:color w:val="auto"/>
        </w:rPr>
        <w:t>Pre-POC Milestones</w:t>
      </w:r>
      <w:r>
        <w:rPr>
          <w:rFonts w:ascii="Times New Roman" w:cs="Times New Roman" w:eastAsia="Times New Roman" w:hAnsi="Times New Roman"/>
          <w:sz w:val="22"/>
          <w:szCs w:val="22"/>
          <w:color w:val="auto"/>
        </w:rPr>
        <w:t>. On a Collaboration Target-by-Collaboration Target basis, Sanofi will pay to Kymera the milestone payments (each a “</w:t>
      </w:r>
      <w:r>
        <w:rPr>
          <w:rFonts w:ascii="Times New Roman" w:cs="Times New Roman" w:eastAsia="Times New Roman" w:hAnsi="Times New Roman"/>
          <w:sz w:val="22"/>
          <w:szCs w:val="22"/>
          <w:b w:val="1"/>
          <w:bCs w:val="1"/>
          <w:color w:val="auto"/>
        </w:rPr>
        <w:t>Pre-POC Milestone Payment</w:t>
      </w:r>
      <w:r>
        <w:rPr>
          <w:rFonts w:ascii="Times New Roman" w:cs="Times New Roman" w:eastAsia="Times New Roman" w:hAnsi="Times New Roman"/>
          <w:sz w:val="22"/>
          <w:szCs w:val="22"/>
          <w:color w:val="auto"/>
        </w:rPr>
        <w:t xml:space="preserve">”) set forth in this </w:t>
      </w:r>
      <w:r>
        <w:rPr>
          <w:rFonts w:ascii="Times New Roman" w:cs="Times New Roman" w:eastAsia="Times New Roman" w:hAnsi="Times New Roman"/>
          <w:sz w:val="22"/>
          <w:szCs w:val="22"/>
          <w:u w:val="single" w:color="auto"/>
          <w:color w:val="auto"/>
        </w:rPr>
        <w:t>Section 11.2.2</w:t>
      </w:r>
      <w:r>
        <w:rPr>
          <w:rFonts w:ascii="Times New Roman" w:cs="Times New Roman" w:eastAsia="Times New Roman" w:hAnsi="Times New Roman"/>
          <w:sz w:val="22"/>
          <w:szCs w:val="22"/>
          <w:color w:val="auto"/>
        </w:rPr>
        <w:t xml:space="preserve"> upon the [***] (each a “</w:t>
      </w:r>
      <w:r>
        <w:rPr>
          <w:rFonts w:ascii="Times New Roman" w:cs="Times New Roman" w:eastAsia="Times New Roman" w:hAnsi="Times New Roman"/>
          <w:sz w:val="22"/>
          <w:szCs w:val="22"/>
          <w:b w:val="1"/>
          <w:bCs w:val="1"/>
          <w:color w:val="auto"/>
        </w:rPr>
        <w:t>Pre-POC Milestone Event</w:t>
      </w:r>
      <w:r>
        <w:rPr>
          <w:rFonts w:ascii="Times New Roman" w:cs="Times New Roman" w:eastAsia="Times New Roman" w:hAnsi="Times New Roman"/>
          <w:sz w:val="22"/>
          <w:szCs w:val="22"/>
          <w:color w:val="auto"/>
        </w:rPr>
        <w:t xml:space="preserve">”) with respect to a Licensed Product Directed Against such Collaboration Target in each case, subject to reductions pursuant to </w:t>
      </w:r>
      <w:r>
        <w:rPr>
          <w:rFonts w:ascii="Times New Roman" w:cs="Times New Roman" w:eastAsia="Times New Roman" w:hAnsi="Times New Roman"/>
          <w:sz w:val="22"/>
          <w:szCs w:val="22"/>
          <w:u w:val="single" w:color="auto"/>
          <w:color w:val="auto"/>
        </w:rPr>
        <w:t>Section 11.2.5</w:t>
      </w:r>
      <w:r>
        <w:rPr>
          <w:rFonts w:ascii="Times New Roman" w:cs="Times New Roman" w:eastAsia="Times New Roman" w:hAnsi="Times New Roman"/>
          <w:sz w:val="22"/>
          <w:szCs w:val="22"/>
          <w:color w:val="auto"/>
        </w:rPr>
        <w:t xml:space="preserve">. Each of the Pre-POC Milestone Payments for each Collaboration Target is payable [***], and no such Pre-POC Milestone Payment will be payable for [***]. Further, for the avoidance of doubt, with respect to [***], the Pre-POC Milestone Payments will be paid [***] under one of the following </w:t>
      </w:r>
      <w:r>
        <w:rPr>
          <w:rFonts w:ascii="Times New Roman" w:cs="Times New Roman" w:eastAsia="Times New Roman" w:hAnsi="Times New Roman"/>
          <w:sz w:val="22"/>
          <w:szCs w:val="22"/>
          <w:u w:val="single" w:color="auto"/>
          <w:color w:val="auto"/>
        </w:rPr>
        <w:t>Sections 11.2.2(a)(i)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11.2.2(a)(ii)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11.2.2(a)(iii)</w:t>
      </w:r>
      <w:r>
        <w:rPr>
          <w:rFonts w:ascii="Times New Roman" w:cs="Times New Roman" w:eastAsia="Times New Roman" w:hAnsi="Times New Roman"/>
          <w:sz w:val="22"/>
          <w:szCs w:val="22"/>
          <w:color w:val="auto"/>
        </w:rPr>
        <w:t xml:space="preserve"> based on the nature of [***].</w:t>
      </w:r>
    </w:p>
    <w:p>
      <w:pPr>
        <w:spacing w:after="0" w:line="176" w:lineRule="exact"/>
        <w:rPr>
          <w:sz w:val="20"/>
          <w:szCs w:val="20"/>
          <w:color w:val="auto"/>
        </w:rPr>
      </w:pPr>
    </w:p>
    <w:p>
      <w:pPr>
        <w:ind w:left="2680" w:hanging="426"/>
        <w:spacing w:after="0"/>
        <w:tabs>
          <w:tab w:leader="none" w:pos="26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Pre-POC Milestones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26" w:lineRule="exact"/>
        <w:rPr>
          <w:rFonts w:ascii="Times New Roman" w:cs="Times New Roman" w:eastAsia="Times New Roman" w:hAnsi="Times New Roman"/>
          <w:sz w:val="22"/>
          <w:szCs w:val="22"/>
          <w:color w:val="auto"/>
        </w:rPr>
      </w:pPr>
    </w:p>
    <w:p>
      <w:pPr>
        <w:jc w:val="both"/>
        <w:ind w:right="20" w:firstLine="3003"/>
        <w:spacing w:after="0" w:line="244" w:lineRule="auto"/>
        <w:tabs>
          <w:tab w:leader="none" w:pos="3427"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first Clinical Trial for a Licensed Product [***] conducted after the Initiation of the Kymera Existing Phase 1 Clinical Trial (A) </w:t>
      </w:r>
      <w:r>
        <w:rPr>
          <w:rFonts w:ascii="Times New Roman" w:cs="Times New Roman" w:eastAsia="Times New Roman" w:hAnsi="Times New Roman"/>
          <w:sz w:val="22"/>
          <w:szCs w:val="22"/>
          <w:i w:val="1"/>
          <w:iCs w:val="1"/>
          <w:color w:val="auto"/>
        </w:rPr>
        <w:t>does not</w:t>
      </w:r>
      <w:r>
        <w:rPr>
          <w:rFonts w:ascii="Times New Roman" w:cs="Times New Roman" w:eastAsia="Times New Roman" w:hAnsi="Times New Roman"/>
          <w:sz w:val="22"/>
          <w:szCs w:val="22"/>
          <w:color w:val="auto"/>
        </w:rPr>
        <w:t xml:space="preserve"> contain [***] and (B) is a [***], then the following Pre-POC Milestone Payments shall be paid.</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376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Milestone Event</w:t>
            </w:r>
          </w:p>
        </w:tc>
        <w:tc>
          <w:tcPr>
            <w:tcW w:w="740" w:type="dxa"/>
            <w:vAlign w:val="bottom"/>
            <w:tcBorders>
              <w:top w:val="single" w:sz="8" w:color="auto"/>
            </w:tcBorders>
            <w:shd w:val="clear" w:color="auto" w:fill="D9D9D9"/>
          </w:tcPr>
          <w:p>
            <w:pPr>
              <w:spacing w:after="0"/>
              <w:rPr>
                <w:sz w:val="24"/>
                <w:szCs w:val="24"/>
                <w:color w:val="auto"/>
              </w:rPr>
            </w:pPr>
          </w:p>
        </w:tc>
        <w:tc>
          <w:tcPr>
            <w:tcW w:w="3580" w:type="dxa"/>
            <w:vAlign w:val="bottom"/>
            <w:tcBorders>
              <w:top w:val="single" w:sz="8" w:color="auto"/>
              <w:right w:val="single" w:sz="8" w:color="auto"/>
            </w:tcBorders>
            <w:shd w:val="clear" w:color="auto" w:fill="D9D9D9"/>
          </w:tcPr>
          <w:p>
            <w:pPr>
              <w:ind w:left="200"/>
              <w:spacing w:after="0"/>
              <w:rPr>
                <w:sz w:val="20"/>
                <w:szCs w:val="20"/>
                <w:color w:val="auto"/>
              </w:rPr>
            </w:pPr>
            <w:r>
              <w:rPr>
                <w:rFonts w:ascii="Times New Roman" w:cs="Times New Roman" w:eastAsia="Times New Roman" w:hAnsi="Times New Roman"/>
                <w:sz w:val="22"/>
                <w:szCs w:val="22"/>
                <w:b w:val="1"/>
                <w:bCs w:val="1"/>
                <w:color w:val="auto"/>
              </w:rPr>
              <w:t>Pre-POC Milestone Event</w:t>
            </w:r>
          </w:p>
        </w:tc>
        <w:tc>
          <w:tcPr>
            <w:tcW w:w="3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Pre-POC Milestone Payment</w:t>
            </w:r>
          </w:p>
        </w:tc>
      </w:tr>
      <w:tr>
        <w:trPr>
          <w:trHeight w:val="132"/>
        </w:trPr>
        <w:tc>
          <w:tcPr>
            <w:tcW w:w="376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740" w:type="dxa"/>
            <w:vAlign w:val="bottom"/>
            <w:tcBorders>
              <w:bottom w:val="single" w:sz="8" w:color="auto"/>
            </w:tcBorders>
            <w:shd w:val="clear" w:color="auto" w:fill="D9D9D9"/>
          </w:tcPr>
          <w:p>
            <w:pPr>
              <w:spacing w:after="0"/>
              <w:rPr>
                <w:sz w:val="11"/>
                <w:szCs w:val="11"/>
                <w:color w:val="auto"/>
              </w:rPr>
            </w:pPr>
          </w:p>
        </w:tc>
        <w:tc>
          <w:tcPr>
            <w:tcW w:w="3580" w:type="dxa"/>
            <w:vAlign w:val="bottom"/>
            <w:tcBorders>
              <w:bottom w:val="single" w:sz="8" w:color="auto"/>
              <w:right w:val="single" w:sz="8" w:color="auto"/>
            </w:tcBorders>
            <w:shd w:val="clear" w:color="auto" w:fill="D9D9D9"/>
          </w:tcPr>
          <w:p>
            <w:pPr>
              <w:spacing w:after="0"/>
              <w:rPr>
                <w:sz w:val="11"/>
                <w:szCs w:val="11"/>
                <w:color w:val="auto"/>
              </w:rPr>
            </w:pPr>
          </w:p>
        </w:tc>
        <w:tc>
          <w:tcPr>
            <w:tcW w:w="3160" w:type="dxa"/>
            <w:vAlign w:val="bottom"/>
            <w:tcBorders>
              <w:bottom w:val="single" w:sz="8" w:color="auto"/>
              <w:right w:val="single" w:sz="8" w:color="auto"/>
            </w:tcBorders>
            <w:shd w:val="clear" w:color="auto" w:fill="D9D9D9"/>
          </w:tcPr>
          <w:p>
            <w:pPr>
              <w:spacing w:after="0"/>
              <w:rPr>
                <w:sz w:val="11"/>
                <w:szCs w:val="11"/>
                <w:color w:val="auto"/>
              </w:rPr>
            </w:pPr>
          </w:p>
        </w:tc>
      </w:tr>
      <w:tr>
        <w:trPr>
          <w:trHeight w:val="262"/>
        </w:trPr>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3580" w:type="dxa"/>
            <w:vAlign w:val="bottom"/>
            <w:tcBorders>
              <w:right w:val="single" w:sz="8" w:color="auto"/>
            </w:tcBorders>
          </w:tcPr>
          <w:p>
            <w:pPr>
              <w:spacing w:after="0"/>
              <w:rPr>
                <w:sz w:val="22"/>
                <w:szCs w:val="22"/>
                <w:color w:val="auto"/>
              </w:rPr>
            </w:pP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133"/>
        </w:trPr>
        <w:tc>
          <w:tcPr>
            <w:tcW w:w="376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c>
          <w:tcPr>
            <w:tcW w:w="3160" w:type="dxa"/>
            <w:vAlign w:val="bottom"/>
            <w:tcBorders>
              <w:bottom w:val="single" w:sz="8" w:color="auto"/>
              <w:right w:val="single" w:sz="8" w:color="auto"/>
            </w:tcBorders>
          </w:tcPr>
          <w:p>
            <w:pPr>
              <w:spacing w:after="0"/>
              <w:rPr>
                <w:sz w:val="11"/>
                <w:szCs w:val="11"/>
                <w:color w:val="auto"/>
              </w:rPr>
            </w:pPr>
          </w:p>
        </w:tc>
      </w:tr>
      <w:tr>
        <w:trPr>
          <w:trHeight w:val="276"/>
        </w:trPr>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3580" w:type="dxa"/>
            <w:vAlign w:val="bottom"/>
            <w:tcBorders>
              <w:right w:val="single" w:sz="8" w:color="auto"/>
            </w:tcBorders>
          </w:tcPr>
          <w:p>
            <w:pPr>
              <w:spacing w:after="0"/>
              <w:rPr>
                <w:sz w:val="23"/>
                <w:szCs w:val="23"/>
                <w:color w:val="auto"/>
              </w:rPr>
            </w:pP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136"/>
        </w:trPr>
        <w:tc>
          <w:tcPr>
            <w:tcW w:w="376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c>
          <w:tcPr>
            <w:tcW w:w="3160" w:type="dxa"/>
            <w:vAlign w:val="bottom"/>
            <w:tcBorders>
              <w:bottom w:val="single" w:sz="8" w:color="auto"/>
              <w:right w:val="single" w:sz="8" w:color="auto"/>
            </w:tcBorders>
          </w:tcPr>
          <w:p>
            <w:pPr>
              <w:spacing w:after="0"/>
              <w:rPr>
                <w:sz w:val="11"/>
                <w:szCs w:val="11"/>
                <w:color w:val="auto"/>
              </w:rPr>
            </w:pPr>
          </w:p>
        </w:tc>
      </w:tr>
      <w:tr>
        <w:trPr>
          <w:trHeight w:val="276"/>
        </w:trPr>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3580" w:type="dxa"/>
            <w:vAlign w:val="bottom"/>
            <w:tcBorders>
              <w:right w:val="single" w:sz="8" w:color="auto"/>
            </w:tcBorders>
          </w:tcPr>
          <w:p>
            <w:pPr>
              <w:spacing w:after="0"/>
              <w:rPr>
                <w:sz w:val="23"/>
                <w:szCs w:val="23"/>
                <w:color w:val="auto"/>
              </w:rPr>
            </w:pP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136"/>
        </w:trPr>
        <w:tc>
          <w:tcPr>
            <w:tcW w:w="376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c>
          <w:tcPr>
            <w:tcW w:w="316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firstLine="3003"/>
        <w:spacing w:after="0" w:line="244" w:lineRule="auto"/>
        <w:tabs>
          <w:tab w:leader="none" w:pos="342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first Clinical Trial for a Licensed Product [***] conducted after the Initiation of the Kymera Existing Phase 1 Clinical Trial (A) </w:t>
      </w:r>
      <w:r>
        <w:rPr>
          <w:rFonts w:ascii="Times New Roman" w:cs="Times New Roman" w:eastAsia="Times New Roman" w:hAnsi="Times New Roman"/>
          <w:sz w:val="22"/>
          <w:szCs w:val="22"/>
          <w:i w:val="1"/>
          <w:iCs w:val="1"/>
          <w:color w:val="auto"/>
        </w:rPr>
        <w:t>does</w:t>
      </w:r>
      <w:r>
        <w:rPr>
          <w:rFonts w:ascii="Times New Roman" w:cs="Times New Roman" w:eastAsia="Times New Roman" w:hAnsi="Times New Roman"/>
          <w:sz w:val="22"/>
          <w:szCs w:val="22"/>
          <w:color w:val="auto"/>
        </w:rPr>
        <w:t xml:space="preserve"> contain [***] and (B) is a [***], then the following Pre-POC Milestone Payments shall be paid.</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460" w:type="dxa"/>
            <w:vAlign w:val="bottom"/>
            <w:tcBorders>
              <w:top w:val="single" w:sz="8" w:color="auto"/>
              <w:left w:val="single" w:sz="8" w:color="auto"/>
              <w:right w:val="single" w:sz="8" w:color="auto"/>
            </w:tcBorders>
            <w:shd w:val="clear" w:color="auto" w:fill="E7E6E6"/>
          </w:tcPr>
          <w:p>
            <w:pPr>
              <w:spacing w:after="0"/>
              <w:rPr>
                <w:sz w:val="20"/>
                <w:szCs w:val="20"/>
                <w:color w:val="auto"/>
              </w:rPr>
            </w:pPr>
          </w:p>
        </w:tc>
        <w:tc>
          <w:tcPr>
            <w:tcW w:w="2900" w:type="dxa"/>
            <w:vAlign w:val="bottom"/>
            <w:tcBorders>
              <w:top w:val="single" w:sz="8" w:color="auto"/>
              <w:right w:val="single" w:sz="8" w:color="auto"/>
            </w:tcBorders>
            <w:shd w:val="clear" w:color="auto" w:fill="E7E6E6"/>
          </w:tcPr>
          <w:p>
            <w:pPr>
              <w:ind w:left="80"/>
              <w:spacing w:after="0" w:line="240" w:lineRule="exact"/>
              <w:rPr>
                <w:sz w:val="20"/>
                <w:szCs w:val="20"/>
                <w:color w:val="auto"/>
              </w:rPr>
            </w:pPr>
            <w:r>
              <w:rPr>
                <w:rFonts w:ascii="Times New Roman" w:cs="Times New Roman" w:eastAsia="Times New Roman" w:hAnsi="Times New Roman"/>
                <w:sz w:val="22"/>
                <w:szCs w:val="22"/>
                <w:b w:val="1"/>
                <w:bCs w:val="1"/>
                <w:color w:val="auto"/>
              </w:rPr>
              <w:t>First person dosed in the</w:t>
            </w:r>
          </w:p>
        </w:tc>
        <w:tc>
          <w:tcPr>
            <w:tcW w:w="2900" w:type="dxa"/>
            <w:vAlign w:val="bottom"/>
            <w:tcBorders>
              <w:top w:val="single" w:sz="8" w:color="auto"/>
              <w:right w:val="single" w:sz="8" w:color="auto"/>
            </w:tcBorders>
            <w:shd w:val="clear" w:color="auto" w:fill="E7E6E6"/>
          </w:tcPr>
          <w:p>
            <w:pPr>
              <w:ind w:left="100"/>
              <w:spacing w:after="0" w:line="240" w:lineRule="exact"/>
              <w:rPr>
                <w:sz w:val="20"/>
                <w:szCs w:val="20"/>
                <w:color w:val="auto"/>
              </w:rPr>
            </w:pPr>
            <w:r>
              <w:rPr>
                <w:rFonts w:ascii="Times New Roman" w:cs="Times New Roman" w:eastAsia="Times New Roman" w:hAnsi="Times New Roman"/>
                <w:sz w:val="22"/>
                <w:szCs w:val="22"/>
                <w:b w:val="1"/>
                <w:bCs w:val="1"/>
                <w:color w:val="auto"/>
              </w:rPr>
              <w:t>First person dosed in a</w:t>
            </w:r>
          </w:p>
        </w:tc>
        <w:tc>
          <w:tcPr>
            <w:tcW w:w="2980" w:type="dxa"/>
            <w:vAlign w:val="bottom"/>
            <w:tcBorders>
              <w:top w:val="single" w:sz="8" w:color="auto"/>
              <w:right w:val="single" w:sz="8" w:color="auto"/>
            </w:tcBorders>
            <w:gridSpan w:val="3"/>
            <w:shd w:val="clear" w:color="auto" w:fill="E7E6E6"/>
          </w:tcPr>
          <w:p>
            <w:pPr>
              <w:ind w:left="100"/>
              <w:spacing w:after="0" w:line="240" w:lineRule="exact"/>
              <w:rPr>
                <w:sz w:val="20"/>
                <w:szCs w:val="20"/>
                <w:color w:val="auto"/>
              </w:rPr>
            </w:pPr>
            <w:r>
              <w:rPr>
                <w:rFonts w:ascii="Times New Roman" w:cs="Times New Roman" w:eastAsia="Times New Roman" w:hAnsi="Times New Roman"/>
                <w:sz w:val="22"/>
                <w:szCs w:val="22"/>
                <w:b w:val="1"/>
                <w:bCs w:val="1"/>
                <w:color w:val="auto"/>
              </w:rPr>
              <w:t>First person dosed in the first</w:t>
            </w:r>
          </w:p>
        </w:tc>
      </w:tr>
      <w:tr>
        <w:trPr>
          <w:trHeight w:val="236"/>
        </w:trPr>
        <w:tc>
          <w:tcPr>
            <w:tcW w:w="2460" w:type="dxa"/>
            <w:vAlign w:val="bottom"/>
            <w:tcBorders>
              <w:left w:val="single" w:sz="8" w:color="auto"/>
              <w:right w:val="single" w:sz="8" w:color="auto"/>
            </w:tcBorders>
            <w:shd w:val="clear" w:color="auto" w:fill="E7E6E6"/>
          </w:tcPr>
          <w:p>
            <w:pPr>
              <w:spacing w:after="0"/>
              <w:rPr>
                <w:sz w:val="20"/>
                <w:szCs w:val="20"/>
                <w:color w:val="auto"/>
              </w:rPr>
            </w:pPr>
          </w:p>
        </w:tc>
        <w:tc>
          <w:tcPr>
            <w:tcW w:w="2900" w:type="dxa"/>
            <w:vAlign w:val="bottom"/>
            <w:tcBorders>
              <w:right w:val="single" w:sz="8" w:color="auto"/>
            </w:tcBorders>
            <w:shd w:val="clear" w:color="auto" w:fill="E7E6E6"/>
          </w:tcPr>
          <w:p>
            <w:pPr>
              <w:ind w:left="80"/>
              <w:spacing w:after="0" w:line="236" w:lineRule="exact"/>
              <w:rPr>
                <w:sz w:val="20"/>
                <w:szCs w:val="20"/>
                <w:color w:val="auto"/>
              </w:rPr>
            </w:pPr>
            <w:r>
              <w:rPr>
                <w:rFonts w:ascii="Times New Roman" w:cs="Times New Roman" w:eastAsia="Times New Roman" w:hAnsi="Times New Roman"/>
                <w:sz w:val="22"/>
                <w:szCs w:val="22"/>
                <w:b w:val="1"/>
                <w:bCs w:val="1"/>
                <w:color w:val="auto"/>
              </w:rPr>
              <w:t xml:space="preserve">first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that </w:t>
            </w:r>
            <w:r>
              <w:rPr>
                <w:rFonts w:ascii="Times New Roman" w:cs="Times New Roman" w:eastAsia="Times New Roman" w:hAnsi="Times New Roman"/>
                <w:sz w:val="22"/>
                <w:szCs w:val="22"/>
                <w:b w:val="1"/>
                <w:bCs w:val="1"/>
                <w:i w:val="1"/>
                <w:iCs w:val="1"/>
                <w:color w:val="auto"/>
              </w:rPr>
              <w:t>does</w:t>
            </w:r>
            <w:r>
              <w:rPr>
                <w:rFonts w:ascii="Times New Roman" w:cs="Times New Roman" w:eastAsia="Times New Roman" w:hAnsi="Times New Roman"/>
                <w:sz w:val="22"/>
                <w:szCs w:val="22"/>
                <w:b w:val="1"/>
                <w:bCs w:val="1"/>
                <w:color w:val="auto"/>
              </w:rPr>
              <w:t xml:space="preserve"> contain</w:t>
            </w:r>
          </w:p>
        </w:tc>
        <w:tc>
          <w:tcPr>
            <w:tcW w:w="2900" w:type="dxa"/>
            <w:vAlign w:val="bottom"/>
            <w:tcBorders>
              <w:right w:val="single" w:sz="8" w:color="auto"/>
            </w:tcBorders>
            <w:shd w:val="clear" w:color="auto" w:fill="E7E6E6"/>
          </w:tcPr>
          <w:p>
            <w:pPr>
              <w:ind w:left="100"/>
              <w:spacing w:after="0" w:line="236" w:lineRule="exact"/>
              <w:rPr>
                <w:sz w:val="20"/>
                <w:szCs w:val="20"/>
                <w:color w:val="auto"/>
              </w:rPr>
            </w:pPr>
            <w:r>
              <w:rPr>
                <w:rFonts w:ascii="Times New Roman" w:cs="Times New Roman" w:eastAsia="Times New Roman" w:hAnsi="Times New Roman"/>
                <w:sz w:val="22"/>
                <w:szCs w:val="22"/>
                <w:b w:val="1"/>
                <w:bCs w:val="1"/>
                <w:color w:val="auto"/>
              </w:rPr>
              <w:t xml:space="preserve">second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that</w:t>
            </w:r>
          </w:p>
        </w:tc>
        <w:tc>
          <w:tcPr>
            <w:tcW w:w="2980" w:type="dxa"/>
            <w:vAlign w:val="bottom"/>
            <w:tcBorders>
              <w:right w:val="single" w:sz="8" w:color="auto"/>
            </w:tcBorders>
            <w:gridSpan w:val="3"/>
            <w:shd w:val="clear" w:color="auto" w:fill="E7E6E6"/>
          </w:tcPr>
          <w:p>
            <w:pPr>
              <w:ind w:left="100"/>
              <w:spacing w:after="0" w:line="236"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does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contain</w:t>
            </w:r>
          </w:p>
        </w:tc>
      </w:tr>
      <w:tr>
        <w:trPr>
          <w:trHeight w:val="275"/>
        </w:trPr>
        <w:tc>
          <w:tcPr>
            <w:tcW w:w="2460" w:type="dxa"/>
            <w:vAlign w:val="bottom"/>
            <w:tcBorders>
              <w:top w:val="single" w:sz="8" w:color="E7E6E6"/>
              <w:left w:val="single" w:sz="8" w:color="auto"/>
              <w:right w:val="single" w:sz="8" w:color="auto"/>
            </w:tcBorders>
            <w:shd w:val="clear" w:color="auto" w:fill="E7E6E6"/>
          </w:tcPr>
          <w:p>
            <w:pPr>
              <w:spacing w:after="0"/>
              <w:rPr>
                <w:sz w:val="23"/>
                <w:szCs w:val="23"/>
                <w:color w:val="auto"/>
              </w:rPr>
            </w:pPr>
          </w:p>
        </w:tc>
        <w:tc>
          <w:tcPr>
            <w:tcW w:w="2900" w:type="dxa"/>
            <w:vAlign w:val="bottom"/>
            <w:tcBorders>
              <w:top w:val="single" w:sz="8" w:color="E7E6E6"/>
              <w:right w:val="single" w:sz="8" w:color="auto"/>
            </w:tcBorders>
            <w:shd w:val="clear" w:color="auto" w:fill="E7E6E6"/>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top w:val="single" w:sz="8" w:color="E7E6E6"/>
              <w:right w:val="single" w:sz="8" w:color="auto"/>
            </w:tcBorders>
            <w:shd w:val="clear" w:color="auto" w:fill="E7E6E6"/>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does </w:t>
            </w:r>
            <w:r>
              <w:rPr>
                <w:rFonts w:ascii="Times New Roman" w:cs="Times New Roman" w:eastAsia="Times New Roman" w:hAnsi="Times New Roman"/>
                <w:sz w:val="22"/>
                <w:szCs w:val="22"/>
                <w:b w:val="1"/>
                <w:bCs w:val="1"/>
                <w:color w:val="auto"/>
              </w:rPr>
              <w:t>contain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p>
        </w:tc>
        <w:tc>
          <w:tcPr>
            <w:tcW w:w="1500" w:type="dxa"/>
            <w:vAlign w:val="bottom"/>
            <w:tcBorders>
              <w:top w:val="single" w:sz="8" w:color="E7E6E6"/>
            </w:tcBorders>
            <w:shd w:val="clear" w:color="auto" w:fill="E7E6E6"/>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auto"/>
            </w:tcBorders>
            <w:shd w:val="clear" w:color="auto" w:fill="E7E6E6"/>
          </w:tcPr>
          <w:p>
            <w:pPr>
              <w:spacing w:after="0"/>
              <w:rPr>
                <w:sz w:val="23"/>
                <w:szCs w:val="23"/>
                <w:color w:val="auto"/>
              </w:rPr>
            </w:pPr>
          </w:p>
        </w:tc>
        <w:tc>
          <w:tcPr>
            <w:tcW w:w="1200" w:type="dxa"/>
            <w:vAlign w:val="bottom"/>
            <w:tcBorders>
              <w:top w:val="single" w:sz="8" w:color="E7E6E6"/>
              <w:right w:val="single" w:sz="8" w:color="auto"/>
            </w:tcBorders>
            <w:shd w:val="clear" w:color="auto" w:fill="E7E6E6"/>
          </w:tcPr>
          <w:p>
            <w:pPr>
              <w:spacing w:after="0"/>
              <w:rPr>
                <w:sz w:val="23"/>
                <w:szCs w:val="23"/>
                <w:color w:val="auto"/>
              </w:rPr>
            </w:pPr>
          </w:p>
        </w:tc>
      </w:tr>
      <w:tr>
        <w:trPr>
          <w:trHeight w:val="459"/>
        </w:trPr>
        <w:tc>
          <w:tcPr>
            <w:tcW w:w="2460" w:type="dxa"/>
            <w:vAlign w:val="bottom"/>
            <w:tcBorders>
              <w:left w:val="single" w:sz="8" w:color="auto"/>
              <w:right w:val="single" w:sz="8" w:color="auto"/>
            </w:tcBorders>
            <w:shd w:val="clear" w:color="auto" w:fill="E7E6E6"/>
          </w:tcPr>
          <w:p>
            <w:pPr>
              <w:spacing w:after="0"/>
              <w:rPr>
                <w:sz w:val="24"/>
                <w:szCs w:val="24"/>
                <w:color w:val="auto"/>
              </w:rPr>
            </w:pPr>
          </w:p>
        </w:tc>
        <w:tc>
          <w:tcPr>
            <w:tcW w:w="2900" w:type="dxa"/>
            <w:vAlign w:val="bottom"/>
            <w:tcBorders>
              <w:right w:val="single" w:sz="8" w:color="auto"/>
            </w:tcBorders>
            <w:shd w:val="clear" w:color="auto" w:fill="E7E6E6"/>
          </w:tcPr>
          <w:p>
            <w:pPr>
              <w:ind w:left="80"/>
              <w:spacing w:after="0"/>
              <w:rPr>
                <w:sz w:val="20"/>
                <w:szCs w:val="20"/>
                <w:color w:val="auto"/>
              </w:rPr>
            </w:pPr>
            <w:r>
              <w:rPr>
                <w:rFonts w:ascii="Times New Roman" w:cs="Times New Roman" w:eastAsia="Times New Roman" w:hAnsi="Times New Roman"/>
                <w:sz w:val="22"/>
                <w:szCs w:val="22"/>
                <w:b w:val="1"/>
                <w:bCs w:val="1"/>
                <w:color w:val="auto"/>
              </w:rPr>
              <w:t>(Column 1)</w:t>
            </w:r>
          </w:p>
        </w:tc>
        <w:tc>
          <w:tcPr>
            <w:tcW w:w="2900" w:type="dxa"/>
            <w:vAlign w:val="bottom"/>
            <w:tcBorders>
              <w:right w:val="single" w:sz="8" w:color="auto"/>
            </w:tcBorders>
            <w:shd w:val="clear" w:color="auto" w:fill="E7E6E6"/>
          </w:tcPr>
          <w:p>
            <w:pPr>
              <w:ind w:left="100"/>
              <w:spacing w:after="0"/>
              <w:rPr>
                <w:sz w:val="20"/>
                <w:szCs w:val="20"/>
                <w:color w:val="auto"/>
              </w:rPr>
            </w:pPr>
            <w:r>
              <w:rPr>
                <w:rFonts w:ascii="Times New Roman" w:cs="Times New Roman" w:eastAsia="Times New Roman" w:hAnsi="Times New Roman"/>
                <w:sz w:val="22"/>
                <w:szCs w:val="22"/>
                <w:b w:val="1"/>
                <w:bCs w:val="1"/>
                <w:color w:val="auto"/>
              </w:rPr>
              <w:t>(Column 2)</w:t>
            </w:r>
          </w:p>
        </w:tc>
        <w:tc>
          <w:tcPr>
            <w:tcW w:w="2980" w:type="dxa"/>
            <w:vAlign w:val="bottom"/>
            <w:tcBorders>
              <w:right w:val="single" w:sz="8" w:color="auto"/>
            </w:tcBorders>
            <w:gridSpan w:val="3"/>
            <w:shd w:val="clear" w:color="auto" w:fill="E7E6E6"/>
          </w:tcPr>
          <w:p>
            <w:pPr>
              <w:ind w:left="100"/>
              <w:spacing w:after="0"/>
              <w:rPr>
                <w:sz w:val="20"/>
                <w:szCs w:val="20"/>
                <w:color w:val="auto"/>
              </w:rPr>
            </w:pPr>
            <w:r>
              <w:rPr>
                <w:rFonts w:ascii="Times New Roman" w:cs="Times New Roman" w:eastAsia="Times New Roman" w:hAnsi="Times New Roman"/>
                <w:sz w:val="22"/>
                <w:szCs w:val="22"/>
                <w:b w:val="1"/>
                <w:bCs w:val="1"/>
                <w:color w:val="auto"/>
              </w:rPr>
              <w:t>(Column 3)</w:t>
            </w:r>
          </w:p>
        </w:tc>
      </w:tr>
      <w:tr>
        <w:trPr>
          <w:trHeight w:val="234"/>
        </w:trPr>
        <w:tc>
          <w:tcPr>
            <w:tcW w:w="2460" w:type="dxa"/>
            <w:vAlign w:val="bottom"/>
            <w:tcBorders>
              <w:left w:val="single" w:sz="8" w:color="auto"/>
              <w:bottom w:val="single" w:sz="8" w:color="auto"/>
              <w:right w:val="single" w:sz="8" w:color="auto"/>
            </w:tcBorders>
            <w:shd w:val="clear" w:color="auto" w:fill="E7E6E6"/>
          </w:tcPr>
          <w:p>
            <w:pPr>
              <w:spacing w:after="0"/>
              <w:rPr>
                <w:sz w:val="20"/>
                <w:szCs w:val="20"/>
                <w:color w:val="auto"/>
              </w:rPr>
            </w:pPr>
          </w:p>
        </w:tc>
        <w:tc>
          <w:tcPr>
            <w:tcW w:w="2900" w:type="dxa"/>
            <w:vAlign w:val="bottom"/>
            <w:tcBorders>
              <w:bottom w:val="single" w:sz="8" w:color="auto"/>
              <w:right w:val="single" w:sz="8" w:color="auto"/>
            </w:tcBorders>
            <w:shd w:val="clear" w:color="auto" w:fill="E7E6E6"/>
          </w:tcPr>
          <w:p>
            <w:pPr>
              <w:spacing w:after="0"/>
              <w:rPr>
                <w:sz w:val="20"/>
                <w:szCs w:val="20"/>
                <w:color w:val="auto"/>
              </w:rPr>
            </w:pPr>
          </w:p>
        </w:tc>
        <w:tc>
          <w:tcPr>
            <w:tcW w:w="2900" w:type="dxa"/>
            <w:vAlign w:val="bottom"/>
            <w:tcBorders>
              <w:bottom w:val="single" w:sz="8" w:color="auto"/>
              <w:right w:val="single" w:sz="8" w:color="auto"/>
            </w:tcBorders>
            <w:shd w:val="clear" w:color="auto" w:fill="E7E6E6"/>
          </w:tcPr>
          <w:p>
            <w:pPr>
              <w:spacing w:after="0"/>
              <w:rPr>
                <w:sz w:val="20"/>
                <w:szCs w:val="20"/>
                <w:color w:val="auto"/>
              </w:rPr>
            </w:pPr>
          </w:p>
        </w:tc>
        <w:tc>
          <w:tcPr>
            <w:tcW w:w="1500" w:type="dxa"/>
            <w:vAlign w:val="bottom"/>
            <w:tcBorders>
              <w:bottom w:val="single" w:sz="8" w:color="auto"/>
            </w:tcBorders>
            <w:shd w:val="clear" w:color="auto" w:fill="E7E6E6"/>
          </w:tcPr>
          <w:p>
            <w:pPr>
              <w:spacing w:after="0"/>
              <w:rPr>
                <w:sz w:val="20"/>
                <w:szCs w:val="20"/>
                <w:color w:val="auto"/>
              </w:rPr>
            </w:pPr>
          </w:p>
        </w:tc>
        <w:tc>
          <w:tcPr>
            <w:tcW w:w="280" w:type="dxa"/>
            <w:vAlign w:val="bottom"/>
            <w:tcBorders>
              <w:bottom w:val="single" w:sz="8" w:color="auto"/>
            </w:tcBorders>
            <w:shd w:val="clear" w:color="auto" w:fill="E7E6E6"/>
          </w:tcPr>
          <w:p>
            <w:pPr>
              <w:spacing w:after="0"/>
              <w:rPr>
                <w:sz w:val="20"/>
                <w:szCs w:val="20"/>
                <w:color w:val="auto"/>
              </w:rPr>
            </w:pPr>
          </w:p>
        </w:tc>
        <w:tc>
          <w:tcPr>
            <w:tcW w:w="1200" w:type="dxa"/>
            <w:vAlign w:val="bottom"/>
            <w:tcBorders>
              <w:bottom w:val="single" w:sz="8" w:color="auto"/>
              <w:right w:val="single" w:sz="8" w:color="auto"/>
            </w:tcBorders>
            <w:shd w:val="clear" w:color="auto" w:fill="E7E6E6"/>
          </w:tcPr>
          <w:p>
            <w:pPr>
              <w:spacing w:after="0"/>
              <w:rPr>
                <w:sz w:val="20"/>
                <w:szCs w:val="20"/>
                <w:color w:val="auto"/>
              </w:rPr>
            </w:pPr>
          </w:p>
        </w:tc>
      </w:tr>
      <w:tr>
        <w:trPr>
          <w:trHeight w:val="259"/>
        </w:trPr>
        <w:tc>
          <w:tcPr>
            <w:tcW w:w="2460" w:type="dxa"/>
            <w:vAlign w:val="bottom"/>
            <w:tcBorders>
              <w:top w:val="single" w:sz="8" w:color="E7E6E6"/>
              <w:left w:val="single" w:sz="8" w:color="E7E6E6"/>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r>
      <w:tr>
        <w:trPr>
          <w:trHeight w:val="445"/>
        </w:trPr>
        <w:tc>
          <w:tcPr>
            <w:tcW w:w="2460" w:type="dxa"/>
            <w:vAlign w:val="bottom"/>
            <w:tcBorders>
              <w:left w:val="single" w:sz="8" w:color="E7E6E6"/>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22"/>
                <w:szCs w:val="22"/>
                <w:b w:val="1"/>
                <w:bCs w:val="1"/>
                <w:color w:val="auto"/>
              </w:rPr>
              <w:t>(Row 1)</w:t>
            </w:r>
          </w:p>
        </w:tc>
        <w:tc>
          <w:tcPr>
            <w:tcW w:w="2900" w:type="dxa"/>
            <w:vAlign w:val="bottom"/>
            <w:tcBorders>
              <w:right w:val="single" w:sz="8" w:color="auto"/>
            </w:tcBorders>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r>
      <w:tr>
        <w:trPr>
          <w:trHeight w:val="218"/>
        </w:trPr>
        <w:tc>
          <w:tcPr>
            <w:tcW w:w="2460" w:type="dxa"/>
            <w:vAlign w:val="bottom"/>
            <w:tcBorders>
              <w:left w:val="single" w:sz="8" w:color="E7E6E6"/>
              <w:bottom w:val="single" w:sz="8" w:color="auto"/>
              <w:right w:val="single" w:sz="8" w:color="auto"/>
            </w:tcBorders>
            <w:shd w:val="clear" w:color="auto" w:fill="E7E6E6"/>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r>
        <w:trPr>
          <w:trHeight w:val="276"/>
        </w:trPr>
        <w:tc>
          <w:tcPr>
            <w:tcW w:w="2460" w:type="dxa"/>
            <w:vAlign w:val="bottom"/>
            <w:tcBorders>
              <w:left w:val="single" w:sz="8" w:color="E7E6E6"/>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r>
      <w:tr>
        <w:trPr>
          <w:trHeight w:val="204"/>
        </w:trPr>
        <w:tc>
          <w:tcPr>
            <w:tcW w:w="2460" w:type="dxa"/>
            <w:vAlign w:val="bottom"/>
            <w:tcBorders>
              <w:left w:val="single" w:sz="8" w:color="E7E6E6"/>
              <w:bottom w:val="single" w:sz="8" w:color="auto"/>
              <w:right w:val="single" w:sz="8" w:color="auto"/>
            </w:tcBorders>
            <w:shd w:val="clear" w:color="auto" w:fill="E7E6E6"/>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r>
      <w:tr>
        <w:trPr>
          <w:trHeight w:val="276"/>
        </w:trPr>
        <w:tc>
          <w:tcPr>
            <w:tcW w:w="2460" w:type="dxa"/>
            <w:vAlign w:val="bottom"/>
            <w:tcBorders>
              <w:left w:val="single" w:sz="8" w:color="E7E6E6"/>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r>
      <w:tr>
        <w:trPr>
          <w:trHeight w:val="204"/>
        </w:trPr>
        <w:tc>
          <w:tcPr>
            <w:tcW w:w="2460" w:type="dxa"/>
            <w:vAlign w:val="bottom"/>
            <w:tcBorders>
              <w:left w:val="single" w:sz="8" w:color="E7E6E6"/>
              <w:bottom w:val="single" w:sz="8" w:color="auto"/>
              <w:right w:val="single" w:sz="8" w:color="auto"/>
            </w:tcBorders>
            <w:shd w:val="clear" w:color="auto" w:fill="E7E6E6"/>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r>
      <w:tr>
        <w:trPr>
          <w:trHeight w:val="276"/>
        </w:trPr>
        <w:tc>
          <w:tcPr>
            <w:tcW w:w="2460" w:type="dxa"/>
            <w:vAlign w:val="bottom"/>
            <w:tcBorders>
              <w:left w:val="single" w:sz="8" w:color="E7E6E6"/>
              <w:right w:val="single" w:sz="8" w:color="auto"/>
            </w:tcBorders>
            <w:shd w:val="clear" w:color="auto" w:fill="E7E6E6"/>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r>
      <w:tr>
        <w:trPr>
          <w:trHeight w:val="204"/>
        </w:trPr>
        <w:tc>
          <w:tcPr>
            <w:tcW w:w="2460" w:type="dxa"/>
            <w:vAlign w:val="bottom"/>
            <w:tcBorders>
              <w:left w:val="single" w:sz="8" w:color="E7E6E6"/>
              <w:bottom w:val="single" w:sz="8" w:color="auto"/>
              <w:right w:val="single" w:sz="8" w:color="auto"/>
            </w:tcBorders>
            <w:shd w:val="clear" w:color="auto" w:fill="E7E6E6"/>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r>
      <w:tr>
        <w:trPr>
          <w:trHeight w:val="869"/>
        </w:trPr>
        <w:tc>
          <w:tcPr>
            <w:tcW w:w="2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9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89</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51"/>
        </w:trPr>
        <w:tc>
          <w:tcPr>
            <w:tcW w:w="2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60" w:name="page261"/>
    <w:bookmarkEnd w:id="260"/>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firstLine="3003"/>
        <w:spacing w:after="0" w:line="262" w:lineRule="auto"/>
        <w:tabs>
          <w:tab w:leader="none" w:pos="342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 (A) </w:t>
      </w:r>
      <w:r>
        <w:rPr>
          <w:rFonts w:ascii="Times New Roman" w:cs="Times New Roman" w:eastAsia="Times New Roman" w:hAnsi="Times New Roman"/>
          <w:sz w:val="22"/>
          <w:szCs w:val="22"/>
          <w:i w:val="1"/>
          <w:iCs w:val="1"/>
          <w:color w:val="auto"/>
        </w:rPr>
        <w:t>does</w:t>
      </w:r>
      <w:r>
        <w:rPr>
          <w:rFonts w:ascii="Times New Roman" w:cs="Times New Roman" w:eastAsia="Times New Roman" w:hAnsi="Times New Roman"/>
          <w:sz w:val="22"/>
          <w:szCs w:val="22"/>
          <w:color w:val="auto"/>
        </w:rPr>
        <w:t xml:space="preserve"> contain [***] and (B) is any type of [***], then the following Pre-POC Milestone Payments shall be paid.</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3380" w:type="dxa"/>
            <w:vAlign w:val="bottom"/>
            <w:tcBorders>
              <w:top w:val="single" w:sz="8" w:color="auto"/>
              <w:left w:val="single" w:sz="8" w:color="auto"/>
            </w:tcBorders>
            <w:shd w:val="clear" w:color="auto" w:fill="D9D9D9"/>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Milestone Event</w:t>
            </w:r>
          </w:p>
        </w:tc>
        <w:tc>
          <w:tcPr>
            <w:tcW w:w="420" w:type="dxa"/>
            <w:vAlign w:val="bottom"/>
            <w:tcBorders>
              <w:top w:val="single" w:sz="8" w:color="auto"/>
              <w:right w:val="single" w:sz="8" w:color="auto"/>
            </w:tcBorders>
            <w:shd w:val="clear" w:color="auto" w:fill="D9D9D9"/>
          </w:tcPr>
          <w:p>
            <w:pPr>
              <w:spacing w:after="0"/>
              <w:rPr>
                <w:sz w:val="24"/>
                <w:szCs w:val="24"/>
                <w:color w:val="auto"/>
              </w:rPr>
            </w:pPr>
          </w:p>
        </w:tc>
        <w:tc>
          <w:tcPr>
            <w:tcW w:w="4280" w:type="dxa"/>
            <w:vAlign w:val="bottom"/>
            <w:tcBorders>
              <w:top w:val="single" w:sz="8" w:color="auto"/>
              <w:right w:val="single" w:sz="8" w:color="auto"/>
            </w:tcBorders>
            <w:shd w:val="clear" w:color="auto" w:fill="D9D9D9"/>
          </w:tcPr>
          <w:p>
            <w:pPr>
              <w:jc w:val="right"/>
              <w:ind w:right="872"/>
              <w:spacing w:after="0"/>
              <w:rPr>
                <w:sz w:val="20"/>
                <w:szCs w:val="20"/>
                <w:color w:val="auto"/>
              </w:rPr>
            </w:pPr>
            <w:r>
              <w:rPr>
                <w:rFonts w:ascii="Times New Roman" w:cs="Times New Roman" w:eastAsia="Times New Roman" w:hAnsi="Times New Roman"/>
                <w:sz w:val="22"/>
                <w:szCs w:val="22"/>
                <w:b w:val="1"/>
                <w:bCs w:val="1"/>
                <w:color w:val="auto"/>
              </w:rPr>
              <w:t>Pre-POC Milestone Event</w:t>
            </w:r>
          </w:p>
        </w:tc>
        <w:tc>
          <w:tcPr>
            <w:tcW w:w="3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Pre-POC Milestone Payment</w:t>
            </w:r>
          </w:p>
        </w:tc>
      </w:tr>
      <w:tr>
        <w:trPr>
          <w:trHeight w:val="132"/>
        </w:trPr>
        <w:tc>
          <w:tcPr>
            <w:tcW w:w="3380" w:type="dxa"/>
            <w:vAlign w:val="bottom"/>
            <w:tcBorders>
              <w:left w:val="single" w:sz="8" w:color="auto"/>
              <w:bottom w:val="single" w:sz="8" w:color="auto"/>
            </w:tcBorders>
            <w:shd w:val="clear" w:color="auto" w:fill="D9D9D9"/>
          </w:tcPr>
          <w:p>
            <w:pPr>
              <w:spacing w:after="0"/>
              <w:rPr>
                <w:sz w:val="11"/>
                <w:szCs w:val="11"/>
                <w:color w:val="auto"/>
              </w:rPr>
            </w:pPr>
          </w:p>
        </w:tc>
        <w:tc>
          <w:tcPr>
            <w:tcW w:w="420" w:type="dxa"/>
            <w:vAlign w:val="bottom"/>
            <w:tcBorders>
              <w:bottom w:val="single" w:sz="8" w:color="auto"/>
              <w:right w:val="single" w:sz="8" w:color="auto"/>
            </w:tcBorders>
            <w:shd w:val="clear" w:color="auto" w:fill="D9D9D9"/>
          </w:tcPr>
          <w:p>
            <w:pPr>
              <w:spacing w:after="0"/>
              <w:rPr>
                <w:sz w:val="11"/>
                <w:szCs w:val="11"/>
                <w:color w:val="auto"/>
              </w:rPr>
            </w:pPr>
          </w:p>
        </w:tc>
        <w:tc>
          <w:tcPr>
            <w:tcW w:w="4280" w:type="dxa"/>
            <w:vAlign w:val="bottom"/>
            <w:tcBorders>
              <w:bottom w:val="single" w:sz="8" w:color="auto"/>
              <w:right w:val="single" w:sz="8" w:color="auto"/>
            </w:tcBorders>
            <w:shd w:val="clear" w:color="auto" w:fill="D9D9D9"/>
          </w:tcPr>
          <w:p>
            <w:pPr>
              <w:spacing w:after="0"/>
              <w:rPr>
                <w:sz w:val="11"/>
                <w:szCs w:val="11"/>
                <w:color w:val="auto"/>
              </w:rPr>
            </w:pPr>
          </w:p>
        </w:tc>
        <w:tc>
          <w:tcPr>
            <w:tcW w:w="3160" w:type="dxa"/>
            <w:vAlign w:val="bottom"/>
            <w:tcBorders>
              <w:bottom w:val="single" w:sz="8" w:color="auto"/>
              <w:right w:val="single" w:sz="8" w:color="auto"/>
            </w:tcBorders>
            <w:shd w:val="clear" w:color="auto" w:fill="D9D9D9"/>
          </w:tcPr>
          <w:p>
            <w:pPr>
              <w:spacing w:after="0"/>
              <w:rPr>
                <w:sz w:val="11"/>
                <w:szCs w:val="11"/>
                <w:color w:val="auto"/>
              </w:rPr>
            </w:pPr>
          </w:p>
        </w:tc>
      </w:tr>
      <w:tr>
        <w:trPr>
          <w:trHeight w:val="262"/>
        </w:trPr>
        <w:tc>
          <w:tcPr>
            <w:tcW w:w="3380" w:type="dxa"/>
            <w:vAlign w:val="bottom"/>
          </w:tcPr>
          <w:p>
            <w:pPr>
              <w:jc w:val="center"/>
              <w:ind w:left="272"/>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right w:val="single" w:sz="8" w:color="auto"/>
            </w:tcBorders>
          </w:tcPr>
          <w:p>
            <w:pPr>
              <w:spacing w:after="0"/>
              <w:rPr>
                <w:sz w:val="22"/>
                <w:szCs w:val="22"/>
                <w:color w:val="auto"/>
              </w:rPr>
            </w:pPr>
          </w:p>
        </w:tc>
        <w:tc>
          <w:tcPr>
            <w:tcW w:w="4280" w:type="dxa"/>
            <w:vAlign w:val="bottom"/>
            <w:tcBorders>
              <w:right w:val="single" w:sz="8" w:color="auto"/>
            </w:tcBorders>
          </w:tcPr>
          <w:p>
            <w:pPr>
              <w:jc w:val="right"/>
              <w:ind w:right="3652"/>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133"/>
        </w:trPr>
        <w:tc>
          <w:tcPr>
            <w:tcW w:w="338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4280" w:type="dxa"/>
            <w:vAlign w:val="bottom"/>
            <w:tcBorders>
              <w:bottom w:val="single" w:sz="8" w:color="auto"/>
              <w:right w:val="single" w:sz="8" w:color="auto"/>
            </w:tcBorders>
          </w:tcPr>
          <w:p>
            <w:pPr>
              <w:spacing w:after="0"/>
              <w:rPr>
                <w:sz w:val="11"/>
                <w:szCs w:val="11"/>
                <w:color w:val="auto"/>
              </w:rPr>
            </w:pPr>
          </w:p>
        </w:tc>
        <w:tc>
          <w:tcPr>
            <w:tcW w:w="3160" w:type="dxa"/>
            <w:vAlign w:val="bottom"/>
            <w:tcBorders>
              <w:bottom w:val="single" w:sz="8" w:color="auto"/>
              <w:right w:val="single" w:sz="8" w:color="auto"/>
            </w:tcBorders>
          </w:tcPr>
          <w:p>
            <w:pPr>
              <w:spacing w:after="0"/>
              <w:rPr>
                <w:sz w:val="11"/>
                <w:szCs w:val="11"/>
                <w:color w:val="auto"/>
              </w:rPr>
            </w:pPr>
          </w:p>
        </w:tc>
      </w:tr>
      <w:tr>
        <w:trPr>
          <w:trHeight w:val="276"/>
        </w:trPr>
        <w:tc>
          <w:tcPr>
            <w:tcW w:w="3380" w:type="dxa"/>
            <w:vAlign w:val="bottom"/>
          </w:tcPr>
          <w:p>
            <w:pPr>
              <w:jc w:val="center"/>
              <w:ind w:left="272"/>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right w:val="single" w:sz="8" w:color="auto"/>
            </w:tcBorders>
          </w:tcPr>
          <w:p>
            <w:pPr>
              <w:spacing w:after="0"/>
              <w:rPr>
                <w:sz w:val="23"/>
                <w:szCs w:val="23"/>
                <w:color w:val="auto"/>
              </w:rPr>
            </w:pPr>
          </w:p>
        </w:tc>
        <w:tc>
          <w:tcPr>
            <w:tcW w:w="4280" w:type="dxa"/>
            <w:vAlign w:val="bottom"/>
            <w:tcBorders>
              <w:right w:val="single" w:sz="8" w:color="auto"/>
            </w:tcBorders>
          </w:tcPr>
          <w:p>
            <w:pPr>
              <w:jc w:val="right"/>
              <w:ind w:right="3652"/>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136"/>
        </w:trPr>
        <w:tc>
          <w:tcPr>
            <w:tcW w:w="338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4280" w:type="dxa"/>
            <w:vAlign w:val="bottom"/>
            <w:tcBorders>
              <w:bottom w:val="single" w:sz="8" w:color="auto"/>
              <w:right w:val="single" w:sz="8" w:color="auto"/>
            </w:tcBorders>
          </w:tcPr>
          <w:p>
            <w:pPr>
              <w:spacing w:after="0"/>
              <w:rPr>
                <w:sz w:val="11"/>
                <w:szCs w:val="11"/>
                <w:color w:val="auto"/>
              </w:rPr>
            </w:pPr>
          </w:p>
        </w:tc>
        <w:tc>
          <w:tcPr>
            <w:tcW w:w="3160" w:type="dxa"/>
            <w:vAlign w:val="bottom"/>
            <w:tcBorders>
              <w:bottom w:val="single" w:sz="8" w:color="auto"/>
              <w:right w:val="single" w:sz="8" w:color="auto"/>
            </w:tcBorders>
          </w:tcPr>
          <w:p>
            <w:pPr>
              <w:spacing w:after="0"/>
              <w:rPr>
                <w:sz w:val="11"/>
                <w:szCs w:val="11"/>
                <w:color w:val="auto"/>
              </w:rPr>
            </w:pPr>
          </w:p>
        </w:tc>
      </w:tr>
      <w:tr>
        <w:trPr>
          <w:trHeight w:val="276"/>
        </w:trPr>
        <w:tc>
          <w:tcPr>
            <w:tcW w:w="3380" w:type="dxa"/>
            <w:vAlign w:val="bottom"/>
          </w:tcPr>
          <w:p>
            <w:pPr>
              <w:jc w:val="center"/>
              <w:ind w:left="272"/>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right w:val="single" w:sz="8" w:color="auto"/>
            </w:tcBorders>
          </w:tcPr>
          <w:p>
            <w:pPr>
              <w:spacing w:after="0"/>
              <w:rPr>
                <w:sz w:val="23"/>
                <w:szCs w:val="23"/>
                <w:color w:val="auto"/>
              </w:rPr>
            </w:pPr>
          </w:p>
        </w:tc>
        <w:tc>
          <w:tcPr>
            <w:tcW w:w="4280" w:type="dxa"/>
            <w:vAlign w:val="bottom"/>
            <w:tcBorders>
              <w:right w:val="single" w:sz="8" w:color="auto"/>
            </w:tcBorders>
          </w:tcPr>
          <w:p>
            <w:pPr>
              <w:jc w:val="right"/>
              <w:ind w:right="3652"/>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136"/>
        </w:trPr>
        <w:tc>
          <w:tcPr>
            <w:tcW w:w="338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4280" w:type="dxa"/>
            <w:vAlign w:val="bottom"/>
            <w:tcBorders>
              <w:bottom w:val="single" w:sz="8" w:color="auto"/>
              <w:right w:val="single" w:sz="8" w:color="auto"/>
            </w:tcBorders>
          </w:tcPr>
          <w:p>
            <w:pPr>
              <w:spacing w:after="0"/>
              <w:rPr>
                <w:sz w:val="11"/>
                <w:szCs w:val="11"/>
                <w:color w:val="auto"/>
              </w:rPr>
            </w:pPr>
          </w:p>
        </w:tc>
        <w:tc>
          <w:tcPr>
            <w:tcW w:w="3160" w:type="dxa"/>
            <w:vAlign w:val="bottom"/>
            <w:tcBorders>
              <w:bottom w:val="single" w:sz="8" w:color="auto"/>
              <w:right w:val="single" w:sz="8" w:color="auto"/>
            </w:tcBorders>
          </w:tcPr>
          <w:p>
            <w:pPr>
              <w:spacing w:after="0"/>
              <w:rPr>
                <w:sz w:val="11"/>
                <w:szCs w:val="11"/>
                <w:color w:val="auto"/>
              </w:rPr>
            </w:pPr>
          </w:p>
        </w:tc>
      </w:tr>
      <w:tr>
        <w:trPr>
          <w:trHeight w:val="665"/>
        </w:trPr>
        <w:tc>
          <w:tcPr>
            <w:tcW w:w="3380" w:type="dxa"/>
            <w:vAlign w:val="bottom"/>
          </w:tcPr>
          <w:p>
            <w:pPr>
              <w:ind w:left="3000"/>
              <w:spacing w:after="0"/>
              <w:rPr>
                <w:sz w:val="20"/>
                <w:szCs w:val="20"/>
                <w:color w:val="auto"/>
              </w:rPr>
            </w:pPr>
            <w:r>
              <w:rPr>
                <w:rFonts w:ascii="Times New Roman" w:cs="Times New Roman" w:eastAsia="Times New Roman" w:hAnsi="Times New Roman"/>
                <w:sz w:val="22"/>
                <w:szCs w:val="22"/>
                <w:color w:val="auto"/>
              </w:rPr>
              <w:t>(iv)</w:t>
            </w:r>
          </w:p>
        </w:tc>
        <w:tc>
          <w:tcPr>
            <w:tcW w:w="7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The maximum payment for the Pre-POC Milestone Event 1 for [***] shall be: (a) [***]</w:t>
            </w:r>
          </w:p>
        </w:tc>
      </w:tr>
    </w:tbl>
    <w:p>
      <w:pPr>
        <w:spacing w:after="0"/>
        <w:rPr>
          <w:sz w:val="20"/>
          <w:szCs w:val="20"/>
          <w:color w:val="auto"/>
        </w:rPr>
      </w:pPr>
      <w:r>
        <w:rPr>
          <w:rFonts w:ascii="Times New Roman" w:cs="Times New Roman" w:eastAsia="Times New Roman" w:hAnsi="Times New Roman"/>
          <w:sz w:val="22"/>
          <w:szCs w:val="22"/>
          <w:color w:val="auto"/>
        </w:rPr>
        <w:t>or (b) [***].</w:t>
      </w:r>
    </w:p>
    <w:p>
      <w:pPr>
        <w:spacing w:after="0" w:line="182" w:lineRule="exact"/>
        <w:rPr>
          <w:sz w:val="20"/>
          <w:szCs w:val="20"/>
          <w:color w:val="auto"/>
        </w:rPr>
      </w:pPr>
    </w:p>
    <w:p>
      <w:pPr>
        <w:ind w:left="3440" w:hanging="437"/>
        <w:spacing w:after="0"/>
        <w:tabs>
          <w:tab w:leader="none" w:pos="344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will the Pre-POC Milestone Payments associated with [***].</w:t>
      </w:r>
    </w:p>
    <w:p>
      <w:pPr>
        <w:spacing w:after="0" w:line="20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Pre-POC Milestones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120" w:type="dxa"/>
            <w:vAlign w:val="bottom"/>
            <w:tcBorders>
              <w:right w:val="single" w:sz="8" w:color="auto"/>
            </w:tcBorders>
          </w:tcPr>
          <w:p>
            <w:pPr>
              <w:spacing w:after="0"/>
              <w:rPr>
                <w:sz w:val="24"/>
                <w:szCs w:val="24"/>
                <w:color w:val="auto"/>
              </w:rPr>
            </w:pPr>
          </w:p>
        </w:tc>
        <w:tc>
          <w:tcPr>
            <w:tcW w:w="1540" w:type="dxa"/>
            <w:vAlign w:val="bottom"/>
            <w:tcBorders>
              <w:top w:val="single" w:sz="8" w:color="auto"/>
              <w:right w:val="single" w:sz="8" w:color="D9D9D9"/>
            </w:tcBorders>
            <w:shd w:val="clear" w:color="auto" w:fill="D9D9D9"/>
          </w:tcPr>
          <w:p>
            <w:pPr>
              <w:spacing w:after="0"/>
              <w:rPr>
                <w:sz w:val="24"/>
                <w:szCs w:val="24"/>
                <w:color w:val="auto"/>
              </w:rPr>
            </w:pPr>
          </w:p>
        </w:tc>
        <w:tc>
          <w:tcPr>
            <w:tcW w:w="1720" w:type="dxa"/>
            <w:vAlign w:val="bottom"/>
            <w:tcBorders>
              <w:top w:val="single" w:sz="8" w:color="auto"/>
            </w:tcBorders>
            <w:shd w:val="clear" w:color="auto" w:fill="D9D9D9"/>
          </w:tcPr>
          <w:p>
            <w:pPr>
              <w:spacing w:after="0"/>
              <w:rPr>
                <w:sz w:val="24"/>
                <w:szCs w:val="24"/>
                <w:color w:val="auto"/>
              </w:rPr>
            </w:pPr>
          </w:p>
        </w:tc>
        <w:tc>
          <w:tcPr>
            <w:tcW w:w="5100" w:type="dxa"/>
            <w:vAlign w:val="bottom"/>
            <w:tcBorders>
              <w:top w:val="single" w:sz="8" w:color="auto"/>
              <w:right w:val="single" w:sz="8" w:color="D9D9D9"/>
            </w:tcBorders>
            <w:shd w:val="clear" w:color="auto" w:fill="D9D9D9"/>
          </w:tcPr>
          <w:p>
            <w:pPr>
              <w:ind w:left="98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Pre-POC Milestones</w:t>
            </w:r>
          </w:p>
        </w:tc>
        <w:tc>
          <w:tcPr>
            <w:tcW w:w="2700" w:type="dxa"/>
            <w:vAlign w:val="bottom"/>
            <w:tcBorders>
              <w:top w:val="single" w:sz="8" w:color="auto"/>
              <w:right w:val="single" w:sz="8" w:color="auto"/>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20" w:type="dxa"/>
            <w:vAlign w:val="bottom"/>
            <w:tcBorders>
              <w:right w:val="single" w:sz="8" w:color="auto"/>
            </w:tcBorders>
          </w:tcPr>
          <w:p>
            <w:pPr>
              <w:spacing w:after="0"/>
              <w:rPr>
                <w:sz w:val="5"/>
                <w:szCs w:val="5"/>
                <w:color w:val="auto"/>
              </w:rPr>
            </w:pPr>
          </w:p>
        </w:tc>
        <w:tc>
          <w:tcPr>
            <w:tcW w:w="1540" w:type="dxa"/>
            <w:vAlign w:val="bottom"/>
            <w:tcBorders>
              <w:bottom w:val="single" w:sz="8" w:color="auto"/>
              <w:right w:val="single" w:sz="8" w:color="D9D9D9"/>
            </w:tcBorders>
            <w:shd w:val="clear" w:color="auto" w:fill="D9D9D9"/>
          </w:tcPr>
          <w:p>
            <w:pPr>
              <w:spacing w:after="0"/>
              <w:rPr>
                <w:sz w:val="5"/>
                <w:szCs w:val="5"/>
                <w:color w:val="auto"/>
              </w:rPr>
            </w:pPr>
          </w:p>
        </w:tc>
        <w:tc>
          <w:tcPr>
            <w:tcW w:w="1720" w:type="dxa"/>
            <w:vAlign w:val="bottom"/>
            <w:tcBorders>
              <w:bottom w:val="single" w:sz="8" w:color="auto"/>
            </w:tcBorders>
            <w:shd w:val="clear" w:color="auto" w:fill="D9D9D9"/>
          </w:tcPr>
          <w:p>
            <w:pPr>
              <w:spacing w:after="0"/>
              <w:rPr>
                <w:sz w:val="5"/>
                <w:szCs w:val="5"/>
                <w:color w:val="auto"/>
              </w:rPr>
            </w:pPr>
          </w:p>
        </w:tc>
        <w:tc>
          <w:tcPr>
            <w:tcW w:w="5100" w:type="dxa"/>
            <w:vAlign w:val="bottom"/>
            <w:tcBorders>
              <w:bottom w:val="single" w:sz="8" w:color="auto"/>
              <w:right w:val="single" w:sz="8" w:color="D9D9D9"/>
            </w:tcBorders>
            <w:shd w:val="clear" w:color="auto" w:fill="D9D9D9"/>
          </w:tcPr>
          <w:p>
            <w:pPr>
              <w:spacing w:after="0"/>
              <w:rPr>
                <w:sz w:val="5"/>
                <w:szCs w:val="5"/>
                <w:color w:val="auto"/>
              </w:rPr>
            </w:pPr>
          </w:p>
        </w:tc>
        <w:tc>
          <w:tcPr>
            <w:tcW w:w="2700" w:type="dxa"/>
            <w:vAlign w:val="bottom"/>
            <w:tcBorders>
              <w:bottom w:val="single" w:sz="8" w:color="auto"/>
              <w:right w:val="single" w:sz="8" w:color="auto"/>
            </w:tcBorders>
            <w:shd w:val="clear" w:color="auto" w:fill="D9D9D9"/>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2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shd w:val="clear" w:color="auto" w:fill="D9D9D9"/>
          </w:tcPr>
          <w:p>
            <w:pPr>
              <w:jc w:val="right"/>
              <w:ind w:right="272"/>
              <w:spacing w:after="0" w:line="222" w:lineRule="exact"/>
              <w:rPr>
                <w:sz w:val="20"/>
                <w:szCs w:val="20"/>
                <w:color w:val="auto"/>
              </w:rPr>
            </w:pPr>
            <w:r>
              <w:rPr>
                <w:rFonts w:ascii="Times New Roman" w:cs="Times New Roman" w:eastAsia="Times New Roman" w:hAnsi="Times New Roman"/>
                <w:sz w:val="22"/>
                <w:szCs w:val="22"/>
                <w:b w:val="1"/>
                <w:bCs w:val="1"/>
                <w:color w:val="auto"/>
              </w:rPr>
              <w:t>Milestone</w:t>
            </w:r>
          </w:p>
        </w:tc>
        <w:tc>
          <w:tcPr>
            <w:tcW w:w="1720" w:type="dxa"/>
            <w:vAlign w:val="bottom"/>
            <w:shd w:val="clear" w:color="auto" w:fill="D9D9D9"/>
          </w:tcPr>
          <w:p>
            <w:pPr>
              <w:spacing w:after="0"/>
              <w:rPr>
                <w:sz w:val="19"/>
                <w:szCs w:val="19"/>
                <w:color w:val="auto"/>
              </w:rPr>
            </w:pPr>
          </w:p>
        </w:tc>
        <w:tc>
          <w:tcPr>
            <w:tcW w:w="5100" w:type="dxa"/>
            <w:vAlign w:val="bottom"/>
            <w:tcBorders>
              <w:right w:val="single" w:sz="8" w:color="auto"/>
            </w:tcBorders>
            <w:vMerge w:val="restart"/>
            <w:shd w:val="clear" w:color="auto" w:fill="D9D9D9"/>
          </w:tcPr>
          <w:p>
            <w:pPr>
              <w:ind w:left="480"/>
              <w:spacing w:after="0"/>
              <w:rPr>
                <w:sz w:val="20"/>
                <w:szCs w:val="20"/>
                <w:color w:val="auto"/>
              </w:rPr>
            </w:pPr>
            <w:r>
              <w:rPr>
                <w:rFonts w:ascii="Times New Roman" w:cs="Times New Roman" w:eastAsia="Times New Roman" w:hAnsi="Times New Roman"/>
                <w:sz w:val="22"/>
                <w:szCs w:val="22"/>
                <w:b w:val="1"/>
                <w:bCs w:val="1"/>
                <w:color w:val="auto"/>
              </w:rPr>
              <w:t>Pre-POC Milestone Event</w:t>
            </w:r>
          </w:p>
        </w:tc>
        <w:tc>
          <w:tcPr>
            <w:tcW w:w="2700" w:type="dxa"/>
            <w:vAlign w:val="bottom"/>
            <w:tcBorders>
              <w:right w:val="single" w:sz="8" w:color="auto"/>
            </w:tcBorders>
            <w:shd w:val="clear" w:color="auto" w:fill="D9D9D9"/>
          </w:tcPr>
          <w:p>
            <w:pPr>
              <w:jc w:val="center"/>
              <w:spacing w:after="0" w:line="222" w:lineRule="exact"/>
              <w:rPr>
                <w:sz w:val="20"/>
                <w:szCs w:val="20"/>
                <w:color w:val="auto"/>
              </w:rPr>
            </w:pPr>
            <w:r>
              <w:rPr>
                <w:rFonts w:ascii="Times New Roman" w:cs="Times New Roman" w:eastAsia="Times New Roman" w:hAnsi="Times New Roman"/>
                <w:sz w:val="22"/>
                <w:szCs w:val="22"/>
                <w:b w:val="1"/>
                <w:bCs w:val="1"/>
                <w:color w:val="auto"/>
                <w:w w:val="97"/>
              </w:rPr>
              <w:t>Pre-POC Milestone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vMerge w:val="restart"/>
            <w:shd w:val="clear" w:color="auto" w:fill="D9D9D9"/>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Number</w:t>
            </w:r>
          </w:p>
        </w:tc>
        <w:tc>
          <w:tcPr>
            <w:tcW w:w="1720" w:type="dxa"/>
            <w:vAlign w:val="bottom"/>
            <w:shd w:val="clear" w:color="auto" w:fill="D9D9D9"/>
          </w:tcPr>
          <w:p>
            <w:pPr>
              <w:spacing w:after="0"/>
              <w:rPr>
                <w:sz w:val="14"/>
                <w:szCs w:val="14"/>
                <w:color w:val="auto"/>
              </w:rPr>
            </w:pPr>
          </w:p>
        </w:tc>
        <w:tc>
          <w:tcPr>
            <w:tcW w:w="5100" w:type="dxa"/>
            <w:vAlign w:val="bottom"/>
            <w:tcBorders>
              <w:right w:val="single" w:sz="8" w:color="auto"/>
            </w:tcBorders>
            <w:vMerge w:val="continue"/>
            <w:shd w:val="clear" w:color="auto" w:fill="D9D9D9"/>
          </w:tcPr>
          <w:p>
            <w:pPr>
              <w:spacing w:after="0"/>
              <w:rPr>
                <w:sz w:val="14"/>
                <w:szCs w:val="14"/>
                <w:color w:val="auto"/>
              </w:rPr>
            </w:pPr>
          </w:p>
        </w:tc>
        <w:tc>
          <w:tcPr>
            <w:tcW w:w="27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0" w:type="dxa"/>
            <w:vAlign w:val="bottom"/>
            <w:tcBorders>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1720" w:type="dxa"/>
            <w:vAlign w:val="bottom"/>
            <w:tcBorders>
              <w:bottom w:val="single" w:sz="8" w:color="auto"/>
            </w:tcBorders>
            <w:shd w:val="clear" w:color="auto" w:fill="D9D9D9"/>
          </w:tcPr>
          <w:p>
            <w:pPr>
              <w:spacing w:after="0"/>
              <w:rPr>
                <w:sz w:val="10"/>
                <w:szCs w:val="10"/>
                <w:color w:val="auto"/>
              </w:rPr>
            </w:pPr>
          </w:p>
        </w:tc>
        <w:tc>
          <w:tcPr>
            <w:tcW w:w="5100" w:type="dxa"/>
            <w:vAlign w:val="bottom"/>
            <w:tcBorders>
              <w:bottom w:val="single" w:sz="8" w:color="auto"/>
              <w:right w:val="single" w:sz="8" w:color="auto"/>
            </w:tcBorders>
            <w:shd w:val="clear" w:color="auto" w:fill="D9D9D9"/>
          </w:tcPr>
          <w:p>
            <w:pPr>
              <w:spacing w:after="0"/>
              <w:rPr>
                <w:sz w:val="10"/>
                <w:szCs w:val="10"/>
                <w:color w:val="auto"/>
              </w:rPr>
            </w:pPr>
          </w:p>
        </w:tc>
        <w:tc>
          <w:tcPr>
            <w:tcW w:w="270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2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right"/>
              <w:ind w:right="912"/>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510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jc w:val="right"/>
              <w:ind w:right="2032"/>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20" w:type="dxa"/>
            <w:vAlign w:val="bottom"/>
            <w:tcBorders>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6820" w:type="dxa"/>
            <w:vAlign w:val="bottom"/>
            <w:tcBorders>
              <w:bottom w:val="single" w:sz="8" w:color="auto"/>
              <w:right w:val="single" w:sz="8" w:color="auto"/>
            </w:tcBorders>
            <w:gridSpan w:val="2"/>
          </w:tcPr>
          <w:p>
            <w:pPr>
              <w:spacing w:after="0"/>
              <w:rPr>
                <w:sz w:val="11"/>
                <w:szCs w:val="11"/>
                <w:color w:val="auto"/>
              </w:rPr>
            </w:pPr>
          </w:p>
        </w:tc>
        <w:tc>
          <w:tcPr>
            <w:tcW w:w="27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0"/>
        </w:trPr>
        <w:tc>
          <w:tcPr>
            <w:tcW w:w="1660" w:type="dxa"/>
            <w:vAlign w:val="bottom"/>
            <w:gridSpan w:val="2"/>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7"/>
              </w:rPr>
              <w:t>will the [***].</w:t>
            </w:r>
          </w:p>
        </w:tc>
        <w:tc>
          <w:tcPr>
            <w:tcW w:w="9560" w:type="dxa"/>
            <w:vAlign w:val="bottom"/>
            <w:gridSpan w:val="4"/>
          </w:tcPr>
          <w:p>
            <w:pPr>
              <w:ind w:left="1340"/>
              <w:spacing w:after="0"/>
              <w:rPr>
                <w:sz w:val="20"/>
                <w:szCs w:val="20"/>
                <w:color w:val="auto"/>
              </w:rPr>
            </w:pPr>
            <w:r>
              <w:rPr>
                <w:rFonts w:ascii="Times New Roman" w:cs="Times New Roman" w:eastAsia="Times New Roman" w:hAnsi="Times New Roman"/>
                <w:sz w:val="22"/>
                <w:szCs w:val="22"/>
                <w:color w:val="auto"/>
                <w:w w:val="99"/>
              </w:rPr>
              <w:t>(i)  In no event will the Pre-POC Milestone Payments with respect to [***] exceed [***], nor</w:t>
            </w:r>
          </w:p>
        </w:tc>
        <w:tc>
          <w:tcPr>
            <w:tcW w:w="0" w:type="dxa"/>
            <w:vAlign w:val="bottom"/>
          </w:tcPr>
          <w:p>
            <w:pPr>
              <w:spacing w:after="0"/>
              <w:rPr>
                <w:sz w:val="1"/>
                <w:szCs w:val="1"/>
                <w:color w:val="auto"/>
              </w:rPr>
            </w:pPr>
          </w:p>
        </w:tc>
      </w:tr>
      <w:tr>
        <w:trPr>
          <w:trHeight w:val="243"/>
        </w:trPr>
        <w:tc>
          <w:tcPr>
            <w:tcW w:w="1660" w:type="dxa"/>
            <w:vAlign w:val="bottom"/>
            <w:gridSpan w:val="2"/>
            <w:vMerge w:val="continue"/>
          </w:tcPr>
          <w:p>
            <w:pPr>
              <w:spacing w:after="0"/>
              <w:rPr>
                <w:sz w:val="21"/>
                <w:szCs w:val="21"/>
                <w:color w:val="auto"/>
              </w:rPr>
            </w:pPr>
          </w:p>
        </w:tc>
        <w:tc>
          <w:tcPr>
            <w:tcW w:w="17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2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b w:val="1"/>
                <w:bCs w:val="1"/>
                <w:color w:val="auto"/>
              </w:rPr>
              <w:t>Additional Provisions</w:t>
            </w:r>
            <w:r>
              <w:rPr>
                <w:rFonts w:ascii="Times New Roman" w:cs="Times New Roman" w:eastAsia="Times New Roman" w:hAnsi="Times New Roman"/>
                <w:sz w:val="22"/>
                <w:szCs w:val="22"/>
                <w:color w:val="auto"/>
              </w:rPr>
              <w:t>.</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(i)</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For [***]. By way of example, [***]. As an alternative example, [***].</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(ii)</w:t>
            </w:r>
          </w:p>
        </w:tc>
        <w:tc>
          <w:tcPr>
            <w:tcW w:w="5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For the avoidance of doubt, (I) [***].</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(iii)</w:t>
            </w:r>
          </w:p>
        </w:tc>
        <w:tc>
          <w:tcPr>
            <w:tcW w:w="5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480"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11.2.3 </w:t>
      </w:r>
      <w:r>
        <w:rPr>
          <w:rFonts w:ascii="Times New Roman" w:cs="Times New Roman" w:eastAsia="Times New Roman" w:hAnsi="Times New Roman"/>
          <w:sz w:val="22"/>
          <w:szCs w:val="22"/>
          <w:b w:val="1"/>
          <w:bCs w:val="1"/>
          <w:u w:val="single" w:color="auto"/>
          <w:color w:val="auto"/>
        </w:rPr>
        <w:t>Post-POC Milestones</w:t>
      </w:r>
      <w:r>
        <w:rPr>
          <w:rFonts w:ascii="Times New Roman" w:cs="Times New Roman" w:eastAsia="Times New Roman" w:hAnsi="Times New Roman"/>
          <w:sz w:val="22"/>
          <w:szCs w:val="22"/>
          <w:color w:val="auto"/>
        </w:rPr>
        <w:t>. On a Collaboration Target-by-Collaboration Target basis, to the extent indicated below, on a Licensed Product-by-Licensed Product basis, Sanofi will pay to Kymera the milestone payments (each a “</w:t>
      </w:r>
      <w:r>
        <w:rPr>
          <w:rFonts w:ascii="Times New Roman" w:cs="Times New Roman" w:eastAsia="Times New Roman" w:hAnsi="Times New Roman"/>
          <w:sz w:val="22"/>
          <w:szCs w:val="22"/>
          <w:b w:val="1"/>
          <w:bCs w:val="1"/>
          <w:color w:val="auto"/>
        </w:rPr>
        <w:t>Post-POC Milestone Payment</w:t>
      </w:r>
      <w:r>
        <w:rPr>
          <w:rFonts w:ascii="Times New Roman" w:cs="Times New Roman" w:eastAsia="Times New Roman" w:hAnsi="Times New Roman"/>
          <w:sz w:val="22"/>
          <w:szCs w:val="22"/>
          <w:color w:val="auto"/>
        </w:rPr>
        <w:t>”, and together with the Early Development Milestone Payments and the Pre-POC Milestone Payments, the “</w:t>
      </w:r>
      <w:r>
        <w:rPr>
          <w:rFonts w:ascii="Times New Roman" w:cs="Times New Roman" w:eastAsia="Times New Roman" w:hAnsi="Times New Roman"/>
          <w:sz w:val="22"/>
          <w:szCs w:val="22"/>
          <w:b w:val="1"/>
          <w:bCs w:val="1"/>
          <w:color w:val="auto"/>
        </w:rPr>
        <w:t>Development Milestone Payments</w:t>
      </w:r>
      <w:r>
        <w:rPr>
          <w:rFonts w:ascii="Times New Roman" w:cs="Times New Roman" w:eastAsia="Times New Roman" w:hAnsi="Times New Roman"/>
          <w:sz w:val="22"/>
          <w:szCs w:val="22"/>
          <w:color w:val="auto"/>
        </w:rPr>
        <w:t xml:space="preserve">”) set forth in this </w:t>
      </w:r>
      <w:r>
        <w:rPr>
          <w:rFonts w:ascii="Times New Roman" w:cs="Times New Roman" w:eastAsia="Times New Roman" w:hAnsi="Times New Roman"/>
          <w:sz w:val="22"/>
          <w:szCs w:val="22"/>
          <w:u w:val="single" w:color="auto"/>
          <w:color w:val="auto"/>
        </w:rPr>
        <w:t>Section 11.2.3</w:t>
      </w:r>
      <w:r>
        <w:rPr>
          <w:rFonts w:ascii="Times New Roman" w:cs="Times New Roman" w:eastAsia="Times New Roman" w:hAnsi="Times New Roman"/>
          <w:sz w:val="22"/>
          <w:szCs w:val="22"/>
          <w:color w:val="auto"/>
        </w:rPr>
        <w:t xml:space="preserve"> upon the [***] (each a “</w:t>
      </w:r>
      <w:r>
        <w:rPr>
          <w:rFonts w:ascii="Times New Roman" w:cs="Times New Roman" w:eastAsia="Times New Roman" w:hAnsi="Times New Roman"/>
          <w:sz w:val="22"/>
          <w:szCs w:val="22"/>
          <w:b w:val="1"/>
          <w:bCs w:val="1"/>
          <w:color w:val="auto"/>
        </w:rPr>
        <w:t>Post-POC Milestone Event</w:t>
      </w:r>
      <w:r>
        <w:rPr>
          <w:rFonts w:ascii="Times New Roman" w:cs="Times New Roman" w:eastAsia="Times New Roman" w:hAnsi="Times New Roman"/>
          <w:sz w:val="22"/>
          <w:szCs w:val="22"/>
          <w:color w:val="auto"/>
        </w:rPr>
        <w:t>”, and together with the Early Development Milestone Events and the Pre-POC Milestone Events, the “</w:t>
      </w:r>
      <w:r>
        <w:rPr>
          <w:rFonts w:ascii="Times New Roman" w:cs="Times New Roman" w:eastAsia="Times New Roman" w:hAnsi="Times New Roman"/>
          <w:sz w:val="22"/>
          <w:szCs w:val="22"/>
          <w:b w:val="1"/>
          <w:bCs w:val="1"/>
          <w:color w:val="auto"/>
        </w:rPr>
        <w:t>Development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61" w:name="page262"/>
    <w:bookmarkEnd w:id="261"/>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480"/>
        <w:spacing w:after="0" w:line="262" w:lineRule="auto"/>
        <w:rPr>
          <w:sz w:val="20"/>
          <w:szCs w:val="20"/>
          <w:color w:val="auto"/>
        </w:rPr>
      </w:pPr>
      <w:r>
        <w:rPr>
          <w:rFonts w:ascii="Times New Roman" w:cs="Times New Roman" w:eastAsia="Times New Roman" w:hAnsi="Times New Roman"/>
          <w:sz w:val="22"/>
          <w:szCs w:val="22"/>
          <w:b w:val="1"/>
          <w:bCs w:val="1"/>
          <w:color w:val="auto"/>
        </w:rPr>
        <w:t>Milestone Events</w:t>
      </w:r>
      <w:r>
        <w:rPr>
          <w:rFonts w:ascii="Times New Roman" w:cs="Times New Roman" w:eastAsia="Times New Roman" w:hAnsi="Times New Roman"/>
          <w:sz w:val="22"/>
          <w:szCs w:val="22"/>
          <w:color w:val="auto"/>
        </w:rPr>
        <w:t>”) with respect to a Licensed Product Directed Against each Collaboration Target, in each case,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reductions forth in this </w:t>
      </w:r>
      <w:r>
        <w:rPr>
          <w:rFonts w:ascii="Times New Roman" w:cs="Times New Roman" w:eastAsia="Times New Roman" w:hAnsi="Times New Roman"/>
          <w:sz w:val="22"/>
          <w:szCs w:val="22"/>
          <w:u w:val="single" w:color="auto"/>
          <w:color w:val="auto"/>
        </w:rPr>
        <w:t>Section 11.2.3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11.2.5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36130" cy="6108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3">
                      <a:extLst>
                        <a:ext uri="{28A0092B-C50C-407E-A947-70E740481C1C}"/>
                      </a:extLst>
                    </a:blip>
                    <a:srcRect/>
                    <a:stretch>
                      <a:fillRect/>
                    </a:stretch>
                  </pic:blipFill>
                  <pic:spPr bwMode="auto">
                    <a:xfrm>
                      <a:off x="0" y="0"/>
                      <a:ext cx="7136130" cy="610870"/>
                    </a:xfrm>
                    <a:prstGeom prst="rect">
                      <a:avLst/>
                    </a:prstGeom>
                    <a:noFill/>
                  </pic:spPr>
                </pic:pic>
              </a:graphicData>
            </a:graphic>
          </wp:anchor>
        </w:drawing>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Collaboration Target 1 – Post-POC Milestones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80" w:type="dxa"/>
            <w:vAlign w:val="bottom"/>
            <w:tcBorders>
              <w:top w:val="single" w:sz="8" w:color="auto"/>
              <w:left w:val="single" w:sz="8" w:color="auto"/>
              <w:right w:val="single" w:sz="8" w:color="auto"/>
            </w:tcBorders>
          </w:tcPr>
          <w:p>
            <w:pPr>
              <w:jc w:val="right"/>
              <w:ind w:right="212"/>
              <w:spacing w:after="0" w:line="242" w:lineRule="exact"/>
              <w:rPr>
                <w:sz w:val="20"/>
                <w:szCs w:val="20"/>
                <w:color w:val="auto"/>
              </w:rPr>
            </w:pPr>
            <w:r>
              <w:rPr>
                <w:rFonts w:ascii="Times New Roman" w:cs="Times New Roman" w:eastAsia="Times New Roman" w:hAnsi="Times New Roman"/>
                <w:sz w:val="22"/>
                <w:szCs w:val="22"/>
                <w:b w:val="1"/>
                <w:bCs w:val="1"/>
                <w:color w:val="auto"/>
              </w:rPr>
              <w:t>Milestone</w:t>
            </w:r>
          </w:p>
        </w:tc>
        <w:tc>
          <w:tcPr>
            <w:tcW w:w="4040" w:type="dxa"/>
            <w:vAlign w:val="bottom"/>
            <w:tcBorders>
              <w:top w:val="single" w:sz="8" w:color="auto"/>
              <w:right w:val="single" w:sz="8" w:color="auto"/>
            </w:tcBorders>
            <w:vMerge w:val="restart"/>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Post-POC Milestone Event</w:t>
            </w:r>
          </w:p>
        </w:tc>
        <w:tc>
          <w:tcPr>
            <w:tcW w:w="600" w:type="dxa"/>
            <w:vAlign w:val="bottom"/>
            <w:tcBorders>
              <w:top w:val="single" w:sz="8" w:color="auto"/>
            </w:tcBorders>
          </w:tcPr>
          <w:p>
            <w:pPr>
              <w:spacing w:after="0"/>
              <w:rPr>
                <w:sz w:val="21"/>
                <w:szCs w:val="21"/>
                <w:color w:val="auto"/>
              </w:rPr>
            </w:pPr>
          </w:p>
        </w:tc>
        <w:tc>
          <w:tcPr>
            <w:tcW w:w="22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Column A: </w:t>
            </w:r>
            <w:r>
              <w:rPr>
                <w:rFonts w:ascii="Times New Roman" w:cs="Times New Roman" w:eastAsia="Times New Roman" w:hAnsi="Times New Roman"/>
                <w:sz w:val="22"/>
                <w:szCs w:val="22"/>
                <w:color w:val="auto"/>
              </w:rPr>
              <w:t>[***]</w:t>
            </w:r>
          </w:p>
        </w:tc>
        <w:tc>
          <w:tcPr>
            <w:tcW w:w="2860" w:type="dxa"/>
            <w:vAlign w:val="bottom"/>
            <w:tcBorders>
              <w:top w:val="single" w:sz="8" w:color="auto"/>
              <w:right w:val="single" w:sz="8" w:color="auto"/>
            </w:tcBorders>
          </w:tcPr>
          <w:p>
            <w:pPr>
              <w:jc w:val="right"/>
              <w:ind w:right="512"/>
              <w:spacing w:after="0" w:line="242" w:lineRule="exact"/>
              <w:rPr>
                <w:sz w:val="20"/>
                <w:szCs w:val="20"/>
                <w:color w:val="auto"/>
              </w:rPr>
            </w:pPr>
            <w:r>
              <w:rPr>
                <w:rFonts w:ascii="Times New Roman" w:cs="Times New Roman" w:eastAsia="Times New Roman" w:hAnsi="Times New Roman"/>
                <w:sz w:val="22"/>
                <w:szCs w:val="22"/>
                <w:b w:val="1"/>
                <w:bCs w:val="1"/>
                <w:color w:val="auto"/>
              </w:rPr>
              <w:t xml:space="preserve">Column B: </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65"/>
        </w:trPr>
        <w:tc>
          <w:tcPr>
            <w:tcW w:w="1480" w:type="dxa"/>
            <w:vAlign w:val="bottom"/>
            <w:tcBorders>
              <w:left w:val="single" w:sz="8" w:color="auto"/>
              <w:right w:val="single" w:sz="8" w:color="auto"/>
            </w:tcBorders>
            <w:vMerge w:val="restart"/>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Number</w:t>
            </w:r>
          </w:p>
        </w:tc>
        <w:tc>
          <w:tcPr>
            <w:tcW w:w="4040" w:type="dxa"/>
            <w:vAlign w:val="bottom"/>
            <w:tcBorders>
              <w:right w:val="single" w:sz="8" w:color="auto"/>
            </w:tcBorders>
            <w:vMerge w:val="continue"/>
          </w:tcPr>
          <w:p>
            <w:pPr>
              <w:spacing w:after="0"/>
              <w:rPr>
                <w:sz w:val="14"/>
                <w:szCs w:val="14"/>
                <w:color w:val="auto"/>
              </w:rPr>
            </w:pPr>
          </w:p>
        </w:tc>
        <w:tc>
          <w:tcPr>
            <w:tcW w:w="600" w:type="dxa"/>
            <w:vAlign w:val="bottom"/>
          </w:tcPr>
          <w:p>
            <w:pPr>
              <w:spacing w:after="0"/>
              <w:rPr>
                <w:sz w:val="14"/>
                <w:szCs w:val="14"/>
                <w:color w:val="auto"/>
              </w:rPr>
            </w:pPr>
          </w:p>
        </w:tc>
        <w:tc>
          <w:tcPr>
            <w:tcW w:w="2260" w:type="dxa"/>
            <w:vAlign w:val="bottom"/>
            <w:tcBorders>
              <w:right w:val="single" w:sz="8" w:color="auto"/>
            </w:tcBorders>
            <w:vMerge w:val="continue"/>
          </w:tcPr>
          <w:p>
            <w:pPr>
              <w:spacing w:after="0"/>
              <w:rPr>
                <w:sz w:val="14"/>
                <w:szCs w:val="14"/>
                <w:color w:val="auto"/>
              </w:rPr>
            </w:pPr>
          </w:p>
        </w:tc>
        <w:tc>
          <w:tcPr>
            <w:tcW w:w="28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404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4"/>
                <w:szCs w:val="24"/>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80" w:type="dxa"/>
            <w:vAlign w:val="bottom"/>
            <w:tcBorders>
              <w:left w:val="single" w:sz="8" w:color="auto"/>
              <w:right w:val="single" w:sz="8" w:color="auto"/>
            </w:tcBorders>
          </w:tcPr>
          <w:p>
            <w:pPr>
              <w:jc w:val="right"/>
              <w:ind w:right="792"/>
              <w:spacing w:after="0"/>
              <w:rPr>
                <w:sz w:val="20"/>
                <w:szCs w:val="20"/>
                <w:color w:val="auto"/>
              </w:rPr>
            </w:pPr>
            <w:r>
              <w:rPr>
                <w:rFonts w:ascii="Times New Roman" w:cs="Times New Roman" w:eastAsia="Times New Roman" w:hAnsi="Times New Roman"/>
                <w:sz w:val="22"/>
                <w:szCs w:val="22"/>
                <w:color w:val="auto"/>
              </w:rPr>
              <w:t>[***]</w:t>
            </w:r>
          </w:p>
        </w:tc>
        <w:tc>
          <w:tcPr>
            <w:tcW w:w="4040" w:type="dxa"/>
            <w:vAlign w:val="bottom"/>
            <w:tcBorders>
              <w:right w:val="single" w:sz="8" w:color="auto"/>
            </w:tcBorders>
          </w:tcPr>
          <w:p>
            <w:pPr>
              <w:jc w:val="right"/>
              <w:ind w:right="3372"/>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Borders>
              <w:right w:val="single" w:sz="8" w:color="auto"/>
            </w:tcBorders>
          </w:tcPr>
          <w:p>
            <w:pPr>
              <w:spacing w:after="0"/>
              <w:rPr>
                <w:sz w:val="23"/>
                <w:szCs w:val="23"/>
                <w:color w:val="auto"/>
              </w:rPr>
            </w:pPr>
          </w:p>
        </w:tc>
        <w:tc>
          <w:tcPr>
            <w:tcW w:w="2860" w:type="dxa"/>
            <w:vAlign w:val="bottom"/>
            <w:tcBorders>
              <w:right w:val="single" w:sz="8" w:color="auto"/>
            </w:tcBorders>
          </w:tcPr>
          <w:p>
            <w:pPr>
              <w:jc w:val="right"/>
              <w:ind w:right="219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auto"/>
              <w:right w:val="single" w:sz="8" w:color="auto"/>
            </w:tcBorders>
          </w:tcPr>
          <w:p>
            <w:pPr>
              <w:spacing w:after="0"/>
              <w:rPr>
                <w:sz w:val="11"/>
                <w:szCs w:val="11"/>
                <w:color w:val="auto"/>
              </w:rPr>
            </w:pPr>
          </w:p>
        </w:tc>
        <w:tc>
          <w:tcPr>
            <w:tcW w:w="40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 provided that, for the avoidance of doubt, (I) [***].</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clarity, the amounts in Columns A and B with respect to [***]. For further clarity, as indicated in the table above, certain Milestone Events are achievable with respect to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Post-POC Milestone Payments for Collaboration Target 1 are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illustration purposes only: If a Licensed Product [***].</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Post-POC Milestone Payment associated with the [***] Post-POC Milestone Event with respect to Collaboration Target 1 is due in addition to the Post-POC Milestone Payments associated with the [***] Post-POC Milestone Event with respect to Collaboration Target 1, and will occur in connection with the [***]. For clarity, the [***] Post-POC Milestone Event with respect to Collaboration Target 1 is payable [***].</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avoidance of doubt,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For the avoidance of doubt, [***]. Further, in no event will the Post-POC Milestone Payments associated with Collaboration Target 1 exceed [***].</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810" w:type="dxa"/>
        <w:tblCellMar>
          <w:top w:w="0" w:type="dxa"/>
          <w:left w:w="0" w:type="dxa"/>
          <w:bottom w:w="0" w:type="dxa"/>
          <w:right w:w="0" w:type="dxa"/>
        </w:tblCellMar>
      </w:tblPr>
      <w:tr>
        <w:trPr>
          <w:trHeight w:val="353"/>
        </w:trPr>
        <w:tc>
          <w:tcPr>
            <w:tcW w:w="1460" w:type="dxa"/>
            <w:vAlign w:val="bottom"/>
            <w:tcBorders>
              <w:top w:val="single" w:sz="8" w:color="auto"/>
              <w:left w:val="single" w:sz="8" w:color="auto"/>
              <w:right w:val="single" w:sz="8" w:color="D9D9D9"/>
            </w:tcBorders>
            <w:shd w:val="clear" w:color="auto" w:fill="D9D9D9"/>
          </w:tcPr>
          <w:p>
            <w:pPr>
              <w:spacing w:after="0"/>
              <w:rPr>
                <w:sz w:val="24"/>
                <w:szCs w:val="24"/>
                <w:color w:val="auto"/>
              </w:rPr>
            </w:pPr>
          </w:p>
        </w:tc>
        <w:tc>
          <w:tcPr>
            <w:tcW w:w="900" w:type="dxa"/>
            <w:vAlign w:val="bottom"/>
            <w:tcBorders>
              <w:top w:val="single" w:sz="8" w:color="auto"/>
            </w:tcBorders>
            <w:shd w:val="clear" w:color="auto" w:fill="D9D9D9"/>
          </w:tcPr>
          <w:p>
            <w:pPr>
              <w:spacing w:after="0"/>
              <w:rPr>
                <w:sz w:val="24"/>
                <w:szCs w:val="24"/>
                <w:color w:val="auto"/>
              </w:rPr>
            </w:pPr>
          </w:p>
        </w:tc>
        <w:tc>
          <w:tcPr>
            <w:tcW w:w="5180" w:type="dxa"/>
            <w:vAlign w:val="bottom"/>
            <w:tcBorders>
              <w:top w:val="single" w:sz="8" w:color="auto"/>
              <w:right w:val="single" w:sz="8" w:color="D9D9D9"/>
            </w:tcBorders>
            <w:shd w:val="clear" w:color="auto" w:fill="D9D9D9"/>
          </w:tcPr>
          <w:p>
            <w:pPr>
              <w:ind w:left="340"/>
              <w:spacing w:after="0"/>
              <w:rPr>
                <w:sz w:val="20"/>
                <w:szCs w:val="20"/>
                <w:color w:val="auto"/>
              </w:rPr>
            </w:pPr>
            <w:r>
              <w:rPr>
                <w:rFonts w:ascii="Times New Roman" w:cs="Times New Roman" w:eastAsia="Times New Roman" w:hAnsi="Times New Roman"/>
                <w:sz w:val="22"/>
                <w:szCs w:val="22"/>
                <w:b w:val="1"/>
                <w:bCs w:val="1"/>
                <w:color w:val="auto"/>
              </w:rPr>
              <w:t>Collaboration Target 2 – Post-POC Milestones</w:t>
            </w:r>
          </w:p>
        </w:tc>
        <w:tc>
          <w:tcPr>
            <w:tcW w:w="214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460" w:type="dxa"/>
            <w:vAlign w:val="bottom"/>
            <w:tcBorders>
              <w:left w:val="single" w:sz="8" w:color="auto"/>
              <w:bottom w:val="single" w:sz="8" w:color="auto"/>
              <w:right w:val="single" w:sz="8" w:color="D9D9D9"/>
            </w:tcBorders>
            <w:shd w:val="clear" w:color="auto" w:fill="D9D9D9"/>
          </w:tcPr>
          <w:p>
            <w:pPr>
              <w:spacing w:after="0"/>
              <w:rPr>
                <w:sz w:val="5"/>
                <w:szCs w:val="5"/>
                <w:color w:val="auto"/>
              </w:rPr>
            </w:pPr>
          </w:p>
        </w:tc>
        <w:tc>
          <w:tcPr>
            <w:tcW w:w="900" w:type="dxa"/>
            <w:vAlign w:val="bottom"/>
            <w:tcBorders>
              <w:bottom w:val="single" w:sz="8" w:color="auto"/>
            </w:tcBorders>
            <w:shd w:val="clear" w:color="auto" w:fill="D9D9D9"/>
          </w:tcPr>
          <w:p>
            <w:pPr>
              <w:spacing w:after="0"/>
              <w:rPr>
                <w:sz w:val="5"/>
                <w:szCs w:val="5"/>
                <w:color w:val="auto"/>
              </w:rPr>
            </w:pPr>
          </w:p>
        </w:tc>
        <w:tc>
          <w:tcPr>
            <w:tcW w:w="5180" w:type="dxa"/>
            <w:vAlign w:val="bottom"/>
            <w:tcBorders>
              <w:bottom w:val="single" w:sz="8" w:color="auto"/>
              <w:right w:val="single" w:sz="8" w:color="D9D9D9"/>
            </w:tcBorders>
            <w:shd w:val="clear" w:color="auto" w:fill="D9D9D9"/>
          </w:tcPr>
          <w:p>
            <w:pPr>
              <w:spacing w:after="0"/>
              <w:rPr>
                <w:sz w:val="5"/>
                <w:szCs w:val="5"/>
                <w:color w:val="auto"/>
              </w:rPr>
            </w:pPr>
          </w:p>
        </w:tc>
        <w:tc>
          <w:tcPr>
            <w:tcW w:w="2140" w:type="dxa"/>
            <w:vAlign w:val="bottom"/>
            <w:tcBorders>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460" w:type="dxa"/>
            <w:vAlign w:val="bottom"/>
            <w:tcBorders>
              <w:left w:val="single" w:sz="8" w:color="D9D9D9"/>
              <w:right w:val="single" w:sz="8" w:color="auto"/>
            </w:tcBorders>
            <w:shd w:val="clear" w:color="auto" w:fill="D9D9D9"/>
          </w:tcPr>
          <w:p>
            <w:pPr>
              <w:jc w:val="right"/>
              <w:ind w:right="212"/>
              <w:spacing w:after="0" w:line="222" w:lineRule="exact"/>
              <w:rPr>
                <w:sz w:val="20"/>
                <w:szCs w:val="20"/>
                <w:color w:val="auto"/>
              </w:rPr>
            </w:pPr>
            <w:r>
              <w:rPr>
                <w:rFonts w:ascii="Times New Roman" w:cs="Times New Roman" w:eastAsia="Times New Roman" w:hAnsi="Times New Roman"/>
                <w:sz w:val="22"/>
                <w:szCs w:val="22"/>
                <w:b w:val="1"/>
                <w:bCs w:val="1"/>
                <w:color w:val="auto"/>
              </w:rPr>
              <w:t>Milestone</w:t>
            </w:r>
          </w:p>
        </w:tc>
        <w:tc>
          <w:tcPr>
            <w:tcW w:w="900" w:type="dxa"/>
            <w:vAlign w:val="bottom"/>
            <w:shd w:val="clear" w:color="auto" w:fill="D9D9D9"/>
          </w:tcPr>
          <w:p>
            <w:pPr>
              <w:spacing w:after="0"/>
              <w:rPr>
                <w:sz w:val="19"/>
                <w:szCs w:val="19"/>
                <w:color w:val="auto"/>
              </w:rPr>
            </w:pPr>
          </w:p>
        </w:tc>
        <w:tc>
          <w:tcPr>
            <w:tcW w:w="5180" w:type="dxa"/>
            <w:vAlign w:val="bottom"/>
            <w:tcBorders>
              <w:right w:val="single" w:sz="8" w:color="auto"/>
            </w:tcBorders>
            <w:vMerge w:val="restart"/>
            <w:shd w:val="clear" w:color="auto" w:fill="D9D9D9"/>
          </w:tcPr>
          <w:p>
            <w:pPr>
              <w:ind w:left="900"/>
              <w:spacing w:after="0"/>
              <w:rPr>
                <w:sz w:val="20"/>
                <w:szCs w:val="20"/>
                <w:color w:val="auto"/>
              </w:rPr>
            </w:pPr>
            <w:r>
              <w:rPr>
                <w:rFonts w:ascii="Times New Roman" w:cs="Times New Roman" w:eastAsia="Times New Roman" w:hAnsi="Times New Roman"/>
                <w:sz w:val="22"/>
                <w:szCs w:val="22"/>
                <w:b w:val="1"/>
                <w:bCs w:val="1"/>
                <w:color w:val="auto"/>
              </w:rPr>
              <w:t>Post-POC Milestone Event</w:t>
            </w:r>
          </w:p>
        </w:tc>
        <w:tc>
          <w:tcPr>
            <w:tcW w:w="2140" w:type="dxa"/>
            <w:vAlign w:val="bottom"/>
            <w:tcBorders>
              <w:right w:val="single" w:sz="8" w:color="auto"/>
            </w:tcBorders>
            <w:shd w:val="clear" w:color="auto" w:fill="D9D9D9"/>
          </w:tcPr>
          <w:p>
            <w:pPr>
              <w:ind w:left="120"/>
              <w:spacing w:after="0" w:line="222" w:lineRule="exact"/>
              <w:rPr>
                <w:sz w:val="20"/>
                <w:szCs w:val="20"/>
                <w:color w:val="auto"/>
              </w:rPr>
            </w:pPr>
            <w:r>
              <w:rPr>
                <w:rFonts w:ascii="Times New Roman" w:cs="Times New Roman" w:eastAsia="Times New Roman" w:hAnsi="Times New Roman"/>
                <w:sz w:val="22"/>
                <w:szCs w:val="22"/>
                <w:b w:val="1"/>
                <w:bCs w:val="1"/>
                <w:color w:val="auto"/>
              </w:rPr>
              <w:t>Post-POC Milestone</w:t>
            </w:r>
          </w:p>
        </w:tc>
        <w:tc>
          <w:tcPr>
            <w:tcW w:w="0" w:type="dxa"/>
            <w:vAlign w:val="bottom"/>
          </w:tcPr>
          <w:p>
            <w:pPr>
              <w:spacing w:after="0"/>
              <w:rPr>
                <w:sz w:val="1"/>
                <w:szCs w:val="1"/>
                <w:color w:val="auto"/>
              </w:rPr>
            </w:pPr>
          </w:p>
        </w:tc>
      </w:tr>
      <w:tr>
        <w:trPr>
          <w:trHeight w:val="165"/>
        </w:trPr>
        <w:tc>
          <w:tcPr>
            <w:tcW w:w="1460" w:type="dxa"/>
            <w:vAlign w:val="bottom"/>
            <w:tcBorders>
              <w:left w:val="single" w:sz="8" w:color="D9D9D9"/>
              <w:right w:val="single" w:sz="8" w:color="auto"/>
            </w:tcBorders>
            <w:vMerge w:val="restart"/>
            <w:shd w:val="clear" w:color="auto" w:fill="D9D9D9"/>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Number</w:t>
            </w:r>
          </w:p>
        </w:tc>
        <w:tc>
          <w:tcPr>
            <w:tcW w:w="900" w:type="dxa"/>
            <w:vAlign w:val="bottom"/>
            <w:shd w:val="clear" w:color="auto" w:fill="D9D9D9"/>
          </w:tcPr>
          <w:p>
            <w:pPr>
              <w:spacing w:after="0"/>
              <w:rPr>
                <w:sz w:val="14"/>
                <w:szCs w:val="14"/>
                <w:color w:val="auto"/>
              </w:rPr>
            </w:pPr>
          </w:p>
        </w:tc>
        <w:tc>
          <w:tcPr>
            <w:tcW w:w="5180" w:type="dxa"/>
            <w:vAlign w:val="bottom"/>
            <w:tcBorders>
              <w:right w:val="single" w:sz="8" w:color="auto"/>
            </w:tcBorders>
            <w:vMerge w:val="continue"/>
            <w:shd w:val="clear" w:color="auto" w:fill="D9D9D9"/>
          </w:tcPr>
          <w:p>
            <w:pPr>
              <w:spacing w:after="0"/>
              <w:rPr>
                <w:sz w:val="14"/>
                <w:szCs w:val="14"/>
                <w:color w:val="auto"/>
              </w:rPr>
            </w:pPr>
          </w:p>
        </w:tc>
        <w:tc>
          <w:tcPr>
            <w:tcW w:w="2140" w:type="dxa"/>
            <w:vAlign w:val="bottom"/>
            <w:tcBorders>
              <w:right w:val="single" w:sz="8" w:color="auto"/>
            </w:tcBorders>
            <w:vMerge w:val="restart"/>
            <w:shd w:val="clear" w:color="auto" w:fill="D9D9D9"/>
          </w:tcPr>
          <w:p>
            <w:pPr>
              <w:ind w:left="62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0" w:type="dxa"/>
            <w:vAlign w:val="bottom"/>
          </w:tcPr>
          <w:p>
            <w:pPr>
              <w:spacing w:after="0"/>
              <w:rPr>
                <w:sz w:val="1"/>
                <w:szCs w:val="1"/>
                <w:color w:val="auto"/>
              </w:rPr>
            </w:pPr>
          </w:p>
        </w:tc>
      </w:tr>
      <w:tr>
        <w:trPr>
          <w:trHeight w:val="122"/>
        </w:trPr>
        <w:tc>
          <w:tcPr>
            <w:tcW w:w="1460" w:type="dxa"/>
            <w:vAlign w:val="bottom"/>
            <w:tcBorders>
              <w:left w:val="single" w:sz="8" w:color="D9D9D9"/>
              <w:bottom w:val="single" w:sz="8" w:color="auto"/>
              <w:right w:val="single" w:sz="8" w:color="auto"/>
            </w:tcBorders>
            <w:vMerge w:val="continue"/>
            <w:shd w:val="clear" w:color="auto" w:fill="D9D9D9"/>
          </w:tcPr>
          <w:p>
            <w:pPr>
              <w:spacing w:after="0"/>
              <w:rPr>
                <w:sz w:val="10"/>
                <w:szCs w:val="10"/>
                <w:color w:val="auto"/>
              </w:rPr>
            </w:pPr>
          </w:p>
        </w:tc>
        <w:tc>
          <w:tcPr>
            <w:tcW w:w="900" w:type="dxa"/>
            <w:vAlign w:val="bottom"/>
            <w:tcBorders>
              <w:bottom w:val="single" w:sz="8" w:color="auto"/>
            </w:tcBorders>
            <w:shd w:val="clear" w:color="auto" w:fill="D9D9D9"/>
          </w:tcPr>
          <w:p>
            <w:pPr>
              <w:spacing w:after="0"/>
              <w:rPr>
                <w:sz w:val="10"/>
                <w:szCs w:val="10"/>
                <w:color w:val="auto"/>
              </w:rPr>
            </w:pPr>
          </w:p>
        </w:tc>
        <w:tc>
          <w:tcPr>
            <w:tcW w:w="5180" w:type="dxa"/>
            <w:vAlign w:val="bottom"/>
            <w:tcBorders>
              <w:bottom w:val="single" w:sz="8" w:color="auto"/>
              <w:right w:val="single" w:sz="8" w:color="auto"/>
            </w:tcBorders>
            <w:shd w:val="clear" w:color="auto" w:fill="D9D9D9"/>
          </w:tcPr>
          <w:p>
            <w:pPr>
              <w:spacing w:after="0"/>
              <w:rPr>
                <w:sz w:val="10"/>
                <w:szCs w:val="10"/>
                <w:color w:val="auto"/>
              </w:rPr>
            </w:pPr>
          </w:p>
        </w:tc>
        <w:tc>
          <w:tcPr>
            <w:tcW w:w="214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51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36"/>
        </w:trPr>
        <w:tc>
          <w:tcPr>
            <w:tcW w:w="146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18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Collaboration Target 2, if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illustration purposes only: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avoidance of doubt, if [***].</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All Post-POC Milestones Events with respect to each Collaboration Target that are achieved outside of the corresponding Opt-In Period will be paid at [***] of the amounts set forth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Post-POC Milestone Payments for Collaboration Target 2 is payable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63" w:name="page264"/>
    <w:bookmarkEnd w:id="263"/>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no event will the Post-POC Milestone Payments associated with Collaboration Target 2 exceed [***] nor will the total Post-POC Milestone Payments exceed [***].</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 Collaboration Target-by-Collaboration Target basis, if a Licensed Product is not required to undergo the Post-POC Milestone Event associated with any such Post-POC Milestone Payment, such skipped Post-POC Milestone Event will be deemed to have been achieved upon the achievement by such Licensed Product of the next successive Post-POC Milestone Event. Payment for any such skipped Post-POC Milestone Event that is owed in accordance with the provisions of the foregoing sentence with respect to a given Licensed Product will be due concurrently with the payment for the next successive Post-POC Milestone Event by such a Licensed Product.</w:t>
      </w:r>
    </w:p>
    <w:p>
      <w:pPr>
        <w:spacing w:after="0" w:line="177" w:lineRule="exact"/>
        <w:rPr>
          <w:sz w:val="20"/>
          <w:szCs w:val="20"/>
          <w:color w:val="auto"/>
        </w:rPr>
      </w:pPr>
    </w:p>
    <w:p>
      <w:pPr>
        <w:jc w:val="both"/>
        <w:ind w:left="480" w:firstLine="1497"/>
        <w:spacing w:after="0" w:line="252" w:lineRule="auto"/>
        <w:rPr>
          <w:sz w:val="20"/>
          <w:szCs w:val="20"/>
          <w:color w:val="auto"/>
        </w:rPr>
      </w:pPr>
      <w:r>
        <w:rPr>
          <w:rFonts w:ascii="Times New Roman" w:cs="Times New Roman" w:eastAsia="Times New Roman" w:hAnsi="Times New Roman"/>
          <w:sz w:val="21"/>
          <w:szCs w:val="21"/>
          <w:color w:val="auto"/>
        </w:rPr>
        <w:t xml:space="preserve">11.2.4 </w:t>
      </w:r>
      <w:r>
        <w:rPr>
          <w:rFonts w:ascii="Times New Roman" w:cs="Times New Roman" w:eastAsia="Times New Roman" w:hAnsi="Times New Roman"/>
          <w:sz w:val="21"/>
          <w:szCs w:val="21"/>
          <w:b w:val="1"/>
          <w:bCs w:val="1"/>
          <w:u w:val="single" w:color="auto"/>
          <w:color w:val="auto"/>
        </w:rPr>
        <w:t>Commercial Milestones</w:t>
      </w:r>
      <w:r>
        <w:rPr>
          <w:rFonts w:ascii="Times New Roman" w:cs="Times New Roman" w:eastAsia="Times New Roman" w:hAnsi="Times New Roman"/>
          <w:sz w:val="21"/>
          <w:szCs w:val="21"/>
          <w:color w:val="auto"/>
        </w:rPr>
        <w:t>. On a Collaboration Target-by-Collaboration Target basis, Sanofi will pay Kymera the milestone payments (each a “</w:t>
      </w:r>
      <w:r>
        <w:rPr>
          <w:rFonts w:ascii="Times New Roman" w:cs="Times New Roman" w:eastAsia="Times New Roman" w:hAnsi="Times New Roman"/>
          <w:sz w:val="21"/>
          <w:szCs w:val="21"/>
          <w:b w:val="1"/>
          <w:bCs w:val="1"/>
          <w:color w:val="auto"/>
        </w:rPr>
        <w:t>Commercial Milestone Payment</w:t>
      </w:r>
      <w:r>
        <w:rPr>
          <w:rFonts w:ascii="Times New Roman" w:cs="Times New Roman" w:eastAsia="Times New Roman" w:hAnsi="Times New Roman"/>
          <w:sz w:val="21"/>
          <w:szCs w:val="21"/>
          <w:color w:val="auto"/>
        </w:rPr>
        <w:t>”, and, together with the Development Milestone Payments, the “</w:t>
      </w:r>
      <w:r>
        <w:rPr>
          <w:rFonts w:ascii="Times New Roman" w:cs="Times New Roman" w:eastAsia="Times New Roman" w:hAnsi="Times New Roman"/>
          <w:sz w:val="21"/>
          <w:szCs w:val="21"/>
          <w:b w:val="1"/>
          <w:bCs w:val="1"/>
          <w:color w:val="auto"/>
        </w:rPr>
        <w:t>Milestone Payments</w:t>
      </w:r>
      <w:r>
        <w:rPr>
          <w:rFonts w:ascii="Times New Roman" w:cs="Times New Roman" w:eastAsia="Times New Roman" w:hAnsi="Times New Roman"/>
          <w:sz w:val="21"/>
          <w:szCs w:val="21"/>
          <w:color w:val="auto"/>
        </w:rPr>
        <w:t xml:space="preserve">”) set forth in this </w:t>
      </w:r>
      <w:r>
        <w:rPr>
          <w:rFonts w:ascii="Times New Roman" w:cs="Times New Roman" w:eastAsia="Times New Roman" w:hAnsi="Times New Roman"/>
          <w:sz w:val="21"/>
          <w:szCs w:val="21"/>
          <w:u w:val="single" w:color="auto"/>
          <w:color w:val="auto"/>
        </w:rPr>
        <w:t>Section 11.2.4</w:t>
      </w:r>
      <w:r>
        <w:rPr>
          <w:rFonts w:ascii="Times New Roman" w:cs="Times New Roman" w:eastAsia="Times New Roman" w:hAnsi="Times New Roman"/>
          <w:sz w:val="21"/>
          <w:szCs w:val="21"/>
          <w:color w:val="auto"/>
        </w:rPr>
        <w:t xml:space="preserve"> in accordance with the procedure set forth in </w:t>
      </w:r>
      <w:r>
        <w:rPr>
          <w:rFonts w:ascii="Times New Roman" w:cs="Times New Roman" w:eastAsia="Times New Roman" w:hAnsi="Times New Roman"/>
          <w:sz w:val="21"/>
          <w:szCs w:val="21"/>
          <w:u w:val="single" w:color="auto"/>
          <w:color w:val="auto"/>
        </w:rPr>
        <w:t>Section 11.2.5</w:t>
      </w:r>
      <w:r>
        <w:rPr>
          <w:rFonts w:ascii="Times New Roman" w:cs="Times New Roman" w:eastAsia="Times New Roman" w:hAnsi="Times New Roman"/>
          <w:sz w:val="21"/>
          <w:szCs w:val="21"/>
          <w:color w:val="auto"/>
        </w:rPr>
        <w:t xml:space="preserve"> upon the [***] (each, a “</w:t>
      </w:r>
      <w:r>
        <w:rPr>
          <w:rFonts w:ascii="Times New Roman" w:cs="Times New Roman" w:eastAsia="Times New Roman" w:hAnsi="Times New Roman"/>
          <w:sz w:val="21"/>
          <w:szCs w:val="21"/>
          <w:b w:val="1"/>
          <w:bCs w:val="1"/>
          <w:color w:val="auto"/>
        </w:rPr>
        <w:t>Commercial Milestone Event</w:t>
      </w:r>
      <w:r>
        <w:rPr>
          <w:rFonts w:ascii="Times New Roman" w:cs="Times New Roman" w:eastAsia="Times New Roman" w:hAnsi="Times New Roman"/>
          <w:sz w:val="21"/>
          <w:szCs w:val="21"/>
          <w:color w:val="auto"/>
        </w:rPr>
        <w:t>”, and, together with the Development Milestone Events, the “</w:t>
      </w:r>
      <w:r>
        <w:rPr>
          <w:rFonts w:ascii="Times New Roman" w:cs="Times New Roman" w:eastAsia="Times New Roman" w:hAnsi="Times New Roman"/>
          <w:sz w:val="21"/>
          <w:szCs w:val="21"/>
          <w:b w:val="1"/>
          <w:bCs w:val="1"/>
          <w:color w:val="auto"/>
        </w:rPr>
        <w:t>Milestone Events</w:t>
      </w:r>
      <w:r>
        <w:rPr>
          <w:rFonts w:ascii="Times New Roman" w:cs="Times New Roman" w:eastAsia="Times New Roman" w:hAnsi="Times New Roman"/>
          <w:sz w:val="21"/>
          <w:szCs w:val="21"/>
          <w:color w:val="auto"/>
        </w:rPr>
        <w:t xml:space="preserve">”) with respect to [***], in each case, subject to reductions pursuant to </w:t>
      </w:r>
      <w:r>
        <w:rPr>
          <w:rFonts w:ascii="Times New Roman" w:cs="Times New Roman" w:eastAsia="Times New Roman" w:hAnsi="Times New Roman"/>
          <w:sz w:val="21"/>
          <w:szCs w:val="21"/>
          <w:u w:val="single" w:color="auto"/>
          <w:color w:val="auto"/>
        </w:rPr>
        <w:t>Section 11.2.5</w:t>
      </w:r>
      <w:r>
        <w:rPr>
          <w:rFonts w:ascii="Times New Roman" w:cs="Times New Roman" w:eastAsia="Times New Roman" w:hAnsi="Times New Roman"/>
          <w:sz w:val="21"/>
          <w:szCs w:val="21"/>
          <w:color w:val="auto"/>
        </w:rPr>
        <w:t>.</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8660" w:type="dxa"/>
            <w:vAlign w:val="bottom"/>
            <w:tcBorders>
              <w:top w:val="single" w:sz="8" w:color="auto"/>
              <w:left w:val="single" w:sz="8" w:color="auto"/>
              <w:right w:val="single" w:sz="8" w:color="auto"/>
            </w:tcBorders>
            <w:shd w:val="clear" w:color="auto" w:fill="D9D9D9"/>
          </w:tcPr>
          <w:p>
            <w:pPr>
              <w:spacing w:after="0"/>
              <w:rPr>
                <w:sz w:val="21"/>
                <w:szCs w:val="21"/>
                <w:color w:val="auto"/>
              </w:rPr>
            </w:pPr>
          </w:p>
        </w:tc>
        <w:tc>
          <w:tcPr>
            <w:tcW w:w="1380" w:type="dxa"/>
            <w:vAlign w:val="bottom"/>
            <w:tcBorders>
              <w:top w:val="single" w:sz="8" w:color="auto"/>
            </w:tcBorders>
            <w:gridSpan w:val="2"/>
            <w:shd w:val="clear" w:color="auto" w:fill="D9D9D9"/>
          </w:tcPr>
          <w:p>
            <w:pPr>
              <w:ind w:left="80"/>
              <w:spacing w:after="0" w:line="242" w:lineRule="exact"/>
              <w:rPr>
                <w:sz w:val="20"/>
                <w:szCs w:val="20"/>
                <w:color w:val="auto"/>
              </w:rPr>
            </w:pPr>
            <w:r>
              <w:rPr>
                <w:rFonts w:ascii="Times New Roman" w:cs="Times New Roman" w:eastAsia="Times New Roman" w:hAnsi="Times New Roman"/>
                <w:sz w:val="22"/>
                <w:szCs w:val="22"/>
                <w:b w:val="1"/>
                <w:bCs w:val="1"/>
                <w:color w:val="auto"/>
              </w:rPr>
              <w:t>Commercial</w:t>
            </w:r>
          </w:p>
        </w:tc>
        <w:tc>
          <w:tcPr>
            <w:tcW w:w="1200" w:type="dxa"/>
            <w:vAlign w:val="bottom"/>
            <w:tcBorders>
              <w:top w:val="single" w:sz="8" w:color="auto"/>
              <w:right w:val="single" w:sz="8" w:color="auto"/>
            </w:tcBorders>
            <w:shd w:val="clear" w:color="auto" w:fill="D9D9D9"/>
          </w:tcPr>
          <w:p>
            <w:pPr>
              <w:jc w:val="right"/>
              <w:ind w:right="12"/>
              <w:spacing w:after="0" w:line="242" w:lineRule="exact"/>
              <w:rPr>
                <w:sz w:val="20"/>
                <w:szCs w:val="20"/>
                <w:color w:val="auto"/>
              </w:rPr>
            </w:pPr>
            <w:r>
              <w:rPr>
                <w:rFonts w:ascii="Times New Roman" w:cs="Times New Roman" w:eastAsia="Times New Roman" w:hAnsi="Times New Roman"/>
                <w:sz w:val="22"/>
                <w:szCs w:val="22"/>
                <w:b w:val="1"/>
                <w:bCs w:val="1"/>
                <w:color w:val="auto"/>
              </w:rPr>
              <w:t>Milestone</w:t>
            </w:r>
          </w:p>
        </w:tc>
      </w:tr>
      <w:tr>
        <w:trPr>
          <w:trHeight w:val="243"/>
        </w:trPr>
        <w:tc>
          <w:tcPr>
            <w:tcW w:w="8660" w:type="dxa"/>
            <w:vAlign w:val="bottom"/>
            <w:tcBorders>
              <w:left w:val="single" w:sz="8" w:color="auto"/>
              <w:right w:val="single" w:sz="8" w:color="auto"/>
            </w:tcBorders>
            <w:shd w:val="clear" w:color="auto" w:fill="D9D9D9"/>
          </w:tcPr>
          <w:p>
            <w:pPr>
              <w:spacing w:after="0"/>
              <w:rPr>
                <w:sz w:val="21"/>
                <w:szCs w:val="21"/>
                <w:color w:val="auto"/>
              </w:rPr>
            </w:pPr>
          </w:p>
        </w:tc>
        <w:tc>
          <w:tcPr>
            <w:tcW w:w="2580" w:type="dxa"/>
            <w:vAlign w:val="bottom"/>
            <w:tcBorders>
              <w:right w:val="single" w:sz="8" w:color="auto"/>
            </w:tcBorders>
            <w:gridSpan w:val="3"/>
            <w:shd w:val="clear" w:color="auto" w:fill="D9D9D9"/>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Payment for all Licensed</w:t>
            </w:r>
          </w:p>
        </w:tc>
      </w:tr>
      <w:tr>
        <w:trPr>
          <w:trHeight w:val="243"/>
        </w:trPr>
        <w:tc>
          <w:tcPr>
            <w:tcW w:w="8660" w:type="dxa"/>
            <w:vAlign w:val="bottom"/>
            <w:tcBorders>
              <w:left w:val="single" w:sz="8" w:color="auto"/>
              <w:right w:val="single" w:sz="8" w:color="auto"/>
            </w:tcBorders>
            <w:shd w:val="clear" w:color="auto" w:fill="D9D9D9"/>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Commercial Milestone Event for Collaboration Target 1</w:t>
            </w:r>
          </w:p>
        </w:tc>
        <w:tc>
          <w:tcPr>
            <w:tcW w:w="1040" w:type="dxa"/>
            <w:vAlign w:val="bottom"/>
            <w:shd w:val="clear" w:color="auto" w:fill="D9D9D9"/>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Products</w:t>
            </w:r>
          </w:p>
        </w:tc>
        <w:tc>
          <w:tcPr>
            <w:tcW w:w="340" w:type="dxa"/>
            <w:vAlign w:val="bottom"/>
            <w:shd w:val="clear" w:color="auto" w:fill="D9D9D9"/>
          </w:tcPr>
          <w:p>
            <w:pPr>
              <w:spacing w:after="0"/>
              <w:rPr>
                <w:sz w:val="21"/>
                <w:szCs w:val="21"/>
                <w:color w:val="auto"/>
              </w:rPr>
            </w:pPr>
          </w:p>
        </w:tc>
        <w:tc>
          <w:tcPr>
            <w:tcW w:w="1200" w:type="dxa"/>
            <w:vAlign w:val="bottom"/>
            <w:tcBorders>
              <w:right w:val="single" w:sz="8" w:color="auto"/>
            </w:tcBorders>
            <w:shd w:val="clear" w:color="auto" w:fill="D9D9D9"/>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Directed</w:t>
            </w:r>
          </w:p>
        </w:tc>
      </w:tr>
      <w:tr>
        <w:trPr>
          <w:trHeight w:val="243"/>
        </w:trPr>
        <w:tc>
          <w:tcPr>
            <w:tcW w:w="8660" w:type="dxa"/>
            <w:vAlign w:val="bottom"/>
            <w:tcBorders>
              <w:left w:val="single" w:sz="8" w:color="auto"/>
              <w:right w:val="single" w:sz="8" w:color="auto"/>
            </w:tcBorders>
            <w:shd w:val="clear" w:color="auto" w:fill="D9D9D9"/>
          </w:tcPr>
          <w:p>
            <w:pPr>
              <w:spacing w:after="0"/>
              <w:rPr>
                <w:sz w:val="21"/>
                <w:szCs w:val="21"/>
                <w:color w:val="auto"/>
              </w:rPr>
            </w:pPr>
          </w:p>
        </w:tc>
        <w:tc>
          <w:tcPr>
            <w:tcW w:w="1040" w:type="dxa"/>
            <w:vAlign w:val="bottom"/>
            <w:shd w:val="clear" w:color="auto" w:fill="D9D9D9"/>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Against</w:t>
            </w:r>
          </w:p>
        </w:tc>
        <w:tc>
          <w:tcPr>
            <w:tcW w:w="1540" w:type="dxa"/>
            <w:vAlign w:val="bottom"/>
            <w:tcBorders>
              <w:right w:val="single" w:sz="8" w:color="auto"/>
            </w:tcBorders>
            <w:gridSpan w:val="2"/>
            <w:shd w:val="clear" w:color="auto" w:fill="D9D9D9"/>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Collaboration</w:t>
            </w:r>
          </w:p>
        </w:tc>
      </w:tr>
      <w:tr>
        <w:trPr>
          <w:trHeight w:val="305"/>
        </w:trPr>
        <w:tc>
          <w:tcPr>
            <w:tcW w:w="866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1040" w:type="dxa"/>
            <w:vAlign w:val="bottom"/>
            <w:tcBorders>
              <w:bottom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Target 1</w:t>
            </w:r>
          </w:p>
        </w:tc>
        <w:tc>
          <w:tcPr>
            <w:tcW w:w="340" w:type="dxa"/>
            <w:vAlign w:val="bottom"/>
            <w:tcBorders>
              <w:bottom w:val="single" w:sz="8" w:color="auto"/>
            </w:tcBorders>
            <w:shd w:val="clear" w:color="auto" w:fill="D9D9D9"/>
          </w:tcPr>
          <w:p>
            <w:pPr>
              <w:spacing w:after="0"/>
              <w:rPr>
                <w:sz w:val="24"/>
                <w:szCs w:val="24"/>
                <w:color w:val="auto"/>
              </w:rPr>
            </w:pPr>
          </w:p>
        </w:tc>
        <w:tc>
          <w:tcPr>
            <w:tcW w:w="120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62"/>
        </w:trPr>
        <w:tc>
          <w:tcPr>
            <w:tcW w:w="8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r>
      <w:tr>
        <w:trPr>
          <w:trHeight w:val="133"/>
        </w:trPr>
        <w:tc>
          <w:tcPr>
            <w:tcW w:w="86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r>
      <w:tr>
        <w:trPr>
          <w:trHeight w:val="276"/>
        </w:trPr>
        <w:tc>
          <w:tcPr>
            <w:tcW w:w="8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r>
      <w:tr>
        <w:trPr>
          <w:trHeight w:val="136"/>
        </w:trPr>
        <w:tc>
          <w:tcPr>
            <w:tcW w:w="86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r>
      <w:tr>
        <w:trPr>
          <w:trHeight w:val="276"/>
        </w:trPr>
        <w:tc>
          <w:tcPr>
            <w:tcW w:w="8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r>
      <w:tr>
        <w:trPr>
          <w:trHeight w:val="136"/>
        </w:trPr>
        <w:tc>
          <w:tcPr>
            <w:tcW w:w="86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r>
      <w:tr>
        <w:trPr>
          <w:trHeight w:val="276"/>
        </w:trPr>
        <w:tc>
          <w:tcPr>
            <w:tcW w:w="8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10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r>
      <w:tr>
        <w:trPr>
          <w:trHeight w:val="136"/>
        </w:trPr>
        <w:tc>
          <w:tcPr>
            <w:tcW w:w="86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64" w:name="page265"/>
    <w:bookmarkEnd w:id="264"/>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8660" w:type="dxa"/>
            <w:vAlign w:val="bottom"/>
            <w:tcBorders>
              <w:top w:val="single" w:sz="8" w:color="auto"/>
              <w:left w:val="single" w:sz="8" w:color="auto"/>
              <w:right w:val="single" w:sz="8" w:color="auto"/>
            </w:tcBorders>
            <w:shd w:val="clear" w:color="auto" w:fill="D9D9D9"/>
          </w:tcPr>
          <w:p>
            <w:pPr>
              <w:spacing w:after="0"/>
              <w:rPr>
                <w:sz w:val="21"/>
                <w:szCs w:val="21"/>
                <w:color w:val="auto"/>
              </w:rPr>
            </w:pPr>
          </w:p>
        </w:tc>
        <w:tc>
          <w:tcPr>
            <w:tcW w:w="1360" w:type="dxa"/>
            <w:vAlign w:val="bottom"/>
            <w:tcBorders>
              <w:top w:val="single" w:sz="8" w:color="auto"/>
            </w:tcBorders>
            <w:shd w:val="clear" w:color="auto" w:fill="D9D9D9"/>
          </w:tcPr>
          <w:p>
            <w:pPr>
              <w:ind w:left="80"/>
              <w:spacing w:after="0" w:line="242" w:lineRule="exact"/>
              <w:rPr>
                <w:sz w:val="20"/>
                <w:szCs w:val="20"/>
                <w:color w:val="auto"/>
              </w:rPr>
            </w:pPr>
            <w:r>
              <w:rPr>
                <w:rFonts w:ascii="Times New Roman" w:cs="Times New Roman" w:eastAsia="Times New Roman" w:hAnsi="Times New Roman"/>
                <w:sz w:val="22"/>
                <w:szCs w:val="22"/>
                <w:b w:val="1"/>
                <w:bCs w:val="1"/>
                <w:color w:val="auto"/>
              </w:rPr>
              <w:t>Commercial</w:t>
            </w:r>
          </w:p>
        </w:tc>
        <w:tc>
          <w:tcPr>
            <w:tcW w:w="1220" w:type="dxa"/>
            <w:vAlign w:val="bottom"/>
            <w:tcBorders>
              <w:top w:val="single" w:sz="8" w:color="auto"/>
              <w:right w:val="single" w:sz="8" w:color="auto"/>
            </w:tcBorders>
            <w:shd w:val="clear" w:color="auto" w:fill="D9D9D9"/>
          </w:tcPr>
          <w:p>
            <w:pPr>
              <w:ind w:left="200"/>
              <w:spacing w:after="0" w:line="242" w:lineRule="exact"/>
              <w:rPr>
                <w:sz w:val="20"/>
                <w:szCs w:val="20"/>
                <w:color w:val="auto"/>
              </w:rPr>
            </w:pPr>
            <w:r>
              <w:rPr>
                <w:rFonts w:ascii="Times New Roman" w:cs="Times New Roman" w:eastAsia="Times New Roman" w:hAnsi="Times New Roman"/>
                <w:sz w:val="22"/>
                <w:szCs w:val="22"/>
                <w:b w:val="1"/>
                <w:bCs w:val="1"/>
                <w:color w:val="auto"/>
              </w:rPr>
              <w:t>Milestone</w:t>
            </w:r>
          </w:p>
        </w:tc>
        <w:tc>
          <w:tcPr>
            <w:tcW w:w="0" w:type="dxa"/>
            <w:vAlign w:val="bottom"/>
          </w:tcPr>
          <w:p>
            <w:pPr>
              <w:spacing w:after="0"/>
              <w:rPr>
                <w:sz w:val="1"/>
                <w:szCs w:val="1"/>
                <w:color w:val="auto"/>
              </w:rPr>
            </w:pPr>
          </w:p>
        </w:tc>
      </w:tr>
      <w:tr>
        <w:trPr>
          <w:trHeight w:val="243"/>
        </w:trPr>
        <w:tc>
          <w:tcPr>
            <w:tcW w:w="866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Commercial Milestone Event for Collaboration Target 2</w:t>
            </w:r>
          </w:p>
        </w:tc>
        <w:tc>
          <w:tcPr>
            <w:tcW w:w="1360" w:type="dxa"/>
            <w:vAlign w:val="bottom"/>
            <w:shd w:val="clear" w:color="auto" w:fill="D9D9D9"/>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Payment for</w:t>
            </w:r>
          </w:p>
        </w:tc>
        <w:tc>
          <w:tcPr>
            <w:tcW w:w="1220" w:type="dxa"/>
            <w:vAlign w:val="bottom"/>
            <w:tcBorders>
              <w:right w:val="single" w:sz="8" w:color="auto"/>
            </w:tcBorders>
            <w:shd w:val="clear" w:color="auto" w:fill="D9D9D9"/>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 Licensed</w:t>
            </w:r>
          </w:p>
        </w:tc>
        <w:tc>
          <w:tcPr>
            <w:tcW w:w="0" w:type="dxa"/>
            <w:vAlign w:val="bottom"/>
          </w:tcPr>
          <w:p>
            <w:pPr>
              <w:spacing w:after="0"/>
              <w:rPr>
                <w:sz w:val="1"/>
                <w:szCs w:val="1"/>
                <w:color w:val="auto"/>
              </w:rPr>
            </w:pPr>
          </w:p>
        </w:tc>
      </w:tr>
      <w:tr>
        <w:trPr>
          <w:trHeight w:val="165"/>
        </w:trPr>
        <w:tc>
          <w:tcPr>
            <w:tcW w:w="8660" w:type="dxa"/>
            <w:vAlign w:val="bottom"/>
            <w:tcBorders>
              <w:left w:val="single" w:sz="8" w:color="auto"/>
              <w:right w:val="single" w:sz="8" w:color="auto"/>
            </w:tcBorders>
            <w:vMerge w:val="continue"/>
            <w:shd w:val="clear" w:color="auto" w:fill="D9D9D9"/>
          </w:tcPr>
          <w:p>
            <w:pPr>
              <w:spacing w:after="0"/>
              <w:rPr>
                <w:sz w:val="14"/>
                <w:szCs w:val="14"/>
                <w:color w:val="auto"/>
              </w:rPr>
            </w:pPr>
          </w:p>
        </w:tc>
        <w:tc>
          <w:tcPr>
            <w:tcW w:w="2580" w:type="dxa"/>
            <w:vAlign w:val="bottom"/>
            <w:tcBorders>
              <w:right w:val="single" w:sz="8" w:color="auto"/>
            </w:tcBorders>
            <w:gridSpan w:val="2"/>
            <w:vMerge w:val="restart"/>
            <w:shd w:val="clear" w:color="auto" w:fill="D9D9D9"/>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Product Directed Against</w:t>
            </w:r>
          </w:p>
        </w:tc>
        <w:tc>
          <w:tcPr>
            <w:tcW w:w="0" w:type="dxa"/>
            <w:vAlign w:val="bottom"/>
          </w:tcPr>
          <w:p>
            <w:pPr>
              <w:spacing w:after="0"/>
              <w:rPr>
                <w:sz w:val="1"/>
                <w:szCs w:val="1"/>
                <w:color w:val="auto"/>
              </w:rPr>
            </w:pPr>
          </w:p>
        </w:tc>
      </w:tr>
      <w:tr>
        <w:trPr>
          <w:trHeight w:val="78"/>
        </w:trPr>
        <w:tc>
          <w:tcPr>
            <w:tcW w:w="8660" w:type="dxa"/>
            <w:vAlign w:val="bottom"/>
            <w:tcBorders>
              <w:left w:val="single" w:sz="8" w:color="auto"/>
              <w:right w:val="single" w:sz="8" w:color="auto"/>
            </w:tcBorders>
            <w:shd w:val="clear" w:color="auto" w:fill="D9D9D9"/>
          </w:tcPr>
          <w:p>
            <w:pPr>
              <w:spacing w:after="0"/>
              <w:rPr>
                <w:sz w:val="6"/>
                <w:szCs w:val="6"/>
                <w:color w:val="auto"/>
              </w:rPr>
            </w:pPr>
          </w:p>
        </w:tc>
        <w:tc>
          <w:tcPr>
            <w:tcW w:w="2580" w:type="dxa"/>
            <w:vAlign w:val="bottom"/>
            <w:tcBorders>
              <w:right w:val="single" w:sz="8" w:color="auto"/>
            </w:tcBorders>
            <w:gridSpan w:val="2"/>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866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2580" w:type="dxa"/>
            <w:vAlign w:val="bottom"/>
            <w:tcBorders>
              <w:bottom w:val="single" w:sz="8" w:color="auto"/>
              <w:right w:val="single" w:sz="8" w:color="auto"/>
            </w:tcBorders>
            <w:gridSpan w:val="2"/>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Collaboration Target 2</w:t>
            </w:r>
          </w:p>
        </w:tc>
        <w:tc>
          <w:tcPr>
            <w:tcW w:w="0" w:type="dxa"/>
            <w:vAlign w:val="bottom"/>
          </w:tcPr>
          <w:p>
            <w:pPr>
              <w:spacing w:after="0"/>
              <w:rPr>
                <w:sz w:val="1"/>
                <w:szCs w:val="1"/>
                <w:color w:val="auto"/>
              </w:rPr>
            </w:pPr>
          </w:p>
        </w:tc>
      </w:tr>
      <w:tr>
        <w:trPr>
          <w:trHeight w:val="262"/>
        </w:trPr>
        <w:tc>
          <w:tcPr>
            <w:tcW w:w="8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866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8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866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8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866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8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866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of the Commercial Milestone Payments for Collaboration Target 1 is payable [***]. Each of the Commercial Milestone Payments for Collaboration Target 2 is payable [***]. Further, in no event will the Commercial Milestone Payments associated with Collaboration Target 1 exceed [***], nor will the Commercial Milestone Payments associated with any particular Licensed Product Directed Against Collaboration Target 2 exceed [***].</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Notwithstanding anything herein to the contrary, for purposes of the Commercial Milestone Events, on a Collaboration Target-by-Collaboration Target basis, “</w:t>
      </w:r>
      <w:r>
        <w:rPr>
          <w:rFonts w:ascii="Times New Roman" w:cs="Times New Roman" w:eastAsia="Times New Roman" w:hAnsi="Times New Roman"/>
          <w:sz w:val="22"/>
          <w:szCs w:val="22"/>
          <w:b w:val="1"/>
          <w:bCs w:val="1"/>
          <w:color w:val="auto"/>
        </w:rPr>
        <w:t>Annual Net Sales</w:t>
      </w:r>
      <w:r>
        <w:rPr>
          <w:rFonts w:ascii="Times New Roman" w:cs="Times New Roman" w:eastAsia="Times New Roman" w:hAnsi="Times New Roman"/>
          <w:sz w:val="22"/>
          <w:szCs w:val="22"/>
          <w:color w:val="auto"/>
        </w:rPr>
        <w:t>” means [***].</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On a Collaboration Target-by-Collaboration Target basis, the Commercial Milestone Payments in this </w:t>
      </w:r>
      <w:r>
        <w:rPr>
          <w:rFonts w:ascii="Times New Roman" w:cs="Times New Roman" w:eastAsia="Times New Roman" w:hAnsi="Times New Roman"/>
          <w:sz w:val="22"/>
          <w:szCs w:val="22"/>
          <w:u w:val="single" w:color="auto"/>
          <w:color w:val="auto"/>
        </w:rPr>
        <w:t>Section 11.2.4</w:t>
      </w:r>
      <w:r>
        <w:rPr>
          <w:rFonts w:ascii="Times New Roman" w:cs="Times New Roman" w:eastAsia="Times New Roman" w:hAnsi="Times New Roman"/>
          <w:sz w:val="22"/>
          <w:szCs w:val="22"/>
          <w:color w:val="auto"/>
        </w:rPr>
        <w:t xml:space="preserve"> are [***], such that if more than [***]Commercial Milestone Event specified in this </w:t>
      </w:r>
      <w:r>
        <w:rPr>
          <w:rFonts w:ascii="Times New Roman" w:cs="Times New Roman" w:eastAsia="Times New Roman" w:hAnsi="Times New Roman"/>
          <w:sz w:val="22"/>
          <w:szCs w:val="22"/>
          <w:u w:val="single" w:color="auto"/>
          <w:color w:val="auto"/>
        </w:rPr>
        <w:t>Section 11.2.4</w:t>
      </w:r>
      <w:r>
        <w:rPr>
          <w:rFonts w:ascii="Times New Roman" w:cs="Times New Roman" w:eastAsia="Times New Roman" w:hAnsi="Times New Roman"/>
          <w:sz w:val="22"/>
          <w:szCs w:val="22"/>
          <w:color w:val="auto"/>
        </w:rPr>
        <w:t xml:space="preserve"> is achieved in the same [***] with respect to a particular Collaboration Target, then [***].</w:t>
      </w:r>
    </w:p>
    <w:p>
      <w:pPr>
        <w:spacing w:after="0" w:line="169"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11.2.5</w:t>
      </w:r>
      <w:r>
        <w:rPr>
          <w:sz w:val="20"/>
          <w:szCs w:val="20"/>
          <w:color w:val="auto"/>
        </w:rPr>
        <w:tab/>
      </w:r>
      <w:r>
        <w:rPr>
          <w:rFonts w:ascii="Times New Roman" w:cs="Times New Roman" w:eastAsia="Times New Roman" w:hAnsi="Times New Roman"/>
          <w:sz w:val="21"/>
          <w:szCs w:val="21"/>
          <w:b w:val="1"/>
          <w:bCs w:val="1"/>
          <w:u w:val="single" w:color="auto"/>
          <w:color w:val="auto"/>
        </w:rPr>
        <w:t>Opt-In Period, Opt-Out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40" w:firstLine="2254"/>
        <w:spacing w:after="0" w:line="258" w:lineRule="auto"/>
        <w:tabs>
          <w:tab w:leader="none" w:pos="267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Opt-In Period (if any) for any Collaboration Target, (i) Kymera may [***] and (ii) except as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clauses (b) and (c) below, Kymera will [***].</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480"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11.2.6 </w:t>
      </w:r>
      <w:r>
        <w:rPr>
          <w:rFonts w:ascii="Times New Roman" w:cs="Times New Roman" w:eastAsia="Times New Roman" w:hAnsi="Times New Roman"/>
          <w:sz w:val="22"/>
          <w:szCs w:val="22"/>
          <w:b w:val="1"/>
          <w:bCs w:val="1"/>
          <w:u w:val="single" w:color="auto"/>
          <w:color w:val="auto"/>
        </w:rPr>
        <w:t>Notice; Payment</w:t>
      </w:r>
      <w:r>
        <w:rPr>
          <w:rFonts w:ascii="Times New Roman" w:cs="Times New Roman" w:eastAsia="Times New Roman" w:hAnsi="Times New Roman"/>
          <w:sz w:val="22"/>
          <w:szCs w:val="22"/>
          <w:color w:val="auto"/>
        </w:rPr>
        <w:t xml:space="preserve">. Each Milestone Payment will be deemed earned upon achievement of the corresponding Milestone Event, and Sanofi will provide Kymera with written notice upon the achievement of each of the Milestone Events set forth in </w:t>
      </w:r>
      <w:r>
        <w:rPr>
          <w:rFonts w:ascii="Times New Roman" w:cs="Times New Roman" w:eastAsia="Times New Roman" w:hAnsi="Times New Roman"/>
          <w:sz w:val="22"/>
          <w:szCs w:val="22"/>
          <w:u w:val="single" w:color="auto"/>
          <w:color w:val="auto"/>
        </w:rPr>
        <w:t>Sections 11.2.1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11.2.4</w:t>
      </w:r>
      <w:r>
        <w:rPr>
          <w:rFonts w:ascii="Times New Roman" w:cs="Times New Roman" w:eastAsia="Times New Roman" w:hAnsi="Times New Roman"/>
          <w:sz w:val="22"/>
          <w:szCs w:val="22"/>
          <w:color w:val="auto"/>
        </w:rPr>
        <w:t xml:space="preserve">, such written notice to be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 with respect to any Milestone Event under </w:t>
      </w:r>
      <w:r>
        <w:rPr>
          <w:rFonts w:ascii="Times New Roman" w:cs="Times New Roman" w:eastAsia="Times New Roman" w:hAnsi="Times New Roman"/>
          <w:sz w:val="22"/>
          <w:szCs w:val="22"/>
          <w:u w:val="single" w:color="auto"/>
          <w:color w:val="auto"/>
        </w:rPr>
        <w:t>Section 11.2.1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11.2.2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11.2.3</w:t>
      </w:r>
      <w:r>
        <w:rPr>
          <w:rFonts w:ascii="Times New Roman" w:cs="Times New Roman" w:eastAsia="Times New Roman" w:hAnsi="Times New Roman"/>
          <w:sz w:val="22"/>
          <w:szCs w:val="22"/>
          <w:color w:val="auto"/>
        </w:rPr>
        <w:t xml:space="preserve">, within [***] and (ii) with respect to any Milestone Event under </w:t>
      </w:r>
      <w:r>
        <w:rPr>
          <w:rFonts w:ascii="Times New Roman" w:cs="Times New Roman" w:eastAsia="Times New Roman" w:hAnsi="Times New Roman"/>
          <w:sz w:val="22"/>
          <w:szCs w:val="22"/>
          <w:u w:val="single" w:color="auto"/>
          <w:color w:val="auto"/>
        </w:rPr>
        <w:t>Section 11.2.4</w:t>
      </w:r>
      <w:r>
        <w:rPr>
          <w:rFonts w:ascii="Times New Roman" w:cs="Times New Roman" w:eastAsia="Times New Roman" w:hAnsi="Times New Roman"/>
          <w:sz w:val="22"/>
          <w:szCs w:val="22"/>
          <w:color w:val="auto"/>
        </w:rPr>
        <w:t xml:space="preserve"> [***] for the Calendar Quarter in which such Milestone Event is first achieved. Following receipt of such written notice, Kymera will</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65" w:name="page266"/>
    <w:bookmarkEnd w:id="265"/>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promptly invoice Sanofi for the applicable milestone and Sanofi will make the appropriate Milestone Payment within [***].</w:t>
      </w:r>
    </w:p>
    <w:p>
      <w:pPr>
        <w:spacing w:after="0" w:line="214" w:lineRule="exact"/>
        <w:rPr>
          <w:sz w:val="20"/>
          <w:szCs w:val="20"/>
          <w:color w:val="auto"/>
        </w:rPr>
      </w:pPr>
    </w:p>
    <w:p>
      <w:pPr>
        <w:jc w:val="both"/>
        <w:ind w:left="48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11.2.7 </w:t>
      </w:r>
      <w:r>
        <w:rPr>
          <w:rFonts w:ascii="Times New Roman" w:cs="Times New Roman" w:eastAsia="Times New Roman" w:hAnsi="Times New Roman"/>
          <w:sz w:val="22"/>
          <w:szCs w:val="22"/>
          <w:b w:val="1"/>
          <w:bCs w:val="1"/>
          <w:u w:val="single" w:color="auto"/>
          <w:color w:val="auto"/>
        </w:rPr>
        <w:t>General Right to Reconcile Payments</w:t>
      </w:r>
      <w:r>
        <w:rPr>
          <w:rFonts w:ascii="Times New Roman" w:cs="Times New Roman" w:eastAsia="Times New Roman" w:hAnsi="Times New Roman"/>
          <w:sz w:val="22"/>
          <w:szCs w:val="22"/>
          <w:color w:val="auto"/>
        </w:rPr>
        <w:t>. Sanofi will have the right to offset [***], against any payments owed by Sanofi to Kymera under this Agreement. Such offsets will be in addition to any other rights or remedies available under this Agreement and Applicable Law.</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u w:val="single" w:color="auto"/>
          <w:color w:val="auto"/>
        </w:rPr>
        <w:t>Royalties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11.3.1 </w:t>
      </w:r>
      <w:r>
        <w:rPr>
          <w:rFonts w:ascii="Times New Roman" w:cs="Times New Roman" w:eastAsia="Times New Roman" w:hAnsi="Times New Roman"/>
          <w:sz w:val="22"/>
          <w:szCs w:val="22"/>
          <w:b w:val="1"/>
          <w:bCs w:val="1"/>
          <w:u w:val="single" w:color="auto"/>
          <w:color w:val="auto"/>
        </w:rPr>
        <w:t>Royalty Rates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Sections 11.3.2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11.3.8</w:t>
      </w:r>
      <w:r>
        <w:rPr>
          <w:rFonts w:ascii="Times New Roman" w:cs="Times New Roman" w:eastAsia="Times New Roman" w:hAnsi="Times New Roman"/>
          <w:sz w:val="22"/>
          <w:szCs w:val="22"/>
          <w:color w:val="auto"/>
        </w:rPr>
        <w:t>, on a Collaboration Target-by-Collaboration Target, Licensed Product-by-Licensed Product and country-by-country basis, Sanofi will pay Kymera royalties based on the aggregate Net Sales of the applicable Licensed Product sold by Sanofi, its Affiliates or Sublicensees in the applicable Field during a Calendar Year at the rates set forth in the applicable table below. The obligation to pay royalties will be imposed only once with respect to the same unit of a Licensed Product.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 Target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-159385</wp:posOffset>
            </wp:positionV>
            <wp:extent cx="7136130" cy="799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8">
                      <a:extLst>
                        <a:ext uri="{28A0092B-C50C-407E-A947-70E740481C1C}"/>
                      </a:extLst>
                    </a:blip>
                    <a:srcRect/>
                    <a:stretch>
                      <a:fillRect/>
                    </a:stretch>
                  </pic:blipFill>
                  <pic:spPr bwMode="auto">
                    <a:xfrm>
                      <a:off x="0" y="0"/>
                      <a:ext cx="7136130" cy="799465"/>
                    </a:xfrm>
                    <a:prstGeom prst="rect">
                      <a:avLst/>
                    </a:prstGeom>
                    <a:noFill/>
                  </pic:spPr>
                </pic:pic>
              </a:graphicData>
            </a:graphic>
          </wp:anchor>
        </w:drawing>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846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Calendar Year Net Sales (in U.S. Dollars) for such Licensed Products</w:t>
            </w:r>
          </w:p>
        </w:tc>
        <w:tc>
          <w:tcPr>
            <w:tcW w:w="980" w:type="dxa"/>
            <w:vAlign w:val="bottom"/>
            <w:tcBorders>
              <w:top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b w:val="1"/>
                <w:bCs w:val="1"/>
                <w:color w:val="auto"/>
              </w:rPr>
              <w:t>Royalty</w:t>
            </w:r>
          </w:p>
        </w:tc>
        <w:tc>
          <w:tcPr>
            <w:tcW w:w="860" w:type="dxa"/>
            <w:vAlign w:val="bottom"/>
            <w:tcBorders>
              <w:top w:val="single" w:sz="8" w:color="auto"/>
            </w:tcBorders>
          </w:tcPr>
          <w:p>
            <w:pPr>
              <w:ind w:left="180"/>
              <w:spacing w:after="0" w:line="242" w:lineRule="exact"/>
              <w:rPr>
                <w:sz w:val="20"/>
                <w:szCs w:val="20"/>
                <w:color w:val="auto"/>
              </w:rPr>
            </w:pPr>
            <w:r>
              <w:rPr>
                <w:rFonts w:ascii="Times New Roman" w:cs="Times New Roman" w:eastAsia="Times New Roman" w:hAnsi="Times New Roman"/>
                <w:sz w:val="22"/>
                <w:szCs w:val="22"/>
                <w:b w:val="1"/>
                <w:bCs w:val="1"/>
                <w:color w:val="auto"/>
              </w:rPr>
              <w:t>Rates</w:t>
            </w:r>
          </w:p>
        </w:tc>
        <w:tc>
          <w:tcPr>
            <w:tcW w:w="540" w:type="dxa"/>
            <w:vAlign w:val="bottom"/>
            <w:tcBorders>
              <w:top w:val="single" w:sz="8" w:color="auto"/>
            </w:tcBorders>
          </w:tcPr>
          <w:p>
            <w:pPr>
              <w:ind w:left="180"/>
              <w:spacing w:after="0" w:line="242" w:lineRule="exact"/>
              <w:rPr>
                <w:sz w:val="20"/>
                <w:szCs w:val="20"/>
                <w:color w:val="auto"/>
              </w:rPr>
            </w:pPr>
            <w:r>
              <w:rPr>
                <w:rFonts w:ascii="Times New Roman" w:cs="Times New Roman" w:eastAsia="Times New Roman" w:hAnsi="Times New Roman"/>
                <w:sz w:val="22"/>
                <w:szCs w:val="22"/>
                <w:b w:val="1"/>
                <w:bCs w:val="1"/>
                <w:color w:val="auto"/>
              </w:rPr>
              <w:t>as</w:t>
            </w:r>
          </w:p>
        </w:tc>
        <w:tc>
          <w:tcPr>
            <w:tcW w:w="400" w:type="dxa"/>
            <w:vAlign w:val="bottom"/>
            <w:tcBorders>
              <w:top w:val="single" w:sz="8" w:color="auto"/>
              <w:right w:val="single" w:sz="8" w:color="auto"/>
            </w:tcBorders>
          </w:tcPr>
          <w:p>
            <w:pPr>
              <w:ind w:left="160"/>
              <w:spacing w:after="0" w:line="242" w:lineRule="exact"/>
              <w:rPr>
                <w:sz w:val="20"/>
                <w:szCs w:val="20"/>
                <w:color w:val="auto"/>
              </w:rPr>
            </w:pPr>
            <w:r>
              <w:rPr>
                <w:rFonts w:ascii="Times New Roman" w:cs="Times New Roman" w:eastAsia="Times New Roman" w:hAnsi="Times New Roman"/>
                <w:sz w:val="22"/>
                <w:szCs w:val="22"/>
                <w:b w:val="1"/>
                <w:bCs w:val="1"/>
                <w:color w:val="auto"/>
              </w:rPr>
              <w:t>a</w:t>
            </w:r>
          </w:p>
        </w:tc>
        <w:tc>
          <w:tcPr>
            <w:tcW w:w="0" w:type="dxa"/>
            <w:vAlign w:val="bottom"/>
          </w:tcPr>
          <w:p>
            <w:pPr>
              <w:spacing w:after="0"/>
              <w:rPr>
                <w:sz w:val="1"/>
                <w:szCs w:val="1"/>
                <w:color w:val="auto"/>
              </w:rPr>
            </w:pPr>
          </w:p>
        </w:tc>
      </w:tr>
      <w:tr>
        <w:trPr>
          <w:trHeight w:val="165"/>
        </w:trPr>
        <w:tc>
          <w:tcPr>
            <w:tcW w:w="8460" w:type="dxa"/>
            <w:vAlign w:val="bottom"/>
            <w:tcBorders>
              <w:left w:val="single" w:sz="8" w:color="auto"/>
              <w:right w:val="single" w:sz="8" w:color="auto"/>
            </w:tcBorders>
            <w:vMerge w:val="continue"/>
          </w:tcPr>
          <w:p>
            <w:pPr>
              <w:spacing w:after="0"/>
              <w:rPr>
                <w:sz w:val="14"/>
                <w:szCs w:val="14"/>
                <w:color w:val="auto"/>
              </w:rPr>
            </w:pPr>
          </w:p>
        </w:tc>
        <w:tc>
          <w:tcPr>
            <w:tcW w:w="278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Percentage (%) of Net Sales</w:t>
            </w:r>
          </w:p>
        </w:tc>
        <w:tc>
          <w:tcPr>
            <w:tcW w:w="0" w:type="dxa"/>
            <w:vAlign w:val="bottom"/>
          </w:tcPr>
          <w:p>
            <w:pPr>
              <w:spacing w:after="0"/>
              <w:rPr>
                <w:sz w:val="1"/>
                <w:szCs w:val="1"/>
                <w:color w:val="auto"/>
              </w:rPr>
            </w:pPr>
          </w:p>
        </w:tc>
      </w:tr>
      <w:tr>
        <w:trPr>
          <w:trHeight w:val="122"/>
        </w:trPr>
        <w:tc>
          <w:tcPr>
            <w:tcW w:w="8460" w:type="dxa"/>
            <w:vAlign w:val="bottom"/>
            <w:tcBorders>
              <w:left w:val="single" w:sz="8" w:color="auto"/>
              <w:right w:val="single" w:sz="8" w:color="auto"/>
            </w:tcBorders>
          </w:tcPr>
          <w:p>
            <w:pPr>
              <w:spacing w:after="0"/>
              <w:rPr>
                <w:sz w:val="10"/>
                <w:szCs w:val="10"/>
                <w:color w:val="auto"/>
              </w:rPr>
            </w:pPr>
          </w:p>
        </w:tc>
        <w:tc>
          <w:tcPr>
            <w:tcW w:w="2780" w:type="dxa"/>
            <w:vAlign w:val="bottom"/>
            <w:tcBorders>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846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Portion of Calendar Year Net Sales up to and including [***]</w:t>
            </w:r>
          </w:p>
        </w:tc>
        <w:tc>
          <w:tcPr>
            <w:tcW w:w="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6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Portion of Calendar Year Net Sales that exceeds [***] up to and including [***]</w:t>
            </w:r>
          </w:p>
        </w:tc>
        <w:tc>
          <w:tcPr>
            <w:tcW w:w="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6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Portion of Calendar Year Net Sales that exceeds [***] up to and including [***]</w:t>
            </w:r>
          </w:p>
        </w:tc>
        <w:tc>
          <w:tcPr>
            <w:tcW w:w="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6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Portion of Calendar Year Net Sales that exceeds [***] up to and including [***]</w:t>
            </w:r>
          </w:p>
        </w:tc>
        <w:tc>
          <w:tcPr>
            <w:tcW w:w="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6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Portion of Calendar Year Net Sales that exceeds [***]</w:t>
            </w:r>
          </w:p>
        </w:tc>
        <w:tc>
          <w:tcPr>
            <w:tcW w:w="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6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66" w:name="page267"/>
    <w:bookmarkEnd w:id="266"/>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 Target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-159385</wp:posOffset>
            </wp:positionV>
            <wp:extent cx="7136130" cy="799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0">
                      <a:extLst>
                        <a:ext uri="{28A0092B-C50C-407E-A947-70E740481C1C}"/>
                      </a:extLst>
                    </a:blip>
                    <a:srcRect/>
                    <a:stretch>
                      <a:fillRect/>
                    </a:stretch>
                  </pic:blipFill>
                  <pic:spPr bwMode="auto">
                    <a:xfrm>
                      <a:off x="0" y="0"/>
                      <a:ext cx="7136130" cy="799465"/>
                    </a:xfrm>
                    <a:prstGeom prst="rect">
                      <a:avLst/>
                    </a:prstGeom>
                    <a:noFill/>
                  </pic:spPr>
                </pic:pic>
              </a:graphicData>
            </a:graphic>
          </wp:anchor>
        </w:drawing>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846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Calendar Year Net Sales (in U.S. Dollars) for such Licensed Products</w:t>
            </w:r>
          </w:p>
        </w:tc>
        <w:tc>
          <w:tcPr>
            <w:tcW w:w="980" w:type="dxa"/>
            <w:vAlign w:val="bottom"/>
            <w:tcBorders>
              <w:top w:val="single" w:sz="8" w:color="auto"/>
            </w:tcBorders>
          </w:tcPr>
          <w:p>
            <w:pPr>
              <w:ind w:left="100"/>
              <w:spacing w:after="0" w:line="242" w:lineRule="exact"/>
              <w:rPr>
                <w:sz w:val="20"/>
                <w:szCs w:val="20"/>
                <w:color w:val="auto"/>
              </w:rPr>
            </w:pPr>
            <w:r>
              <w:rPr>
                <w:rFonts w:ascii="Times New Roman" w:cs="Times New Roman" w:eastAsia="Times New Roman" w:hAnsi="Times New Roman"/>
                <w:sz w:val="22"/>
                <w:szCs w:val="22"/>
                <w:b w:val="1"/>
                <w:bCs w:val="1"/>
                <w:color w:val="auto"/>
              </w:rPr>
              <w:t>Royalty</w:t>
            </w:r>
          </w:p>
        </w:tc>
        <w:tc>
          <w:tcPr>
            <w:tcW w:w="860" w:type="dxa"/>
            <w:vAlign w:val="bottom"/>
            <w:tcBorders>
              <w:top w:val="single" w:sz="8" w:color="auto"/>
            </w:tcBorders>
          </w:tcPr>
          <w:p>
            <w:pPr>
              <w:ind w:left="180"/>
              <w:spacing w:after="0" w:line="242" w:lineRule="exact"/>
              <w:rPr>
                <w:sz w:val="20"/>
                <w:szCs w:val="20"/>
                <w:color w:val="auto"/>
              </w:rPr>
            </w:pPr>
            <w:r>
              <w:rPr>
                <w:rFonts w:ascii="Times New Roman" w:cs="Times New Roman" w:eastAsia="Times New Roman" w:hAnsi="Times New Roman"/>
                <w:sz w:val="22"/>
                <w:szCs w:val="22"/>
                <w:b w:val="1"/>
                <w:bCs w:val="1"/>
                <w:color w:val="auto"/>
              </w:rPr>
              <w:t>Rates</w:t>
            </w:r>
          </w:p>
        </w:tc>
        <w:tc>
          <w:tcPr>
            <w:tcW w:w="540" w:type="dxa"/>
            <w:vAlign w:val="bottom"/>
            <w:tcBorders>
              <w:top w:val="single" w:sz="8" w:color="auto"/>
            </w:tcBorders>
          </w:tcPr>
          <w:p>
            <w:pPr>
              <w:ind w:left="180"/>
              <w:spacing w:after="0" w:line="242" w:lineRule="exact"/>
              <w:rPr>
                <w:sz w:val="20"/>
                <w:szCs w:val="20"/>
                <w:color w:val="auto"/>
              </w:rPr>
            </w:pPr>
            <w:r>
              <w:rPr>
                <w:rFonts w:ascii="Times New Roman" w:cs="Times New Roman" w:eastAsia="Times New Roman" w:hAnsi="Times New Roman"/>
                <w:sz w:val="22"/>
                <w:szCs w:val="22"/>
                <w:b w:val="1"/>
                <w:bCs w:val="1"/>
                <w:color w:val="auto"/>
              </w:rPr>
              <w:t>as</w:t>
            </w:r>
          </w:p>
        </w:tc>
        <w:tc>
          <w:tcPr>
            <w:tcW w:w="400" w:type="dxa"/>
            <w:vAlign w:val="bottom"/>
            <w:tcBorders>
              <w:top w:val="single" w:sz="8" w:color="auto"/>
              <w:right w:val="single" w:sz="8" w:color="auto"/>
            </w:tcBorders>
          </w:tcPr>
          <w:p>
            <w:pPr>
              <w:ind w:left="160"/>
              <w:spacing w:after="0" w:line="242" w:lineRule="exact"/>
              <w:rPr>
                <w:sz w:val="20"/>
                <w:szCs w:val="20"/>
                <w:color w:val="auto"/>
              </w:rPr>
            </w:pPr>
            <w:r>
              <w:rPr>
                <w:rFonts w:ascii="Times New Roman" w:cs="Times New Roman" w:eastAsia="Times New Roman" w:hAnsi="Times New Roman"/>
                <w:sz w:val="22"/>
                <w:szCs w:val="22"/>
                <w:b w:val="1"/>
                <w:bCs w:val="1"/>
                <w:color w:val="auto"/>
              </w:rPr>
              <w:t>a</w:t>
            </w:r>
          </w:p>
        </w:tc>
        <w:tc>
          <w:tcPr>
            <w:tcW w:w="0" w:type="dxa"/>
            <w:vAlign w:val="bottom"/>
          </w:tcPr>
          <w:p>
            <w:pPr>
              <w:spacing w:after="0"/>
              <w:rPr>
                <w:sz w:val="1"/>
                <w:szCs w:val="1"/>
                <w:color w:val="auto"/>
              </w:rPr>
            </w:pPr>
          </w:p>
        </w:tc>
      </w:tr>
      <w:tr>
        <w:trPr>
          <w:trHeight w:val="165"/>
        </w:trPr>
        <w:tc>
          <w:tcPr>
            <w:tcW w:w="8460" w:type="dxa"/>
            <w:vAlign w:val="bottom"/>
            <w:tcBorders>
              <w:left w:val="single" w:sz="8" w:color="auto"/>
              <w:right w:val="single" w:sz="8" w:color="auto"/>
            </w:tcBorders>
            <w:vMerge w:val="continue"/>
          </w:tcPr>
          <w:p>
            <w:pPr>
              <w:spacing w:after="0"/>
              <w:rPr>
                <w:sz w:val="14"/>
                <w:szCs w:val="14"/>
                <w:color w:val="auto"/>
              </w:rPr>
            </w:pPr>
          </w:p>
        </w:tc>
        <w:tc>
          <w:tcPr>
            <w:tcW w:w="278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Percentage (%) of Net Sales</w:t>
            </w:r>
          </w:p>
        </w:tc>
        <w:tc>
          <w:tcPr>
            <w:tcW w:w="0" w:type="dxa"/>
            <w:vAlign w:val="bottom"/>
          </w:tcPr>
          <w:p>
            <w:pPr>
              <w:spacing w:after="0"/>
              <w:rPr>
                <w:sz w:val="1"/>
                <w:szCs w:val="1"/>
                <w:color w:val="auto"/>
              </w:rPr>
            </w:pPr>
          </w:p>
        </w:tc>
      </w:tr>
      <w:tr>
        <w:trPr>
          <w:trHeight w:val="122"/>
        </w:trPr>
        <w:tc>
          <w:tcPr>
            <w:tcW w:w="8460" w:type="dxa"/>
            <w:vAlign w:val="bottom"/>
            <w:tcBorders>
              <w:left w:val="single" w:sz="8" w:color="auto"/>
              <w:right w:val="single" w:sz="8" w:color="auto"/>
            </w:tcBorders>
          </w:tcPr>
          <w:p>
            <w:pPr>
              <w:spacing w:after="0"/>
              <w:rPr>
                <w:sz w:val="10"/>
                <w:szCs w:val="10"/>
                <w:color w:val="auto"/>
              </w:rPr>
            </w:pPr>
          </w:p>
        </w:tc>
        <w:tc>
          <w:tcPr>
            <w:tcW w:w="2780" w:type="dxa"/>
            <w:vAlign w:val="bottom"/>
            <w:tcBorders>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8460" w:type="dxa"/>
            <w:vAlign w:val="bottom"/>
            <w:tcBorders>
              <w:left w:val="single" w:sz="8" w:color="auto"/>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Portion of Calendar Year Net Sales up to and including [***]</w:t>
            </w:r>
          </w:p>
        </w:tc>
        <w:tc>
          <w:tcPr>
            <w:tcW w:w="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6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Portion of Calendar Year Net Sales that exceeds [***] up to and including [***]</w:t>
            </w:r>
          </w:p>
        </w:tc>
        <w:tc>
          <w:tcPr>
            <w:tcW w:w="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6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Portion of Calendar Year Net Sales that exceeds [***] up to and including [***]</w:t>
            </w:r>
          </w:p>
        </w:tc>
        <w:tc>
          <w:tcPr>
            <w:tcW w:w="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6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Portion of Calendar Year Net Sales that exceeds [***] up to and including [***]</w:t>
            </w:r>
          </w:p>
        </w:tc>
        <w:tc>
          <w:tcPr>
            <w:tcW w:w="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6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Portion of Calendar Year Net Sales that exceeds [***]</w:t>
            </w:r>
          </w:p>
        </w:tc>
        <w:tc>
          <w:tcPr>
            <w:tcW w:w="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60" w:type="dxa"/>
            <w:vAlign w:val="bottom"/>
            <w:tcBorders>
              <w:left w:val="single" w:sz="8" w:color="auto"/>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applicable royalty rate set forth in the applicable table above will apply only to that portion of the Net Sales of a given Licensed Product during a given Calendar Year that falls within the indicated range. By way of example and without limitation of this </w:t>
      </w:r>
      <w:r>
        <w:rPr>
          <w:rFonts w:ascii="Times New Roman" w:cs="Times New Roman" w:eastAsia="Times New Roman" w:hAnsi="Times New Roman"/>
          <w:sz w:val="22"/>
          <w:szCs w:val="22"/>
          <w:u w:val="single" w:color="auto"/>
          <w:color w:val="auto"/>
        </w:rPr>
        <w:t>Section 11.3.1</w:t>
      </w:r>
      <w:r>
        <w:rPr>
          <w:rFonts w:ascii="Times New Roman" w:cs="Times New Roman" w:eastAsia="Times New Roman" w:hAnsi="Times New Roman"/>
          <w:sz w:val="22"/>
          <w:szCs w:val="22"/>
          <w:color w:val="auto"/>
        </w:rPr>
        <w:t xml:space="preserve">, if Calendar Year Net Sales by Sanofi, its Affiliates and Sublicensees of a given Licensed Product Directed Against Collaboration Target 2 were [***], then the royalties payable with respect to such Calendar Year Net Sales for such Licensed Product for such Calendar Year, subject to adjustment as set forth in this </w:t>
      </w:r>
      <w:r>
        <w:rPr>
          <w:rFonts w:ascii="Times New Roman" w:cs="Times New Roman" w:eastAsia="Times New Roman" w:hAnsi="Times New Roman"/>
          <w:sz w:val="22"/>
          <w:szCs w:val="22"/>
          <w:u w:val="single" w:color="auto"/>
          <w:color w:val="auto"/>
        </w:rPr>
        <w:t>Section 11.3.1</w:t>
      </w:r>
      <w:r>
        <w:rPr>
          <w:rFonts w:ascii="Times New Roman" w:cs="Times New Roman" w:eastAsia="Times New Roman" w:hAnsi="Times New Roman"/>
          <w:sz w:val="22"/>
          <w:szCs w:val="22"/>
          <w:color w:val="auto"/>
        </w:rPr>
        <w:t>, would be: [***].</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Notwithstanding the foregoing, on a Collaboration Target-by-Collaboration Target basis, in the event that Kymera exercised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Kymera Opt-In Right and later exercises the Kymera Opt-Out Right, the royalty rates will be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67" w:name="page268"/>
    <w:bookmarkEnd w:id="267"/>
    <w:tbl>
      <w:tblPr>
        <w:tblLayout w:type="fixed"/>
        <w:tblInd w:w="10" w:type="dxa"/>
        <w:tblCellMar>
          <w:top w:w="0" w:type="dxa"/>
          <w:left w:w="0" w:type="dxa"/>
          <w:bottom w:w="0" w:type="dxa"/>
          <w:right w:w="0" w:type="dxa"/>
        </w:tblCellMar>
      </w:tblPr>
      <w:tr>
        <w:trPr>
          <w:trHeight w:val="288"/>
        </w:trPr>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tcPr>
          <w:p>
            <w:pPr>
              <w:ind w:left="2500"/>
              <w:spacing w:after="0"/>
              <w:rPr>
                <w:sz w:val="20"/>
                <w:szCs w:val="20"/>
                <w:color w:val="auto"/>
              </w:rPr>
            </w:pPr>
            <w:r>
              <w:rPr>
                <w:rFonts w:ascii="Times New Roman" w:cs="Times New Roman" w:eastAsia="Times New Roman" w:hAnsi="Times New Roman"/>
                <w:sz w:val="22"/>
                <w:szCs w:val="22"/>
                <w:b w:val="1"/>
                <w:bCs w:val="1"/>
                <w:i w:val="1"/>
                <w:iCs w:val="1"/>
                <w:color w:val="auto"/>
                <w:w w:val="97"/>
              </w:rPr>
              <w:t>CONFIDENTIAL</w:t>
            </w:r>
          </w:p>
        </w:tc>
        <w:tc>
          <w:tcPr>
            <w:tcW w:w="0" w:type="dxa"/>
            <w:vAlign w:val="bottom"/>
          </w:tcPr>
          <w:p>
            <w:pPr>
              <w:spacing w:after="0"/>
              <w:rPr>
                <w:sz w:val="1"/>
                <w:szCs w:val="1"/>
                <w:color w:val="auto"/>
              </w:rPr>
            </w:pPr>
          </w:p>
        </w:tc>
      </w:tr>
      <w:tr>
        <w:trPr>
          <w:trHeight w:val="390"/>
        </w:trPr>
        <w:tc>
          <w:tcPr>
            <w:tcW w:w="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60" w:type="dxa"/>
            <w:vAlign w:val="bottom"/>
            <w:tcBorders>
              <w:left w:val="single" w:sz="8" w:color="auto"/>
            </w:tcBorders>
            <w:shd w:val="clear" w:color="auto" w:fill="D9D9D9"/>
          </w:tcPr>
          <w:p>
            <w:pPr>
              <w:spacing w:after="0"/>
              <w:rPr>
                <w:sz w:val="24"/>
                <w:szCs w:val="24"/>
                <w:color w:val="auto"/>
              </w:rPr>
            </w:pPr>
          </w:p>
        </w:tc>
        <w:tc>
          <w:tcPr>
            <w:tcW w:w="120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700" w:type="dxa"/>
            <w:vAlign w:val="bottom"/>
            <w:tcBorders>
              <w:right w:val="single" w:sz="8" w:color="D9D9D9"/>
            </w:tcBorders>
            <w:shd w:val="clear" w:color="auto" w:fill="D9D9D9"/>
          </w:tcPr>
          <w:p>
            <w:pPr>
              <w:spacing w:after="0"/>
              <w:rPr>
                <w:sz w:val="24"/>
                <w:szCs w:val="24"/>
                <w:color w:val="auto"/>
              </w:rPr>
            </w:pPr>
          </w:p>
        </w:tc>
        <w:tc>
          <w:tcPr>
            <w:tcW w:w="4040" w:type="dxa"/>
            <w:vAlign w:val="bottom"/>
            <w:tcBorders>
              <w:right w:val="single" w:sz="8" w:color="D9D9D9"/>
            </w:tcBorders>
            <w:shd w:val="clear" w:color="auto" w:fill="D9D9D9"/>
          </w:tcPr>
          <w:p>
            <w:pPr>
              <w:ind w:left="1520"/>
              <w:spacing w:after="0"/>
              <w:rPr>
                <w:sz w:val="20"/>
                <w:szCs w:val="20"/>
                <w:color w:val="auto"/>
              </w:rPr>
            </w:pPr>
            <w:r>
              <w:rPr>
                <w:rFonts w:ascii="Times New Roman" w:cs="Times New Roman" w:eastAsia="Times New Roman" w:hAnsi="Times New Roman"/>
                <w:sz w:val="22"/>
                <w:szCs w:val="22"/>
                <w:b w:val="1"/>
                <w:bCs w:val="1"/>
                <w:color w:val="auto"/>
              </w:rPr>
              <w:t>Collaboration Target 1</w:t>
            </w:r>
          </w:p>
        </w:tc>
        <w:tc>
          <w:tcPr>
            <w:tcW w:w="416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60" w:type="dxa"/>
            <w:vAlign w:val="bottom"/>
            <w:tcBorders>
              <w:left w:val="single" w:sz="8" w:color="auto"/>
              <w:bottom w:val="single" w:sz="8" w:color="auto"/>
            </w:tcBorders>
            <w:shd w:val="clear" w:color="auto" w:fill="D9D9D9"/>
          </w:tcPr>
          <w:p>
            <w:pPr>
              <w:spacing w:after="0"/>
              <w:rPr>
                <w:sz w:val="16"/>
                <w:szCs w:val="16"/>
                <w:color w:val="auto"/>
              </w:rPr>
            </w:pPr>
          </w:p>
        </w:tc>
        <w:tc>
          <w:tcPr>
            <w:tcW w:w="1200" w:type="dxa"/>
            <w:vAlign w:val="bottom"/>
            <w:tcBorders>
              <w:bottom w:val="single" w:sz="8" w:color="auto"/>
            </w:tcBorders>
            <w:shd w:val="clear" w:color="auto" w:fill="D9D9D9"/>
          </w:tcPr>
          <w:p>
            <w:pPr>
              <w:spacing w:after="0"/>
              <w:rPr>
                <w:sz w:val="16"/>
                <w:szCs w:val="16"/>
                <w:color w:val="auto"/>
              </w:rPr>
            </w:pPr>
          </w:p>
        </w:tc>
        <w:tc>
          <w:tcPr>
            <w:tcW w:w="500" w:type="dxa"/>
            <w:vAlign w:val="bottom"/>
            <w:tcBorders>
              <w:bottom w:val="single" w:sz="8" w:color="auto"/>
            </w:tcBorders>
            <w:shd w:val="clear" w:color="auto" w:fill="D9D9D9"/>
          </w:tcPr>
          <w:p>
            <w:pPr>
              <w:spacing w:after="0"/>
              <w:rPr>
                <w:sz w:val="16"/>
                <w:szCs w:val="16"/>
                <w:color w:val="auto"/>
              </w:rPr>
            </w:pPr>
          </w:p>
        </w:tc>
        <w:tc>
          <w:tcPr>
            <w:tcW w:w="700" w:type="dxa"/>
            <w:vAlign w:val="bottom"/>
            <w:tcBorders>
              <w:bottom w:val="single" w:sz="8" w:color="auto"/>
              <w:right w:val="single" w:sz="8" w:color="D9D9D9"/>
            </w:tcBorders>
            <w:shd w:val="clear" w:color="auto" w:fill="D9D9D9"/>
          </w:tcPr>
          <w:p>
            <w:pPr>
              <w:spacing w:after="0"/>
              <w:rPr>
                <w:sz w:val="16"/>
                <w:szCs w:val="16"/>
                <w:color w:val="auto"/>
              </w:rPr>
            </w:pPr>
          </w:p>
        </w:tc>
        <w:tc>
          <w:tcPr>
            <w:tcW w:w="4040" w:type="dxa"/>
            <w:vAlign w:val="bottom"/>
            <w:tcBorders>
              <w:bottom w:val="single" w:sz="8" w:color="auto"/>
              <w:right w:val="single" w:sz="8" w:color="D9D9D9"/>
            </w:tcBorders>
            <w:shd w:val="clear" w:color="auto" w:fill="D9D9D9"/>
          </w:tcPr>
          <w:p>
            <w:pPr>
              <w:spacing w:after="0"/>
              <w:rPr>
                <w:sz w:val="16"/>
                <w:szCs w:val="16"/>
                <w:color w:val="auto"/>
              </w:rPr>
            </w:pPr>
          </w:p>
        </w:tc>
        <w:tc>
          <w:tcPr>
            <w:tcW w:w="4160" w:type="dxa"/>
            <w:vAlign w:val="bottom"/>
            <w:tcBorders>
              <w:bottom w:val="single" w:sz="8" w:color="auto"/>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60" w:type="dxa"/>
            <w:vAlign w:val="bottom"/>
            <w:tcBorders>
              <w:left w:val="single" w:sz="8" w:color="auto"/>
              <w:right w:val="single" w:sz="8" w:color="auto"/>
            </w:tcBorders>
            <w:gridSpan w:val="4"/>
            <w:vMerge w:val="restart"/>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Calendar Year Net Sales (in</w:t>
            </w:r>
          </w:p>
        </w:tc>
        <w:tc>
          <w:tcPr>
            <w:tcW w:w="4040" w:type="dxa"/>
            <w:vAlign w:val="bottom"/>
            <w:tcBorders>
              <w:right w:val="single" w:sz="8" w:color="auto"/>
            </w:tcBorders>
            <w:shd w:val="clear" w:color="auto" w:fill="D9D9D9"/>
          </w:tcPr>
          <w:p>
            <w:pPr>
              <w:ind w:left="80"/>
              <w:spacing w:after="0" w:line="222" w:lineRule="exact"/>
              <w:rPr>
                <w:sz w:val="20"/>
                <w:szCs w:val="20"/>
                <w:color w:val="auto"/>
              </w:rPr>
            </w:pPr>
            <w:r>
              <w:rPr>
                <w:rFonts w:ascii="Times New Roman" w:cs="Times New Roman" w:eastAsia="Times New Roman" w:hAnsi="Times New Roman"/>
                <w:sz w:val="22"/>
                <w:szCs w:val="22"/>
                <w:b w:val="1"/>
                <w:bCs w:val="1"/>
                <w:color w:val="auto"/>
              </w:rPr>
              <w:t>Royalty Rates as a Percentage (%) of Net</w:t>
            </w:r>
          </w:p>
        </w:tc>
        <w:tc>
          <w:tcPr>
            <w:tcW w:w="4160" w:type="dxa"/>
            <w:vAlign w:val="bottom"/>
            <w:tcBorders>
              <w:right w:val="single" w:sz="8" w:color="auto"/>
            </w:tcBorders>
            <w:shd w:val="clear" w:color="auto" w:fill="D9D9D9"/>
          </w:tcPr>
          <w:p>
            <w:pPr>
              <w:ind w:left="100"/>
              <w:spacing w:after="0" w:line="222" w:lineRule="exact"/>
              <w:rPr>
                <w:sz w:val="20"/>
                <w:szCs w:val="20"/>
                <w:color w:val="auto"/>
              </w:rPr>
            </w:pPr>
            <w:r>
              <w:rPr>
                <w:rFonts w:ascii="Times New Roman" w:cs="Times New Roman" w:eastAsia="Times New Roman" w:hAnsi="Times New Roman"/>
                <w:sz w:val="22"/>
                <w:szCs w:val="22"/>
                <w:b w:val="1"/>
                <w:bCs w:val="1"/>
                <w:color w:val="auto"/>
              </w:rPr>
              <w:t>Royalty Rates as a Percentage (%) of Net</w:t>
            </w:r>
          </w:p>
        </w:tc>
        <w:tc>
          <w:tcPr>
            <w:tcW w:w="0" w:type="dxa"/>
            <w:vAlign w:val="bottom"/>
          </w:tcPr>
          <w:p>
            <w:pPr>
              <w:spacing w:after="0"/>
              <w:rPr>
                <w:sz w:val="1"/>
                <w:szCs w:val="1"/>
                <w:color w:val="auto"/>
              </w:rPr>
            </w:pPr>
          </w:p>
        </w:tc>
      </w:tr>
      <w:tr>
        <w:trPr>
          <w:trHeight w:val="220"/>
        </w:trPr>
        <w:tc>
          <w:tcPr>
            <w:tcW w:w="3060" w:type="dxa"/>
            <w:vAlign w:val="bottom"/>
            <w:tcBorders>
              <w:left w:val="single" w:sz="8" w:color="auto"/>
              <w:right w:val="single" w:sz="8" w:color="auto"/>
            </w:tcBorders>
            <w:gridSpan w:val="4"/>
            <w:vMerge w:val="continue"/>
            <w:shd w:val="clear" w:color="auto" w:fill="D9D9D9"/>
          </w:tcPr>
          <w:p>
            <w:pPr>
              <w:spacing w:after="0"/>
              <w:rPr>
                <w:sz w:val="19"/>
                <w:szCs w:val="19"/>
                <w:color w:val="auto"/>
              </w:rPr>
            </w:pPr>
          </w:p>
        </w:tc>
        <w:tc>
          <w:tcPr>
            <w:tcW w:w="4040" w:type="dxa"/>
            <w:vAlign w:val="bottom"/>
            <w:tcBorders>
              <w:right w:val="single" w:sz="8" w:color="auto"/>
            </w:tcBorders>
            <w:shd w:val="clear" w:color="auto" w:fill="D9D9D9"/>
          </w:tcPr>
          <w:p>
            <w:pPr>
              <w:ind w:left="80"/>
              <w:spacing w:after="0" w:line="221" w:lineRule="exact"/>
              <w:rPr>
                <w:sz w:val="20"/>
                <w:szCs w:val="20"/>
                <w:color w:val="auto"/>
              </w:rPr>
            </w:pPr>
            <w:r>
              <w:rPr>
                <w:rFonts w:ascii="Times New Roman" w:cs="Times New Roman" w:eastAsia="Times New Roman" w:hAnsi="Times New Roman"/>
                <w:sz w:val="22"/>
                <w:szCs w:val="22"/>
                <w:b w:val="1"/>
                <w:bCs w:val="1"/>
                <w:color w:val="auto"/>
              </w:rPr>
              <w:t>Sales  if  Kymera  has  borne  U.S.</w:t>
            </w:r>
          </w:p>
        </w:tc>
        <w:tc>
          <w:tcPr>
            <w:tcW w:w="4160" w:type="dxa"/>
            <w:vAlign w:val="bottom"/>
            <w:tcBorders>
              <w:right w:val="single" w:sz="8" w:color="auto"/>
            </w:tcBorders>
            <w:shd w:val="clear" w:color="auto" w:fill="D9D9D9"/>
          </w:tcPr>
          <w:p>
            <w:pPr>
              <w:ind w:left="100"/>
              <w:spacing w:after="0" w:line="221" w:lineRule="exact"/>
              <w:rPr>
                <w:sz w:val="20"/>
                <w:szCs w:val="20"/>
                <w:color w:val="auto"/>
              </w:rPr>
            </w:pPr>
            <w:r>
              <w:rPr>
                <w:rFonts w:ascii="Times New Roman" w:cs="Times New Roman" w:eastAsia="Times New Roman" w:hAnsi="Times New Roman"/>
                <w:sz w:val="22"/>
                <w:szCs w:val="22"/>
                <w:b w:val="1"/>
                <w:bCs w:val="1"/>
                <w:color w:val="auto"/>
              </w:rPr>
              <w:t>Sales   if   Kymera   has   borne   U.S.</w:t>
            </w:r>
          </w:p>
        </w:tc>
        <w:tc>
          <w:tcPr>
            <w:tcW w:w="0" w:type="dxa"/>
            <w:vAlign w:val="bottom"/>
          </w:tcPr>
          <w:p>
            <w:pPr>
              <w:spacing w:after="0"/>
              <w:rPr>
                <w:sz w:val="1"/>
                <w:szCs w:val="1"/>
                <w:color w:val="auto"/>
              </w:rPr>
            </w:pPr>
          </w:p>
        </w:tc>
      </w:tr>
      <w:tr>
        <w:trPr>
          <w:trHeight w:val="243"/>
        </w:trPr>
        <w:tc>
          <w:tcPr>
            <w:tcW w:w="660" w:type="dxa"/>
            <w:vAlign w:val="bottom"/>
            <w:tcBorders>
              <w:left w:val="single" w:sz="8" w:color="auto"/>
            </w:tcBorders>
            <w:shd w:val="clear" w:color="auto" w:fill="D9D9D9"/>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U.S.</w:t>
            </w:r>
          </w:p>
        </w:tc>
        <w:tc>
          <w:tcPr>
            <w:tcW w:w="1200" w:type="dxa"/>
            <w:vAlign w:val="bottom"/>
            <w:shd w:val="clear" w:color="auto" w:fill="D9D9D9"/>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Dollars)</w:t>
            </w:r>
          </w:p>
        </w:tc>
        <w:tc>
          <w:tcPr>
            <w:tcW w:w="500" w:type="dxa"/>
            <w:vAlign w:val="bottom"/>
            <w:shd w:val="clear" w:color="auto" w:fill="D9D9D9"/>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for</w:t>
            </w:r>
          </w:p>
        </w:tc>
        <w:tc>
          <w:tcPr>
            <w:tcW w:w="700" w:type="dxa"/>
            <w:vAlign w:val="bottom"/>
            <w:tcBorders>
              <w:right w:val="single" w:sz="8" w:color="auto"/>
            </w:tcBorders>
            <w:shd w:val="clear" w:color="auto" w:fill="D9D9D9"/>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such</w:t>
            </w:r>
          </w:p>
        </w:tc>
        <w:tc>
          <w:tcPr>
            <w:tcW w:w="4040" w:type="dxa"/>
            <w:vAlign w:val="bottom"/>
            <w:tcBorders>
              <w:right w:val="single" w:sz="8" w:color="auto"/>
            </w:tcBorders>
            <w:shd w:val="clear" w:color="auto" w:fill="D9D9D9"/>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Development Expenses at least equal to</w:t>
            </w:r>
          </w:p>
        </w:tc>
        <w:tc>
          <w:tcPr>
            <w:tcW w:w="4160" w:type="dxa"/>
            <w:vAlign w:val="bottom"/>
            <w:tcBorders>
              <w:right w:val="single" w:sz="8" w:color="auto"/>
            </w:tcBorders>
            <w:shd w:val="clear" w:color="auto" w:fill="D9D9D9"/>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Development Expenses at least equal to</w:t>
            </w:r>
          </w:p>
        </w:tc>
        <w:tc>
          <w:tcPr>
            <w:tcW w:w="0" w:type="dxa"/>
            <w:vAlign w:val="bottom"/>
          </w:tcPr>
          <w:p>
            <w:pPr>
              <w:spacing w:after="0"/>
              <w:rPr>
                <w:sz w:val="1"/>
                <w:szCs w:val="1"/>
                <w:color w:val="auto"/>
              </w:rPr>
            </w:pPr>
          </w:p>
        </w:tc>
      </w:tr>
      <w:tr>
        <w:trPr>
          <w:trHeight w:val="243"/>
        </w:trPr>
        <w:tc>
          <w:tcPr>
            <w:tcW w:w="1860" w:type="dxa"/>
            <w:vAlign w:val="bottom"/>
            <w:tcBorders>
              <w:left w:val="single" w:sz="8" w:color="auto"/>
            </w:tcBorders>
            <w:gridSpan w:val="2"/>
            <w:shd w:val="clear" w:color="auto" w:fill="D9D9D9"/>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9"/>
              </w:rPr>
              <w:t>Licensed Products</w:t>
            </w:r>
          </w:p>
        </w:tc>
        <w:tc>
          <w:tcPr>
            <w:tcW w:w="500" w:type="dxa"/>
            <w:vAlign w:val="bottom"/>
            <w:shd w:val="clear" w:color="auto" w:fill="D9D9D9"/>
          </w:tcPr>
          <w:p>
            <w:pPr>
              <w:spacing w:after="0"/>
              <w:rPr>
                <w:sz w:val="21"/>
                <w:szCs w:val="21"/>
                <w:color w:val="auto"/>
              </w:rPr>
            </w:pPr>
          </w:p>
        </w:tc>
        <w:tc>
          <w:tcPr>
            <w:tcW w:w="700" w:type="dxa"/>
            <w:vAlign w:val="bottom"/>
            <w:tcBorders>
              <w:right w:val="single" w:sz="8" w:color="auto"/>
            </w:tcBorders>
            <w:shd w:val="clear" w:color="auto" w:fill="D9D9D9"/>
          </w:tcPr>
          <w:p>
            <w:pPr>
              <w:spacing w:after="0"/>
              <w:rPr>
                <w:sz w:val="21"/>
                <w:szCs w:val="21"/>
                <w:color w:val="auto"/>
              </w:rPr>
            </w:pPr>
          </w:p>
        </w:tc>
        <w:tc>
          <w:tcPr>
            <w:tcW w:w="404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but less than</w:t>
            </w:r>
            <w:r>
              <w:rPr>
                <w:rFonts w:ascii="Times New Roman" w:cs="Times New Roman" w:eastAsia="Times New Roman" w:hAnsi="Times New Roman"/>
                <w:sz w:val="22"/>
                <w:szCs w:val="22"/>
                <w:color w:val="auto"/>
              </w:rPr>
              <w:t xml:space="preserve"> [***]</w:t>
            </w:r>
          </w:p>
        </w:tc>
        <w:tc>
          <w:tcPr>
            <w:tcW w:w="416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66"/>
        </w:trPr>
        <w:tc>
          <w:tcPr>
            <w:tcW w:w="660" w:type="dxa"/>
            <w:vAlign w:val="bottom"/>
            <w:tcBorders>
              <w:left w:val="single" w:sz="8" w:color="auto"/>
            </w:tcBorders>
            <w:shd w:val="clear" w:color="auto" w:fill="D9D9D9"/>
          </w:tcPr>
          <w:p>
            <w:pPr>
              <w:spacing w:after="0"/>
              <w:rPr>
                <w:sz w:val="5"/>
                <w:szCs w:val="5"/>
                <w:color w:val="auto"/>
              </w:rPr>
            </w:pPr>
          </w:p>
        </w:tc>
        <w:tc>
          <w:tcPr>
            <w:tcW w:w="1200" w:type="dxa"/>
            <w:vAlign w:val="bottom"/>
            <w:shd w:val="clear" w:color="auto" w:fill="D9D9D9"/>
          </w:tcPr>
          <w:p>
            <w:pPr>
              <w:spacing w:after="0"/>
              <w:rPr>
                <w:sz w:val="5"/>
                <w:szCs w:val="5"/>
                <w:color w:val="auto"/>
              </w:rPr>
            </w:pPr>
          </w:p>
        </w:tc>
        <w:tc>
          <w:tcPr>
            <w:tcW w:w="500" w:type="dxa"/>
            <w:vAlign w:val="bottom"/>
            <w:shd w:val="clear" w:color="auto" w:fill="D9D9D9"/>
          </w:tcPr>
          <w:p>
            <w:pPr>
              <w:spacing w:after="0"/>
              <w:rPr>
                <w:sz w:val="5"/>
                <w:szCs w:val="5"/>
                <w:color w:val="auto"/>
              </w:rPr>
            </w:pPr>
          </w:p>
        </w:tc>
        <w:tc>
          <w:tcPr>
            <w:tcW w:w="700" w:type="dxa"/>
            <w:vAlign w:val="bottom"/>
            <w:tcBorders>
              <w:right w:val="single" w:sz="8" w:color="auto"/>
            </w:tcBorders>
            <w:shd w:val="clear" w:color="auto" w:fill="D9D9D9"/>
          </w:tcPr>
          <w:p>
            <w:pPr>
              <w:spacing w:after="0"/>
              <w:rPr>
                <w:sz w:val="5"/>
                <w:szCs w:val="5"/>
                <w:color w:val="auto"/>
              </w:rPr>
            </w:pPr>
          </w:p>
        </w:tc>
        <w:tc>
          <w:tcPr>
            <w:tcW w:w="4040" w:type="dxa"/>
            <w:vAlign w:val="bottom"/>
            <w:tcBorders>
              <w:right w:val="single" w:sz="8" w:color="auto"/>
            </w:tcBorders>
            <w:vMerge w:val="continue"/>
            <w:shd w:val="clear" w:color="auto" w:fill="D9D9D9"/>
          </w:tcPr>
          <w:p>
            <w:pPr>
              <w:spacing w:after="0"/>
              <w:rPr>
                <w:sz w:val="5"/>
                <w:szCs w:val="5"/>
                <w:color w:val="auto"/>
              </w:rPr>
            </w:pPr>
          </w:p>
        </w:tc>
        <w:tc>
          <w:tcPr>
            <w:tcW w:w="4160" w:type="dxa"/>
            <w:vAlign w:val="bottom"/>
            <w:tcBorders>
              <w:right w:val="single" w:sz="8" w:color="auto"/>
            </w:tcBorders>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3060" w:type="dxa"/>
            <w:vAlign w:val="bottom"/>
            <w:tcBorders>
              <w:left w:val="single" w:sz="8" w:color="auto"/>
              <w:bottom w:val="single" w:sz="8" w:color="auto"/>
              <w:right w:val="single" w:sz="8" w:color="auto"/>
            </w:tcBorders>
            <w:gridSpan w:val="4"/>
            <w:shd w:val="clear" w:color="auto" w:fill="D9D9D9"/>
          </w:tcPr>
          <w:p>
            <w:pPr>
              <w:spacing w:after="0"/>
              <w:rPr>
                <w:sz w:val="18"/>
                <w:szCs w:val="18"/>
                <w:color w:val="auto"/>
              </w:rPr>
            </w:pPr>
          </w:p>
        </w:tc>
        <w:tc>
          <w:tcPr>
            <w:tcW w:w="4040" w:type="dxa"/>
            <w:vAlign w:val="bottom"/>
            <w:tcBorders>
              <w:bottom w:val="single" w:sz="8" w:color="auto"/>
              <w:right w:val="single" w:sz="8" w:color="auto"/>
            </w:tcBorders>
            <w:shd w:val="clear" w:color="auto" w:fill="D9D9D9"/>
          </w:tcPr>
          <w:p>
            <w:pPr>
              <w:spacing w:after="0"/>
              <w:rPr>
                <w:sz w:val="18"/>
                <w:szCs w:val="18"/>
                <w:color w:val="auto"/>
              </w:rPr>
            </w:pPr>
          </w:p>
        </w:tc>
        <w:tc>
          <w:tcPr>
            <w:tcW w:w="416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2"/>
                <w:szCs w:val="22"/>
                <w:color w:val="auto"/>
              </w:rPr>
              <w:t>Portion of Calendar Year Net</w:t>
            </w:r>
          </w:p>
        </w:tc>
        <w:tc>
          <w:tcPr>
            <w:tcW w:w="40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w:t>
            </w:r>
          </w:p>
        </w:tc>
        <w:tc>
          <w:tcPr>
            <w:tcW w:w="41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306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22"/>
                <w:szCs w:val="22"/>
                <w:color w:val="auto"/>
              </w:rPr>
              <w:t>Sales up to and including [***]</w:t>
            </w:r>
          </w:p>
        </w:tc>
        <w:tc>
          <w:tcPr>
            <w:tcW w:w="404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60" w:type="dxa"/>
            <w:vAlign w:val="bottom"/>
            <w:tcBorders>
              <w:left w:val="single" w:sz="8" w:color="auto"/>
              <w:bottom w:val="single" w:sz="8" w:color="auto"/>
              <w:right w:val="single" w:sz="8" w:color="auto"/>
            </w:tcBorders>
            <w:gridSpan w:val="4"/>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2"/>
                <w:szCs w:val="22"/>
                <w:color w:val="auto"/>
              </w:rPr>
              <w:t>Portion of Calendar Year Net</w:t>
            </w:r>
          </w:p>
        </w:tc>
        <w:tc>
          <w:tcPr>
            <w:tcW w:w="40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w:t>
            </w:r>
          </w:p>
        </w:tc>
        <w:tc>
          <w:tcPr>
            <w:tcW w:w="41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gridSpan w:val="4"/>
          </w:tcPr>
          <w:p>
            <w:pPr>
              <w:ind w:left="120"/>
              <w:spacing w:after="0" w:line="243" w:lineRule="exact"/>
              <w:rPr>
                <w:sz w:val="20"/>
                <w:szCs w:val="20"/>
                <w:color w:val="auto"/>
              </w:rPr>
            </w:pPr>
            <w:r>
              <w:rPr>
                <w:rFonts w:ascii="Times New Roman" w:cs="Times New Roman" w:eastAsia="Times New Roman" w:hAnsi="Times New Roman"/>
                <w:sz w:val="22"/>
                <w:szCs w:val="22"/>
                <w:color w:val="auto"/>
              </w:rPr>
              <w:t>Sales that exceeds [***] up to</w:t>
            </w:r>
          </w:p>
        </w:tc>
        <w:tc>
          <w:tcPr>
            <w:tcW w:w="4040" w:type="dxa"/>
            <w:vAlign w:val="bottom"/>
            <w:tcBorders>
              <w:right w:val="single" w:sz="8" w:color="auto"/>
            </w:tcBorders>
          </w:tcPr>
          <w:p>
            <w:pPr>
              <w:spacing w:after="0"/>
              <w:rPr>
                <w:sz w:val="21"/>
                <w:szCs w:val="21"/>
                <w:color w:val="auto"/>
              </w:rPr>
            </w:pPr>
          </w:p>
        </w:tc>
        <w:tc>
          <w:tcPr>
            <w:tcW w:w="4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8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w w:val="99"/>
              </w:rPr>
              <w:t>and including [***]</w:t>
            </w:r>
          </w:p>
        </w:tc>
        <w:tc>
          <w:tcPr>
            <w:tcW w:w="5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04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60" w:type="dxa"/>
            <w:vAlign w:val="bottom"/>
            <w:tcBorders>
              <w:left w:val="single" w:sz="8" w:color="auto"/>
              <w:bottom w:val="single" w:sz="8" w:color="auto"/>
              <w:right w:val="single" w:sz="8" w:color="auto"/>
            </w:tcBorders>
            <w:gridSpan w:val="4"/>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2"/>
                <w:szCs w:val="22"/>
                <w:color w:val="auto"/>
              </w:rPr>
              <w:t>Portion of Calendar Year Net</w:t>
            </w:r>
          </w:p>
        </w:tc>
        <w:tc>
          <w:tcPr>
            <w:tcW w:w="40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w:t>
            </w:r>
          </w:p>
        </w:tc>
        <w:tc>
          <w:tcPr>
            <w:tcW w:w="41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gridSpan w:val="4"/>
          </w:tcPr>
          <w:p>
            <w:pPr>
              <w:ind w:left="120"/>
              <w:spacing w:after="0" w:line="243" w:lineRule="exact"/>
              <w:rPr>
                <w:sz w:val="20"/>
                <w:szCs w:val="20"/>
                <w:color w:val="auto"/>
              </w:rPr>
            </w:pPr>
            <w:r>
              <w:rPr>
                <w:rFonts w:ascii="Times New Roman" w:cs="Times New Roman" w:eastAsia="Times New Roman" w:hAnsi="Times New Roman"/>
                <w:sz w:val="22"/>
                <w:szCs w:val="22"/>
                <w:color w:val="auto"/>
              </w:rPr>
              <w:t>Sales that exceeds [***] up to</w:t>
            </w:r>
          </w:p>
        </w:tc>
        <w:tc>
          <w:tcPr>
            <w:tcW w:w="4040" w:type="dxa"/>
            <w:vAlign w:val="bottom"/>
            <w:tcBorders>
              <w:right w:val="single" w:sz="8" w:color="auto"/>
            </w:tcBorders>
          </w:tcPr>
          <w:p>
            <w:pPr>
              <w:spacing w:after="0"/>
              <w:rPr>
                <w:sz w:val="21"/>
                <w:szCs w:val="21"/>
                <w:color w:val="auto"/>
              </w:rPr>
            </w:pPr>
          </w:p>
        </w:tc>
        <w:tc>
          <w:tcPr>
            <w:tcW w:w="4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8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w w:val="99"/>
              </w:rPr>
              <w:t>and including [***]</w:t>
            </w:r>
          </w:p>
        </w:tc>
        <w:tc>
          <w:tcPr>
            <w:tcW w:w="5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04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60" w:type="dxa"/>
            <w:vAlign w:val="bottom"/>
            <w:tcBorders>
              <w:left w:val="single" w:sz="8" w:color="auto"/>
              <w:bottom w:val="single" w:sz="8" w:color="auto"/>
              <w:right w:val="single" w:sz="8" w:color="auto"/>
            </w:tcBorders>
            <w:gridSpan w:val="4"/>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2"/>
                <w:szCs w:val="22"/>
                <w:color w:val="auto"/>
              </w:rPr>
              <w:t>Portion of Calendar Year Net</w:t>
            </w:r>
          </w:p>
        </w:tc>
        <w:tc>
          <w:tcPr>
            <w:tcW w:w="40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w:t>
            </w:r>
          </w:p>
        </w:tc>
        <w:tc>
          <w:tcPr>
            <w:tcW w:w="41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gridSpan w:val="4"/>
          </w:tcPr>
          <w:p>
            <w:pPr>
              <w:ind w:left="120"/>
              <w:spacing w:after="0" w:line="243" w:lineRule="exact"/>
              <w:rPr>
                <w:sz w:val="20"/>
                <w:szCs w:val="20"/>
                <w:color w:val="auto"/>
              </w:rPr>
            </w:pPr>
            <w:r>
              <w:rPr>
                <w:rFonts w:ascii="Times New Roman" w:cs="Times New Roman" w:eastAsia="Times New Roman" w:hAnsi="Times New Roman"/>
                <w:sz w:val="22"/>
                <w:szCs w:val="22"/>
                <w:color w:val="auto"/>
              </w:rPr>
              <w:t>Sales that exceeds [***] up to</w:t>
            </w:r>
          </w:p>
        </w:tc>
        <w:tc>
          <w:tcPr>
            <w:tcW w:w="4040" w:type="dxa"/>
            <w:vAlign w:val="bottom"/>
            <w:tcBorders>
              <w:right w:val="single" w:sz="8" w:color="auto"/>
            </w:tcBorders>
          </w:tcPr>
          <w:p>
            <w:pPr>
              <w:spacing w:after="0"/>
              <w:rPr>
                <w:sz w:val="21"/>
                <w:szCs w:val="21"/>
                <w:color w:val="auto"/>
              </w:rPr>
            </w:pPr>
          </w:p>
        </w:tc>
        <w:tc>
          <w:tcPr>
            <w:tcW w:w="4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8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w w:val="99"/>
              </w:rPr>
              <w:t>and including [***]</w:t>
            </w:r>
          </w:p>
        </w:tc>
        <w:tc>
          <w:tcPr>
            <w:tcW w:w="5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04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60" w:type="dxa"/>
            <w:vAlign w:val="bottom"/>
            <w:tcBorders>
              <w:left w:val="single" w:sz="8" w:color="auto"/>
              <w:bottom w:val="single" w:sz="8" w:color="auto"/>
              <w:right w:val="single" w:sz="8" w:color="auto"/>
            </w:tcBorders>
            <w:gridSpan w:val="4"/>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2"/>
                <w:szCs w:val="22"/>
                <w:color w:val="auto"/>
              </w:rPr>
              <w:t>Portion of Calendar Year Net</w:t>
            </w:r>
          </w:p>
        </w:tc>
        <w:tc>
          <w:tcPr>
            <w:tcW w:w="40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w:t>
            </w:r>
          </w:p>
        </w:tc>
        <w:tc>
          <w:tcPr>
            <w:tcW w:w="41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236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Sales that exceeds [***]</w:t>
            </w:r>
          </w:p>
        </w:tc>
        <w:tc>
          <w:tcPr>
            <w:tcW w:w="700" w:type="dxa"/>
            <w:vAlign w:val="bottom"/>
            <w:tcBorders>
              <w:right w:val="single" w:sz="8" w:color="auto"/>
            </w:tcBorders>
          </w:tcPr>
          <w:p>
            <w:pPr>
              <w:spacing w:after="0"/>
              <w:rPr>
                <w:sz w:val="24"/>
                <w:szCs w:val="24"/>
                <w:color w:val="auto"/>
              </w:rPr>
            </w:pPr>
          </w:p>
        </w:tc>
        <w:tc>
          <w:tcPr>
            <w:tcW w:w="404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60" w:type="dxa"/>
            <w:vAlign w:val="bottom"/>
            <w:tcBorders>
              <w:left w:val="single" w:sz="8" w:color="auto"/>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68" w:name="page269"/>
    <w:bookmarkEnd w:id="268"/>
    <w:tbl>
      <w:tblPr>
        <w:tblLayout w:type="fixed"/>
        <w:tblInd w:w="10" w:type="dxa"/>
        <w:tblCellMar>
          <w:top w:w="0" w:type="dxa"/>
          <w:left w:w="0" w:type="dxa"/>
          <w:bottom w:w="0" w:type="dxa"/>
          <w:right w:w="0" w:type="dxa"/>
        </w:tblCellMar>
      </w:tblPr>
      <w:tr>
        <w:trPr>
          <w:trHeight w:val="288"/>
        </w:trPr>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tcPr>
          <w:p>
            <w:pPr>
              <w:ind w:left="2500"/>
              <w:spacing w:after="0"/>
              <w:rPr>
                <w:sz w:val="20"/>
                <w:szCs w:val="20"/>
                <w:color w:val="auto"/>
              </w:rPr>
            </w:pPr>
            <w:r>
              <w:rPr>
                <w:rFonts w:ascii="Times New Roman" w:cs="Times New Roman" w:eastAsia="Times New Roman" w:hAnsi="Times New Roman"/>
                <w:sz w:val="22"/>
                <w:szCs w:val="22"/>
                <w:b w:val="1"/>
                <w:bCs w:val="1"/>
                <w:i w:val="1"/>
                <w:iCs w:val="1"/>
                <w:color w:val="auto"/>
                <w:w w:val="97"/>
              </w:rPr>
              <w:t>CONFIDENTIAL</w:t>
            </w:r>
          </w:p>
        </w:tc>
        <w:tc>
          <w:tcPr>
            <w:tcW w:w="0" w:type="dxa"/>
            <w:vAlign w:val="bottom"/>
          </w:tcPr>
          <w:p>
            <w:pPr>
              <w:spacing w:after="0"/>
              <w:rPr>
                <w:sz w:val="1"/>
                <w:szCs w:val="1"/>
                <w:color w:val="auto"/>
              </w:rPr>
            </w:pPr>
          </w:p>
        </w:tc>
      </w:tr>
      <w:tr>
        <w:trPr>
          <w:trHeight w:val="390"/>
        </w:trPr>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0" w:type="dxa"/>
            <w:vAlign w:val="bottom"/>
            <w:tcBorders>
              <w:left w:val="single" w:sz="8" w:color="auto"/>
            </w:tcBorders>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4"/>
                <w:szCs w:val="24"/>
                <w:color w:val="auto"/>
              </w:rPr>
            </w:pPr>
          </w:p>
        </w:tc>
        <w:tc>
          <w:tcPr>
            <w:tcW w:w="700" w:type="dxa"/>
            <w:vAlign w:val="bottom"/>
            <w:tcBorders>
              <w:right w:val="single" w:sz="8" w:color="D9D9D9"/>
            </w:tcBorders>
            <w:shd w:val="clear" w:color="auto" w:fill="D9D9D9"/>
          </w:tcPr>
          <w:p>
            <w:pPr>
              <w:spacing w:after="0"/>
              <w:rPr>
                <w:sz w:val="24"/>
                <w:szCs w:val="24"/>
                <w:color w:val="auto"/>
              </w:rPr>
            </w:pPr>
          </w:p>
        </w:tc>
        <w:tc>
          <w:tcPr>
            <w:tcW w:w="4040" w:type="dxa"/>
            <w:vAlign w:val="bottom"/>
            <w:tcBorders>
              <w:right w:val="single" w:sz="8" w:color="D9D9D9"/>
            </w:tcBorders>
            <w:shd w:val="clear" w:color="auto" w:fill="D9D9D9"/>
          </w:tcPr>
          <w:p>
            <w:pPr>
              <w:ind w:left="1520"/>
              <w:spacing w:after="0"/>
              <w:rPr>
                <w:sz w:val="20"/>
                <w:szCs w:val="20"/>
                <w:color w:val="auto"/>
              </w:rPr>
            </w:pPr>
            <w:r>
              <w:rPr>
                <w:rFonts w:ascii="Times New Roman" w:cs="Times New Roman" w:eastAsia="Times New Roman" w:hAnsi="Times New Roman"/>
                <w:sz w:val="22"/>
                <w:szCs w:val="22"/>
                <w:b w:val="1"/>
                <w:bCs w:val="1"/>
                <w:color w:val="auto"/>
              </w:rPr>
              <w:t>Collaboration Target 2</w:t>
            </w:r>
          </w:p>
        </w:tc>
        <w:tc>
          <w:tcPr>
            <w:tcW w:w="416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20" w:type="dxa"/>
            <w:vAlign w:val="bottom"/>
            <w:tcBorders>
              <w:left w:val="single" w:sz="8" w:color="auto"/>
              <w:bottom w:val="single" w:sz="8" w:color="auto"/>
            </w:tcBorders>
            <w:gridSpan w:val="2"/>
            <w:shd w:val="clear" w:color="auto" w:fill="D9D9D9"/>
          </w:tcPr>
          <w:p>
            <w:pPr>
              <w:spacing w:after="0"/>
              <w:rPr>
                <w:sz w:val="16"/>
                <w:szCs w:val="16"/>
                <w:color w:val="auto"/>
              </w:rPr>
            </w:pPr>
          </w:p>
        </w:tc>
        <w:tc>
          <w:tcPr>
            <w:tcW w:w="1440" w:type="dxa"/>
            <w:vAlign w:val="bottom"/>
            <w:tcBorders>
              <w:bottom w:val="single" w:sz="8" w:color="auto"/>
              <w:right w:val="single" w:sz="8" w:color="D9D9D9"/>
            </w:tcBorders>
            <w:gridSpan w:val="2"/>
            <w:shd w:val="clear" w:color="auto" w:fill="D9D9D9"/>
          </w:tcPr>
          <w:p>
            <w:pPr>
              <w:spacing w:after="0"/>
              <w:rPr>
                <w:sz w:val="16"/>
                <w:szCs w:val="16"/>
                <w:color w:val="auto"/>
              </w:rPr>
            </w:pPr>
          </w:p>
        </w:tc>
        <w:tc>
          <w:tcPr>
            <w:tcW w:w="4040" w:type="dxa"/>
            <w:vAlign w:val="bottom"/>
            <w:tcBorders>
              <w:bottom w:val="single" w:sz="8" w:color="auto"/>
              <w:right w:val="single" w:sz="8" w:color="D9D9D9"/>
            </w:tcBorders>
            <w:shd w:val="clear" w:color="auto" w:fill="D9D9D9"/>
          </w:tcPr>
          <w:p>
            <w:pPr>
              <w:spacing w:after="0"/>
              <w:rPr>
                <w:sz w:val="16"/>
                <w:szCs w:val="16"/>
                <w:color w:val="auto"/>
              </w:rPr>
            </w:pPr>
          </w:p>
        </w:tc>
        <w:tc>
          <w:tcPr>
            <w:tcW w:w="4160" w:type="dxa"/>
            <w:vAlign w:val="bottom"/>
            <w:tcBorders>
              <w:bottom w:val="single" w:sz="8" w:color="auto"/>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1620" w:type="dxa"/>
            <w:vAlign w:val="bottom"/>
            <w:tcBorders>
              <w:left w:val="single" w:sz="8" w:color="D9D9D9"/>
            </w:tcBorders>
            <w:gridSpan w:val="2"/>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Calendar Year</w:t>
            </w:r>
          </w:p>
        </w:tc>
        <w:tc>
          <w:tcPr>
            <w:tcW w:w="1440" w:type="dxa"/>
            <w:vAlign w:val="bottom"/>
            <w:tcBorders>
              <w:right w:val="single" w:sz="8" w:color="auto"/>
            </w:tcBorders>
            <w:gridSpan w:val="2"/>
            <w:shd w:val="clear" w:color="auto" w:fill="D9D9D9"/>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Net Sales (in</w:t>
            </w:r>
          </w:p>
        </w:tc>
        <w:tc>
          <w:tcPr>
            <w:tcW w:w="404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Royalty Rates as a Percentage (%) of Net</w:t>
            </w:r>
          </w:p>
        </w:tc>
        <w:tc>
          <w:tcPr>
            <w:tcW w:w="416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Royalty Rates as a Percentage (%) of Net</w:t>
            </w:r>
          </w:p>
        </w:tc>
        <w:tc>
          <w:tcPr>
            <w:tcW w:w="0" w:type="dxa"/>
            <w:vAlign w:val="bottom"/>
          </w:tcPr>
          <w:p>
            <w:pPr>
              <w:spacing w:after="0"/>
              <w:rPr>
                <w:sz w:val="1"/>
                <w:szCs w:val="1"/>
                <w:color w:val="auto"/>
              </w:rPr>
            </w:pPr>
          </w:p>
        </w:tc>
      </w:tr>
      <w:tr>
        <w:trPr>
          <w:trHeight w:val="144"/>
        </w:trPr>
        <w:tc>
          <w:tcPr>
            <w:tcW w:w="680" w:type="dxa"/>
            <w:vAlign w:val="bottom"/>
            <w:tcBorders>
              <w:left w:val="single" w:sz="8" w:color="D9D9D9"/>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U.S.</w:t>
            </w:r>
          </w:p>
        </w:tc>
        <w:tc>
          <w:tcPr>
            <w:tcW w:w="940" w:type="dxa"/>
            <w:vAlign w:val="bottom"/>
            <w:vMerge w:val="restart"/>
            <w:shd w:val="clear" w:color="auto" w:fill="D9D9D9"/>
          </w:tcPr>
          <w:p>
            <w:pPr>
              <w:ind w:left="160"/>
              <w:spacing w:after="0"/>
              <w:rPr>
                <w:sz w:val="20"/>
                <w:szCs w:val="20"/>
                <w:color w:val="auto"/>
              </w:rPr>
            </w:pPr>
            <w:r>
              <w:rPr>
                <w:rFonts w:ascii="Times New Roman" w:cs="Times New Roman" w:eastAsia="Times New Roman" w:hAnsi="Times New Roman"/>
                <w:sz w:val="22"/>
                <w:szCs w:val="22"/>
                <w:b w:val="1"/>
                <w:bCs w:val="1"/>
                <w:color w:val="auto"/>
              </w:rPr>
              <w:t>Dollars)</w:t>
            </w:r>
          </w:p>
        </w:tc>
        <w:tc>
          <w:tcPr>
            <w:tcW w:w="740" w:type="dxa"/>
            <w:vAlign w:val="bottom"/>
            <w:vMerge w:val="restart"/>
            <w:shd w:val="clear" w:color="auto" w:fill="D9D9D9"/>
          </w:tcPr>
          <w:p>
            <w:pPr>
              <w:ind w:left="280"/>
              <w:spacing w:after="0"/>
              <w:rPr>
                <w:sz w:val="20"/>
                <w:szCs w:val="20"/>
                <w:color w:val="auto"/>
              </w:rPr>
            </w:pPr>
            <w:r>
              <w:rPr>
                <w:rFonts w:ascii="Times New Roman" w:cs="Times New Roman" w:eastAsia="Times New Roman" w:hAnsi="Times New Roman"/>
                <w:sz w:val="22"/>
                <w:szCs w:val="22"/>
                <w:b w:val="1"/>
                <w:bCs w:val="1"/>
                <w:color w:val="auto"/>
              </w:rPr>
              <w:t>for</w:t>
            </w:r>
          </w:p>
        </w:tc>
        <w:tc>
          <w:tcPr>
            <w:tcW w:w="700" w:type="dxa"/>
            <w:vAlign w:val="bottom"/>
            <w:tcBorders>
              <w:right w:val="single" w:sz="8" w:color="auto"/>
            </w:tcBorders>
            <w:vMerge w:val="restart"/>
            <w:shd w:val="clear" w:color="auto" w:fill="D9D9D9"/>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such</w:t>
            </w:r>
          </w:p>
        </w:tc>
        <w:tc>
          <w:tcPr>
            <w:tcW w:w="4040" w:type="dxa"/>
            <w:vAlign w:val="bottom"/>
            <w:tcBorders>
              <w:right w:val="single" w:sz="8" w:color="auto"/>
            </w:tcBorders>
            <w:shd w:val="clear" w:color="auto" w:fill="D9D9D9"/>
          </w:tcPr>
          <w:p>
            <w:pPr>
              <w:ind w:left="80"/>
              <w:spacing w:after="0" w:line="144" w:lineRule="exact"/>
              <w:rPr>
                <w:sz w:val="20"/>
                <w:szCs w:val="20"/>
                <w:color w:val="auto"/>
              </w:rPr>
            </w:pPr>
            <w:r>
              <w:rPr>
                <w:rFonts w:ascii="Times New Roman" w:cs="Times New Roman" w:eastAsia="Times New Roman" w:hAnsi="Times New Roman"/>
                <w:sz w:val="16"/>
                <w:szCs w:val="16"/>
                <w:b w:val="1"/>
                <w:bCs w:val="1"/>
                <w:color w:val="auto"/>
              </w:rPr>
              <w:t>Sales  if  Kymera  has  borne  U.S.</w:t>
            </w:r>
          </w:p>
        </w:tc>
        <w:tc>
          <w:tcPr>
            <w:tcW w:w="4160" w:type="dxa"/>
            <w:vAlign w:val="bottom"/>
            <w:tcBorders>
              <w:right w:val="single" w:sz="8" w:color="auto"/>
            </w:tcBorders>
            <w:shd w:val="clear" w:color="auto" w:fill="D9D9D9"/>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Sales   if   Kymera   has   borne   U.S.</w:t>
            </w:r>
          </w:p>
        </w:tc>
        <w:tc>
          <w:tcPr>
            <w:tcW w:w="0" w:type="dxa"/>
            <w:vAlign w:val="bottom"/>
          </w:tcPr>
          <w:p>
            <w:pPr>
              <w:spacing w:after="0"/>
              <w:rPr>
                <w:sz w:val="1"/>
                <w:szCs w:val="1"/>
                <w:color w:val="auto"/>
              </w:rPr>
            </w:pPr>
          </w:p>
        </w:tc>
      </w:tr>
      <w:tr>
        <w:trPr>
          <w:trHeight w:val="220"/>
        </w:trPr>
        <w:tc>
          <w:tcPr>
            <w:tcW w:w="680" w:type="dxa"/>
            <w:vAlign w:val="bottom"/>
            <w:tcBorders>
              <w:left w:val="single" w:sz="8" w:color="D9D9D9"/>
            </w:tcBorders>
            <w:vMerge w:val="continue"/>
            <w:shd w:val="clear" w:color="auto" w:fill="D9D9D9"/>
          </w:tcPr>
          <w:p>
            <w:pPr>
              <w:spacing w:after="0"/>
              <w:rPr>
                <w:sz w:val="19"/>
                <w:szCs w:val="19"/>
                <w:color w:val="auto"/>
              </w:rPr>
            </w:pPr>
          </w:p>
        </w:tc>
        <w:tc>
          <w:tcPr>
            <w:tcW w:w="940" w:type="dxa"/>
            <w:vAlign w:val="bottom"/>
            <w:vMerge w:val="continue"/>
            <w:shd w:val="clear" w:color="auto" w:fill="D9D9D9"/>
          </w:tcPr>
          <w:p>
            <w:pPr>
              <w:spacing w:after="0"/>
              <w:rPr>
                <w:sz w:val="19"/>
                <w:szCs w:val="19"/>
                <w:color w:val="auto"/>
              </w:rPr>
            </w:pPr>
          </w:p>
        </w:tc>
        <w:tc>
          <w:tcPr>
            <w:tcW w:w="740" w:type="dxa"/>
            <w:vAlign w:val="bottom"/>
            <w:vMerge w:val="continue"/>
            <w:shd w:val="clear" w:color="auto" w:fill="D9D9D9"/>
          </w:tcPr>
          <w:p>
            <w:pPr>
              <w:spacing w:after="0"/>
              <w:rPr>
                <w:sz w:val="19"/>
                <w:szCs w:val="19"/>
                <w:color w:val="auto"/>
              </w:rPr>
            </w:pPr>
          </w:p>
        </w:tc>
        <w:tc>
          <w:tcPr>
            <w:tcW w:w="700" w:type="dxa"/>
            <w:vAlign w:val="bottom"/>
            <w:tcBorders>
              <w:right w:val="single" w:sz="8" w:color="auto"/>
            </w:tcBorders>
            <w:vMerge w:val="continue"/>
            <w:shd w:val="clear" w:color="auto" w:fill="D9D9D9"/>
          </w:tcPr>
          <w:p>
            <w:pPr>
              <w:spacing w:after="0"/>
              <w:rPr>
                <w:sz w:val="19"/>
                <w:szCs w:val="19"/>
                <w:color w:val="auto"/>
              </w:rPr>
            </w:pPr>
          </w:p>
        </w:tc>
        <w:tc>
          <w:tcPr>
            <w:tcW w:w="4040" w:type="dxa"/>
            <w:vAlign w:val="bottom"/>
            <w:tcBorders>
              <w:right w:val="single" w:sz="8" w:color="auto"/>
            </w:tcBorders>
            <w:shd w:val="clear" w:color="auto" w:fill="D9D9D9"/>
          </w:tcPr>
          <w:p>
            <w:pPr>
              <w:ind w:left="80"/>
              <w:spacing w:after="0" w:line="221" w:lineRule="exact"/>
              <w:rPr>
                <w:sz w:val="20"/>
                <w:szCs w:val="20"/>
                <w:color w:val="auto"/>
              </w:rPr>
            </w:pPr>
            <w:r>
              <w:rPr>
                <w:rFonts w:ascii="Times New Roman" w:cs="Times New Roman" w:eastAsia="Times New Roman" w:hAnsi="Times New Roman"/>
                <w:sz w:val="22"/>
                <w:szCs w:val="22"/>
                <w:b w:val="1"/>
                <w:bCs w:val="1"/>
                <w:color w:val="auto"/>
              </w:rPr>
              <w:t>Development Expenses at least equal to</w:t>
            </w:r>
          </w:p>
        </w:tc>
        <w:tc>
          <w:tcPr>
            <w:tcW w:w="4160" w:type="dxa"/>
            <w:vAlign w:val="bottom"/>
            <w:tcBorders>
              <w:right w:val="single" w:sz="8" w:color="auto"/>
            </w:tcBorders>
            <w:shd w:val="clear" w:color="auto" w:fill="D9D9D9"/>
          </w:tcPr>
          <w:p>
            <w:pPr>
              <w:ind w:left="100"/>
              <w:spacing w:after="0" w:line="221" w:lineRule="exact"/>
              <w:rPr>
                <w:sz w:val="20"/>
                <w:szCs w:val="20"/>
                <w:color w:val="auto"/>
              </w:rPr>
            </w:pPr>
            <w:r>
              <w:rPr>
                <w:rFonts w:ascii="Times New Roman" w:cs="Times New Roman" w:eastAsia="Times New Roman" w:hAnsi="Times New Roman"/>
                <w:sz w:val="22"/>
                <w:szCs w:val="22"/>
                <w:b w:val="1"/>
                <w:bCs w:val="1"/>
                <w:color w:val="auto"/>
              </w:rPr>
              <w:t>Development Expenses at least equal to</w:t>
            </w:r>
          </w:p>
        </w:tc>
        <w:tc>
          <w:tcPr>
            <w:tcW w:w="0" w:type="dxa"/>
            <w:vAlign w:val="bottom"/>
          </w:tcPr>
          <w:p>
            <w:pPr>
              <w:spacing w:after="0"/>
              <w:rPr>
                <w:sz w:val="1"/>
                <w:szCs w:val="1"/>
                <w:color w:val="auto"/>
              </w:rPr>
            </w:pPr>
          </w:p>
        </w:tc>
      </w:tr>
      <w:tr>
        <w:trPr>
          <w:trHeight w:val="243"/>
        </w:trPr>
        <w:tc>
          <w:tcPr>
            <w:tcW w:w="2360" w:type="dxa"/>
            <w:vAlign w:val="bottom"/>
            <w:tcBorders>
              <w:left w:val="single" w:sz="8" w:color="D9D9D9"/>
            </w:tcBorders>
            <w:gridSpan w:val="3"/>
            <w:shd w:val="clear" w:color="auto" w:fill="D9D9D9"/>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Licensed Products</w:t>
            </w:r>
          </w:p>
        </w:tc>
        <w:tc>
          <w:tcPr>
            <w:tcW w:w="700" w:type="dxa"/>
            <w:vAlign w:val="bottom"/>
            <w:tcBorders>
              <w:right w:val="single" w:sz="8" w:color="auto"/>
            </w:tcBorders>
            <w:shd w:val="clear" w:color="auto" w:fill="D9D9D9"/>
          </w:tcPr>
          <w:p>
            <w:pPr>
              <w:spacing w:after="0"/>
              <w:rPr>
                <w:sz w:val="21"/>
                <w:szCs w:val="21"/>
                <w:color w:val="auto"/>
              </w:rPr>
            </w:pPr>
          </w:p>
        </w:tc>
        <w:tc>
          <w:tcPr>
            <w:tcW w:w="404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but less than</w:t>
            </w:r>
            <w:r>
              <w:rPr>
                <w:rFonts w:ascii="Times New Roman" w:cs="Times New Roman" w:eastAsia="Times New Roman" w:hAnsi="Times New Roman"/>
                <w:sz w:val="22"/>
                <w:szCs w:val="22"/>
                <w:color w:val="auto"/>
              </w:rPr>
              <w:t xml:space="preserve"> [***]</w:t>
            </w:r>
          </w:p>
        </w:tc>
        <w:tc>
          <w:tcPr>
            <w:tcW w:w="416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66"/>
        </w:trPr>
        <w:tc>
          <w:tcPr>
            <w:tcW w:w="680" w:type="dxa"/>
            <w:vAlign w:val="bottom"/>
            <w:tcBorders>
              <w:left w:val="single" w:sz="8" w:color="D9D9D9"/>
            </w:tcBorders>
            <w:shd w:val="clear" w:color="auto" w:fill="D9D9D9"/>
          </w:tcPr>
          <w:p>
            <w:pPr>
              <w:spacing w:after="0"/>
              <w:rPr>
                <w:sz w:val="5"/>
                <w:szCs w:val="5"/>
                <w:color w:val="auto"/>
              </w:rPr>
            </w:pPr>
          </w:p>
        </w:tc>
        <w:tc>
          <w:tcPr>
            <w:tcW w:w="940" w:type="dxa"/>
            <w:vAlign w:val="bottom"/>
            <w:shd w:val="clear" w:color="auto" w:fill="D9D9D9"/>
          </w:tcPr>
          <w:p>
            <w:pPr>
              <w:spacing w:after="0"/>
              <w:rPr>
                <w:sz w:val="5"/>
                <w:szCs w:val="5"/>
                <w:color w:val="auto"/>
              </w:rPr>
            </w:pPr>
          </w:p>
        </w:tc>
        <w:tc>
          <w:tcPr>
            <w:tcW w:w="740" w:type="dxa"/>
            <w:vAlign w:val="bottom"/>
            <w:shd w:val="clear" w:color="auto" w:fill="D9D9D9"/>
          </w:tcPr>
          <w:p>
            <w:pPr>
              <w:spacing w:after="0"/>
              <w:rPr>
                <w:sz w:val="5"/>
                <w:szCs w:val="5"/>
                <w:color w:val="auto"/>
              </w:rPr>
            </w:pPr>
          </w:p>
        </w:tc>
        <w:tc>
          <w:tcPr>
            <w:tcW w:w="700" w:type="dxa"/>
            <w:vAlign w:val="bottom"/>
            <w:tcBorders>
              <w:right w:val="single" w:sz="8" w:color="auto"/>
            </w:tcBorders>
            <w:shd w:val="clear" w:color="auto" w:fill="D9D9D9"/>
          </w:tcPr>
          <w:p>
            <w:pPr>
              <w:spacing w:after="0"/>
              <w:rPr>
                <w:sz w:val="5"/>
                <w:szCs w:val="5"/>
                <w:color w:val="auto"/>
              </w:rPr>
            </w:pPr>
          </w:p>
        </w:tc>
        <w:tc>
          <w:tcPr>
            <w:tcW w:w="4040" w:type="dxa"/>
            <w:vAlign w:val="bottom"/>
            <w:tcBorders>
              <w:right w:val="single" w:sz="8" w:color="auto"/>
            </w:tcBorders>
            <w:vMerge w:val="continue"/>
            <w:shd w:val="clear" w:color="auto" w:fill="D9D9D9"/>
          </w:tcPr>
          <w:p>
            <w:pPr>
              <w:spacing w:after="0"/>
              <w:rPr>
                <w:sz w:val="5"/>
                <w:szCs w:val="5"/>
                <w:color w:val="auto"/>
              </w:rPr>
            </w:pPr>
          </w:p>
        </w:tc>
        <w:tc>
          <w:tcPr>
            <w:tcW w:w="4160" w:type="dxa"/>
            <w:vAlign w:val="bottom"/>
            <w:tcBorders>
              <w:right w:val="single" w:sz="8" w:color="auto"/>
            </w:tcBorders>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3060" w:type="dxa"/>
            <w:vAlign w:val="bottom"/>
            <w:tcBorders>
              <w:left w:val="single" w:sz="8" w:color="D9D9D9"/>
              <w:bottom w:val="single" w:sz="8" w:color="auto"/>
              <w:right w:val="single" w:sz="8" w:color="auto"/>
            </w:tcBorders>
            <w:gridSpan w:val="4"/>
            <w:shd w:val="clear" w:color="auto" w:fill="D9D9D9"/>
          </w:tcPr>
          <w:p>
            <w:pPr>
              <w:spacing w:after="0"/>
              <w:rPr>
                <w:sz w:val="18"/>
                <w:szCs w:val="18"/>
                <w:color w:val="auto"/>
              </w:rPr>
            </w:pPr>
          </w:p>
        </w:tc>
        <w:tc>
          <w:tcPr>
            <w:tcW w:w="4040" w:type="dxa"/>
            <w:vAlign w:val="bottom"/>
            <w:tcBorders>
              <w:bottom w:val="single" w:sz="8" w:color="auto"/>
              <w:right w:val="single" w:sz="8" w:color="auto"/>
            </w:tcBorders>
            <w:shd w:val="clear" w:color="auto" w:fill="D9D9D9"/>
          </w:tcPr>
          <w:p>
            <w:pPr>
              <w:spacing w:after="0"/>
              <w:rPr>
                <w:sz w:val="18"/>
                <w:szCs w:val="18"/>
                <w:color w:val="auto"/>
              </w:rPr>
            </w:pPr>
          </w:p>
        </w:tc>
        <w:tc>
          <w:tcPr>
            <w:tcW w:w="416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Borders>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2"/>
                <w:szCs w:val="22"/>
                <w:color w:val="auto"/>
              </w:rPr>
              <w:t>Portion of Calendar Year Net</w:t>
            </w:r>
          </w:p>
        </w:tc>
        <w:tc>
          <w:tcPr>
            <w:tcW w:w="40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w:t>
            </w:r>
          </w:p>
        </w:tc>
        <w:tc>
          <w:tcPr>
            <w:tcW w:w="41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30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22"/>
                <w:szCs w:val="22"/>
                <w:color w:val="auto"/>
              </w:rPr>
              <w:t>Sales up to and including [***]</w:t>
            </w:r>
          </w:p>
        </w:tc>
        <w:tc>
          <w:tcPr>
            <w:tcW w:w="404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60" w:type="dxa"/>
            <w:vAlign w:val="bottom"/>
            <w:tcBorders>
              <w:bottom w:val="single" w:sz="8" w:color="auto"/>
              <w:right w:val="single" w:sz="8" w:color="auto"/>
            </w:tcBorders>
            <w:gridSpan w:val="4"/>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Borders>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2"/>
                <w:szCs w:val="22"/>
                <w:color w:val="auto"/>
              </w:rPr>
              <w:t>Portion of Calendar Year Net</w:t>
            </w:r>
          </w:p>
        </w:tc>
        <w:tc>
          <w:tcPr>
            <w:tcW w:w="40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w:t>
            </w:r>
          </w:p>
        </w:tc>
        <w:tc>
          <w:tcPr>
            <w:tcW w:w="41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3060" w:type="dxa"/>
            <w:vAlign w:val="bottom"/>
            <w:tcBorders>
              <w:right w:val="single" w:sz="8" w:color="auto"/>
            </w:tcBorders>
            <w:gridSpan w:val="4"/>
          </w:tcPr>
          <w:p>
            <w:pPr>
              <w:ind w:left="120"/>
              <w:spacing w:after="0" w:line="243" w:lineRule="exact"/>
              <w:rPr>
                <w:sz w:val="20"/>
                <w:szCs w:val="20"/>
                <w:color w:val="auto"/>
              </w:rPr>
            </w:pPr>
            <w:r>
              <w:rPr>
                <w:rFonts w:ascii="Times New Roman" w:cs="Times New Roman" w:eastAsia="Times New Roman" w:hAnsi="Times New Roman"/>
                <w:sz w:val="22"/>
                <w:szCs w:val="22"/>
                <w:color w:val="auto"/>
              </w:rPr>
              <w:t>Sales that exceeds [***] up to</w:t>
            </w:r>
          </w:p>
        </w:tc>
        <w:tc>
          <w:tcPr>
            <w:tcW w:w="4040" w:type="dxa"/>
            <w:vAlign w:val="bottom"/>
            <w:tcBorders>
              <w:right w:val="single" w:sz="8" w:color="auto"/>
            </w:tcBorders>
          </w:tcPr>
          <w:p>
            <w:pPr>
              <w:spacing w:after="0"/>
              <w:rPr>
                <w:sz w:val="21"/>
                <w:szCs w:val="21"/>
                <w:color w:val="auto"/>
              </w:rPr>
            </w:pPr>
          </w:p>
        </w:tc>
        <w:tc>
          <w:tcPr>
            <w:tcW w:w="4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and including [***]</w:t>
            </w:r>
          </w:p>
        </w:tc>
        <w:tc>
          <w:tcPr>
            <w:tcW w:w="700" w:type="dxa"/>
            <w:vAlign w:val="bottom"/>
            <w:tcBorders>
              <w:right w:val="single" w:sz="8" w:color="auto"/>
            </w:tcBorders>
          </w:tcPr>
          <w:p>
            <w:pPr>
              <w:spacing w:after="0"/>
              <w:rPr>
                <w:sz w:val="24"/>
                <w:szCs w:val="24"/>
                <w:color w:val="auto"/>
              </w:rPr>
            </w:pPr>
          </w:p>
        </w:tc>
        <w:tc>
          <w:tcPr>
            <w:tcW w:w="404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60" w:type="dxa"/>
            <w:vAlign w:val="bottom"/>
            <w:tcBorders>
              <w:bottom w:val="single" w:sz="8" w:color="auto"/>
              <w:right w:val="single" w:sz="8" w:color="auto"/>
            </w:tcBorders>
            <w:gridSpan w:val="4"/>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Borders>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2"/>
                <w:szCs w:val="22"/>
                <w:color w:val="auto"/>
              </w:rPr>
              <w:t>Portion of Calendar Year Net</w:t>
            </w:r>
          </w:p>
        </w:tc>
        <w:tc>
          <w:tcPr>
            <w:tcW w:w="40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w:t>
            </w:r>
          </w:p>
        </w:tc>
        <w:tc>
          <w:tcPr>
            <w:tcW w:w="41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3060" w:type="dxa"/>
            <w:vAlign w:val="bottom"/>
            <w:tcBorders>
              <w:right w:val="single" w:sz="8" w:color="auto"/>
            </w:tcBorders>
            <w:gridSpan w:val="4"/>
          </w:tcPr>
          <w:p>
            <w:pPr>
              <w:ind w:left="120"/>
              <w:spacing w:after="0" w:line="243" w:lineRule="exact"/>
              <w:rPr>
                <w:sz w:val="20"/>
                <w:szCs w:val="20"/>
                <w:color w:val="auto"/>
              </w:rPr>
            </w:pPr>
            <w:r>
              <w:rPr>
                <w:rFonts w:ascii="Times New Roman" w:cs="Times New Roman" w:eastAsia="Times New Roman" w:hAnsi="Times New Roman"/>
                <w:sz w:val="22"/>
                <w:szCs w:val="22"/>
                <w:color w:val="auto"/>
              </w:rPr>
              <w:t>Sales that exceeds [***] up to</w:t>
            </w:r>
          </w:p>
        </w:tc>
        <w:tc>
          <w:tcPr>
            <w:tcW w:w="4040" w:type="dxa"/>
            <w:vAlign w:val="bottom"/>
            <w:tcBorders>
              <w:right w:val="single" w:sz="8" w:color="auto"/>
            </w:tcBorders>
          </w:tcPr>
          <w:p>
            <w:pPr>
              <w:spacing w:after="0"/>
              <w:rPr>
                <w:sz w:val="21"/>
                <w:szCs w:val="21"/>
                <w:color w:val="auto"/>
              </w:rPr>
            </w:pPr>
          </w:p>
        </w:tc>
        <w:tc>
          <w:tcPr>
            <w:tcW w:w="4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and including [***]</w:t>
            </w:r>
          </w:p>
        </w:tc>
        <w:tc>
          <w:tcPr>
            <w:tcW w:w="700" w:type="dxa"/>
            <w:vAlign w:val="bottom"/>
            <w:tcBorders>
              <w:right w:val="single" w:sz="8" w:color="auto"/>
            </w:tcBorders>
          </w:tcPr>
          <w:p>
            <w:pPr>
              <w:spacing w:after="0"/>
              <w:rPr>
                <w:sz w:val="24"/>
                <w:szCs w:val="24"/>
                <w:color w:val="auto"/>
              </w:rPr>
            </w:pPr>
          </w:p>
        </w:tc>
        <w:tc>
          <w:tcPr>
            <w:tcW w:w="404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60" w:type="dxa"/>
            <w:vAlign w:val="bottom"/>
            <w:tcBorders>
              <w:bottom w:val="single" w:sz="8" w:color="auto"/>
              <w:right w:val="single" w:sz="8" w:color="auto"/>
            </w:tcBorders>
            <w:gridSpan w:val="4"/>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Borders>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2"/>
                <w:szCs w:val="22"/>
                <w:color w:val="auto"/>
              </w:rPr>
              <w:t>Portion of Calendar Year Net</w:t>
            </w:r>
          </w:p>
        </w:tc>
        <w:tc>
          <w:tcPr>
            <w:tcW w:w="40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w:t>
            </w:r>
          </w:p>
        </w:tc>
        <w:tc>
          <w:tcPr>
            <w:tcW w:w="41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3060" w:type="dxa"/>
            <w:vAlign w:val="bottom"/>
            <w:tcBorders>
              <w:right w:val="single" w:sz="8" w:color="auto"/>
            </w:tcBorders>
            <w:gridSpan w:val="4"/>
          </w:tcPr>
          <w:p>
            <w:pPr>
              <w:ind w:left="120"/>
              <w:spacing w:after="0" w:line="243" w:lineRule="exact"/>
              <w:rPr>
                <w:sz w:val="20"/>
                <w:szCs w:val="20"/>
                <w:color w:val="auto"/>
              </w:rPr>
            </w:pPr>
            <w:r>
              <w:rPr>
                <w:rFonts w:ascii="Times New Roman" w:cs="Times New Roman" w:eastAsia="Times New Roman" w:hAnsi="Times New Roman"/>
                <w:sz w:val="22"/>
                <w:szCs w:val="22"/>
                <w:color w:val="auto"/>
              </w:rPr>
              <w:t>Sales that exceeds [***] up to</w:t>
            </w:r>
          </w:p>
        </w:tc>
        <w:tc>
          <w:tcPr>
            <w:tcW w:w="4040" w:type="dxa"/>
            <w:vAlign w:val="bottom"/>
            <w:tcBorders>
              <w:right w:val="single" w:sz="8" w:color="auto"/>
            </w:tcBorders>
          </w:tcPr>
          <w:p>
            <w:pPr>
              <w:spacing w:after="0"/>
              <w:rPr>
                <w:sz w:val="21"/>
                <w:szCs w:val="21"/>
                <w:color w:val="auto"/>
              </w:rPr>
            </w:pPr>
          </w:p>
        </w:tc>
        <w:tc>
          <w:tcPr>
            <w:tcW w:w="4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and including [***]</w:t>
            </w:r>
          </w:p>
        </w:tc>
        <w:tc>
          <w:tcPr>
            <w:tcW w:w="700" w:type="dxa"/>
            <w:vAlign w:val="bottom"/>
            <w:tcBorders>
              <w:right w:val="single" w:sz="8" w:color="auto"/>
            </w:tcBorders>
          </w:tcPr>
          <w:p>
            <w:pPr>
              <w:spacing w:after="0"/>
              <w:rPr>
                <w:sz w:val="24"/>
                <w:szCs w:val="24"/>
                <w:color w:val="auto"/>
              </w:rPr>
            </w:pPr>
          </w:p>
        </w:tc>
        <w:tc>
          <w:tcPr>
            <w:tcW w:w="404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60" w:type="dxa"/>
            <w:vAlign w:val="bottom"/>
            <w:tcBorders>
              <w:bottom w:val="single" w:sz="8" w:color="auto"/>
              <w:right w:val="single" w:sz="8" w:color="auto"/>
            </w:tcBorders>
            <w:gridSpan w:val="4"/>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Borders>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2"/>
                <w:szCs w:val="22"/>
                <w:color w:val="auto"/>
              </w:rPr>
              <w:t>Portion of Calendar Year Net</w:t>
            </w:r>
          </w:p>
        </w:tc>
        <w:tc>
          <w:tcPr>
            <w:tcW w:w="404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w:t>
            </w:r>
          </w:p>
        </w:tc>
        <w:tc>
          <w:tcPr>
            <w:tcW w:w="416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23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Sales that exceeds [***]</w:t>
            </w:r>
          </w:p>
        </w:tc>
        <w:tc>
          <w:tcPr>
            <w:tcW w:w="700" w:type="dxa"/>
            <w:vAlign w:val="bottom"/>
            <w:tcBorders>
              <w:right w:val="single" w:sz="8" w:color="auto"/>
            </w:tcBorders>
          </w:tcPr>
          <w:p>
            <w:pPr>
              <w:spacing w:after="0"/>
              <w:rPr>
                <w:sz w:val="24"/>
                <w:szCs w:val="24"/>
                <w:color w:val="auto"/>
              </w:rPr>
            </w:pPr>
          </w:p>
        </w:tc>
        <w:tc>
          <w:tcPr>
            <w:tcW w:w="404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11.3.2 </w:t>
      </w:r>
      <w:r>
        <w:rPr>
          <w:rFonts w:ascii="Times New Roman" w:cs="Times New Roman" w:eastAsia="Times New Roman" w:hAnsi="Times New Roman"/>
          <w:sz w:val="22"/>
          <w:szCs w:val="22"/>
          <w:b w:val="1"/>
          <w:bCs w:val="1"/>
          <w:u w:val="single" w:color="auto"/>
          <w:color w:val="auto"/>
        </w:rPr>
        <w:t>Royalty Term</w:t>
      </w:r>
      <w:r>
        <w:rPr>
          <w:rFonts w:ascii="Times New Roman" w:cs="Times New Roman" w:eastAsia="Times New Roman" w:hAnsi="Times New Roman"/>
          <w:sz w:val="22"/>
          <w:szCs w:val="22"/>
          <w:color w:val="auto"/>
        </w:rPr>
        <w:t xml:space="preserve">. Sanofi will pay royalties to Kymera under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on a Licensed Product-by-Licensed Product and a country-by-country basis during the Royalty Term for such Licensed Product in such country. Upon the expiration of the Royalty Term for a given Licensed Product in a given country, the Exclusive License granted to Sanofi under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will become fully-paid, perpetual, irrevocable and royalty free with respect to such Licensed Product.</w:t>
      </w:r>
    </w:p>
    <w:p>
      <w:pPr>
        <w:spacing w:after="0" w:line="177"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11.3.3 </w:t>
      </w:r>
      <w:r>
        <w:rPr>
          <w:rFonts w:ascii="Times New Roman" w:cs="Times New Roman" w:eastAsia="Times New Roman" w:hAnsi="Times New Roman"/>
          <w:sz w:val="22"/>
          <w:szCs w:val="22"/>
          <w:b w:val="1"/>
          <w:bCs w:val="1"/>
          <w:u w:val="single" w:color="auto"/>
          <w:color w:val="auto"/>
        </w:rPr>
        <w:t>Reduction for Lack of Patent Coverage</w:t>
      </w:r>
      <w:r>
        <w:rPr>
          <w:rFonts w:ascii="Times New Roman" w:cs="Times New Roman" w:eastAsia="Times New Roman" w:hAnsi="Times New Roman"/>
          <w:sz w:val="22"/>
          <w:szCs w:val="22"/>
          <w:color w:val="auto"/>
        </w:rPr>
        <w:t xml:space="preserve">. If during any period within the applicable Royalty Term for a country, no Valid Claim of any Patent within the Licensed Technology (which includes, for clarity, the Joint Foreground Patents) exists that Covers the sale or use of such Licensed Product in such country, then the royalty rate applied to Net Sales of such Licensed Product in such country will be reduced by [***] for purposes of calculating the royalty owed under </w:t>
      </w:r>
      <w:r>
        <w:rPr>
          <w:rFonts w:ascii="Times New Roman" w:cs="Times New Roman" w:eastAsia="Times New Roman" w:hAnsi="Times New Roman"/>
          <w:sz w:val="22"/>
          <w:szCs w:val="22"/>
          <w:u w:val="single" w:color="auto"/>
          <w:color w:val="auto"/>
        </w:rPr>
        <w:t>Section 11.3.1</w:t>
      </w:r>
      <w:r>
        <w:rPr>
          <w:rFonts w:ascii="Times New Roman" w:cs="Times New Roman" w:eastAsia="Times New Roman" w:hAnsi="Times New Roman"/>
          <w:sz w:val="22"/>
          <w:szCs w:val="22"/>
          <w:color w:val="auto"/>
        </w:rPr>
        <w:t xml:space="preserve"> for the remainder of the Royalty Term for such Licensed Product in such country.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69" w:name="page270"/>
    <w:bookmarkEnd w:id="269"/>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11.3.4</w:t>
      </w:r>
      <w:r>
        <w:rPr>
          <w:sz w:val="20"/>
          <w:szCs w:val="20"/>
          <w:color w:val="auto"/>
        </w:rPr>
        <w:tab/>
      </w:r>
      <w:r>
        <w:rPr>
          <w:rFonts w:ascii="Times New Roman" w:cs="Times New Roman" w:eastAsia="Times New Roman" w:hAnsi="Times New Roman"/>
          <w:sz w:val="21"/>
          <w:szCs w:val="21"/>
          <w:b w:val="1"/>
          <w:bCs w:val="1"/>
          <w:u w:val="single" w:color="auto"/>
          <w:color w:val="auto"/>
        </w:rPr>
        <w:t>Reduction for Competition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2254"/>
        <w:spacing w:after="0" w:line="236" w:lineRule="auto"/>
        <w:tabs>
          <w:tab w:leader="none" w:pos="267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First Commercial Sale of a Generic Product in a given country, if during any Calendar Quarter during the Royalty Term for a Licensed Product in such country, the average quarterly Net Sales of Licensed Product sold [***] declines [***] or more when compared to the average quarterly Net Sales of such Licensed Product in such country during the [***] immediately prior to the First Commercial Sale of such Generic Product, then the royalty rate with respect to Net Sales of such Licensed Product in such country will automatically be reduced to [***] of the royalty rate otherwise applicable with respect to such Licensed Product in such country for such Calendar Quarter.</w:t>
      </w:r>
    </w:p>
    <w:p>
      <w:pPr>
        <w:spacing w:after="0" w:line="181"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following the First Commercial Sale of a Generic Product in a given country, if during any Calendar Quarter during the Royalty Term for a Licensed Product in such country, the average quarterly Net Sales of Licensed Product sold [***] declines [***] or more when compared to the average quarterly Net Sales of such Licensed Product in such country during the [***] immediately prior to the First Commercial Sale of such Generic Product, then the royalty rate with respect to Net Sales of such Licensed Product will automatically be reduced [***] with respect to such Licensed Product in such country.</w:t>
      </w:r>
    </w:p>
    <w:p>
      <w:pPr>
        <w:spacing w:after="0" w:line="177"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11.3.5 </w:t>
      </w:r>
      <w:r>
        <w:rPr>
          <w:rFonts w:ascii="Times New Roman" w:cs="Times New Roman" w:eastAsia="Times New Roman" w:hAnsi="Times New Roman"/>
          <w:sz w:val="22"/>
          <w:szCs w:val="22"/>
          <w:b w:val="1"/>
          <w:bCs w:val="1"/>
          <w:u w:val="single" w:color="auto"/>
          <w:color w:val="auto"/>
        </w:rPr>
        <w:t>Third Party Licenses</w:t>
      </w:r>
      <w:r>
        <w:rPr>
          <w:rFonts w:ascii="Times New Roman" w:cs="Times New Roman" w:eastAsia="Times New Roman" w:hAnsi="Times New Roman"/>
          <w:sz w:val="22"/>
          <w:szCs w:val="22"/>
          <w:color w:val="auto"/>
        </w:rPr>
        <w:t xml:space="preserve">. Sanofi may deduct from the royalties payable to Kymera under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 of any Blocking Third Party Intellectual Property Costs and In-License Costs paid by Sanofi prior to or during such Calendar Quarter;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no event will the royalties that would otherwise be payable to Kymera with respect to Net Sales of Licensed Products, after any applicable reduction to such Net Sales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11.3.5</w:t>
      </w:r>
      <w:r>
        <w:rPr>
          <w:rFonts w:ascii="Times New Roman" w:cs="Times New Roman" w:eastAsia="Times New Roman" w:hAnsi="Times New Roman"/>
          <w:sz w:val="22"/>
          <w:szCs w:val="22"/>
          <w:color w:val="auto"/>
        </w:rPr>
        <w:t>, be reduced by more than [***] in any given Calendar Quarter.</w:t>
      </w:r>
    </w:p>
    <w:p>
      <w:pPr>
        <w:spacing w:after="0" w:line="177" w:lineRule="exact"/>
        <w:rPr>
          <w:sz w:val="20"/>
          <w:szCs w:val="20"/>
          <w:color w:val="auto"/>
        </w:rPr>
      </w:pPr>
    </w:p>
    <w:p>
      <w:pPr>
        <w:jc w:val="both"/>
        <w:ind w:left="480"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11.3.6 </w:t>
      </w:r>
      <w:r>
        <w:rPr>
          <w:rFonts w:ascii="Times New Roman" w:cs="Times New Roman" w:eastAsia="Times New Roman" w:hAnsi="Times New Roman"/>
          <w:sz w:val="22"/>
          <w:szCs w:val="22"/>
          <w:b w:val="1"/>
          <w:bCs w:val="1"/>
          <w:u w:val="single" w:color="auto"/>
          <w:color w:val="auto"/>
        </w:rPr>
        <w:t>Aggregate Limitation on Deductions</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Sections 11.3.3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11.3.4(a)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11.3.5</w:t>
      </w:r>
      <w:r>
        <w:rPr>
          <w:rFonts w:ascii="Times New Roman" w:cs="Times New Roman" w:eastAsia="Times New Roman" w:hAnsi="Times New Roman"/>
          <w:sz w:val="22"/>
          <w:szCs w:val="22"/>
          <w:color w:val="auto"/>
        </w:rPr>
        <w:t xml:space="preserve">, in no event will the combined effect of all reductions to the royalties payable to Kymera under </w:t>
      </w:r>
      <w:r>
        <w:rPr>
          <w:rFonts w:ascii="Times New Roman" w:cs="Times New Roman" w:eastAsia="Times New Roman" w:hAnsi="Times New Roman"/>
          <w:sz w:val="22"/>
          <w:szCs w:val="22"/>
          <w:u w:val="single" w:color="auto"/>
          <w:color w:val="auto"/>
        </w:rPr>
        <w:t>Sections 11.3.3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11.3.4(a)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11.3.5</w:t>
      </w:r>
      <w:r>
        <w:rPr>
          <w:rFonts w:ascii="Times New Roman" w:cs="Times New Roman" w:eastAsia="Times New Roman" w:hAnsi="Times New Roman"/>
          <w:sz w:val="22"/>
          <w:szCs w:val="22"/>
          <w:color w:val="auto"/>
        </w:rPr>
        <w:t xml:space="preserve"> reduce the royalty amounts payable by Sanofi to Kymera under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for any Licensed Product in any country during a Calendar Quarter to less than [***] of the amount that would otherwise be due under </w:t>
      </w:r>
      <w:r>
        <w:rPr>
          <w:rFonts w:ascii="Times New Roman" w:cs="Times New Roman" w:eastAsia="Times New Roman" w:hAnsi="Times New Roman"/>
          <w:sz w:val="22"/>
          <w:szCs w:val="22"/>
          <w:u w:val="single" w:color="auto"/>
          <w:color w:val="auto"/>
        </w:rPr>
        <w:t>Section 11.3.1</w:t>
      </w:r>
      <w:r>
        <w:rPr>
          <w:rFonts w:ascii="Times New Roman" w:cs="Times New Roman" w:eastAsia="Times New Roman" w:hAnsi="Times New Roman"/>
          <w:sz w:val="22"/>
          <w:szCs w:val="22"/>
          <w:color w:val="auto"/>
        </w:rPr>
        <w:t xml:space="preserve">, but for such deductions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Sanofi will be entitled to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on a Collaboration Target-by-Collaboration Target basis, [***].</w:t>
      </w:r>
    </w:p>
    <w:p>
      <w:pPr>
        <w:spacing w:after="0" w:line="175" w:lineRule="exact"/>
        <w:rPr>
          <w:sz w:val="20"/>
          <w:szCs w:val="20"/>
          <w:color w:val="auto"/>
        </w:rPr>
      </w:pPr>
    </w:p>
    <w:p>
      <w:pPr>
        <w:jc w:val="both"/>
        <w:ind w:left="48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11.3.7 </w:t>
      </w:r>
      <w:r>
        <w:rPr>
          <w:rFonts w:ascii="Times New Roman" w:cs="Times New Roman" w:eastAsia="Times New Roman" w:hAnsi="Times New Roman"/>
          <w:sz w:val="22"/>
          <w:szCs w:val="22"/>
          <w:b w:val="1"/>
          <w:bCs w:val="1"/>
          <w:u w:val="single" w:color="auto"/>
          <w:color w:val="auto"/>
        </w:rPr>
        <w:t>Opt-In Right</w:t>
      </w:r>
      <w:r>
        <w:rPr>
          <w:rFonts w:ascii="Times New Roman" w:cs="Times New Roman" w:eastAsia="Times New Roman" w:hAnsi="Times New Roman"/>
          <w:sz w:val="22"/>
          <w:szCs w:val="22"/>
          <w:color w:val="auto"/>
        </w:rPr>
        <w:t xml:space="preserve">. Notwithstanding anything to the contrary in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on a Collaboration Target-by-Collaboration Target basis, if Kymera has exercised the Kymera Opt-In Right with respect to a given Collaboration Target, then, during the applicable Opt-In Period, (a) the Parties will share costs and profits in the United States with respect to Licensed Products Directed Against such Collaboration Target in accordance with the applicable Cost/Profit Sharing Agreement and (b) the terms of </w:t>
      </w:r>
      <w:r>
        <w:rPr>
          <w:rFonts w:ascii="Times New Roman" w:cs="Times New Roman" w:eastAsia="Times New Roman" w:hAnsi="Times New Roman"/>
          <w:sz w:val="22"/>
          <w:szCs w:val="22"/>
          <w:u w:val="single" w:color="auto"/>
          <w:color w:val="auto"/>
        </w:rPr>
        <w:t>Sections 11.3.1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11.3.6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11.3.8</w:t>
      </w:r>
      <w:r>
        <w:rPr>
          <w:rFonts w:ascii="Times New Roman" w:cs="Times New Roman" w:eastAsia="Times New Roman" w:hAnsi="Times New Roman"/>
          <w:sz w:val="22"/>
          <w:szCs w:val="22"/>
          <w:color w:val="auto"/>
        </w:rPr>
        <w:t xml:space="preserve"> will apply to sales of Licensed Products Directed Against such Collaboration Target in the Rest of World. For clarity, in the event Kymera exercises the Kymera Opt-In Right with respect to a given Collaboration Target and later exercises the Kymera Opt-Out Right with respect to such Collaboration Target, then the terms of </w:t>
      </w:r>
      <w:r>
        <w:rPr>
          <w:rFonts w:ascii="Times New Roman" w:cs="Times New Roman" w:eastAsia="Times New Roman" w:hAnsi="Times New Roman"/>
          <w:sz w:val="22"/>
          <w:szCs w:val="22"/>
          <w:u w:val="single" w:color="auto"/>
          <w:color w:val="auto"/>
        </w:rPr>
        <w:t>Sections 11.3.1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11.3.6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11.3.8</w:t>
      </w:r>
      <w:r>
        <w:rPr>
          <w:rFonts w:ascii="Times New Roman" w:cs="Times New Roman" w:eastAsia="Times New Roman" w:hAnsi="Times New Roman"/>
          <w:sz w:val="22"/>
          <w:szCs w:val="22"/>
          <w:color w:val="auto"/>
        </w:rPr>
        <w:t xml:space="preserve"> will apply to sales of Licensed Products Directed Against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22"/>
          <w:szCs w:val="22"/>
          <w:color w:val="auto"/>
        </w:rPr>
        <w:t>such Collaboration Target throughout the Territory. Further, any relevant Blocking Third Party Intellectual Property Costs paid by Sanofi will be subject to the relevant Cost/Profit Sharing Agreement.</w:t>
      </w:r>
    </w:p>
    <w:p>
      <w:pPr>
        <w:spacing w:after="0" w:line="154" w:lineRule="exact"/>
        <w:rPr>
          <w:sz w:val="20"/>
          <w:szCs w:val="20"/>
          <w:color w:val="auto"/>
        </w:rPr>
      </w:pPr>
    </w:p>
    <w:p>
      <w:pPr>
        <w:jc w:val="both"/>
        <w:ind w:left="48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11.3.8 </w:t>
      </w:r>
      <w:r>
        <w:rPr>
          <w:rFonts w:ascii="Times New Roman" w:cs="Times New Roman" w:eastAsia="Times New Roman" w:hAnsi="Times New Roman"/>
          <w:sz w:val="22"/>
          <w:szCs w:val="22"/>
          <w:b w:val="1"/>
          <w:bCs w:val="1"/>
          <w:u w:val="single" w:color="auto"/>
          <w:color w:val="auto"/>
        </w:rPr>
        <w:t>Royalty Reports</w:t>
      </w:r>
      <w:r>
        <w:rPr>
          <w:rFonts w:ascii="Times New Roman" w:cs="Times New Roman" w:eastAsia="Times New Roman" w:hAnsi="Times New Roman"/>
          <w:sz w:val="22"/>
          <w:szCs w:val="22"/>
          <w:color w:val="auto"/>
        </w:rPr>
        <w:t xml:space="preserve">. Following the First Commercial Sale of a Licensed Product and continuing for the remainder of the Royalty Term for such Licensed Product, within [***] after the end of each Calendar Quarter, Sanofi will deliver a report to Kymera specifying on a Licensed Product-by-Licensed Product basis: (a) Net Sales in the relevant Calendar Quarter, (b) to the extent such Net Sales include sales not denoted in U.S. Dollars, a summary of the then-current exchange rate methodology then in use by Sanofi and used to convert Net Sales to U.S. Dollars, and (c) royalties payable on such Net Sales. All royalty payments due under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for each Calendar Quarter will be due and payable within [***] after the end of each Calendar Quarter.</w:t>
      </w:r>
    </w:p>
    <w:p>
      <w:pPr>
        <w:spacing w:after="0" w:line="176" w:lineRule="exact"/>
        <w:rPr>
          <w:sz w:val="20"/>
          <w:szCs w:val="20"/>
          <w:color w:val="auto"/>
        </w:rPr>
      </w:pPr>
    </w:p>
    <w:p>
      <w:pPr>
        <w:jc w:val="both"/>
        <w:ind w:left="80" w:firstLine="749"/>
        <w:spacing w:after="0" w:line="252"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u w:val="single" w:color="auto"/>
          <w:color w:val="auto"/>
        </w:rPr>
        <w:t>Invoicing for Additional Amounts</w:t>
      </w:r>
      <w:r>
        <w:rPr>
          <w:rFonts w:ascii="Times New Roman" w:cs="Times New Roman" w:eastAsia="Times New Roman" w:hAnsi="Times New Roman"/>
          <w:sz w:val="21"/>
          <w:szCs w:val="21"/>
          <w:color w:val="auto"/>
        </w:rPr>
        <w:t>. With respect to any amounts owed under this Agreement by one Party to the other Party for which no other invoicing and payment procedure is specified elsewhere in this Agreement, within [***] after the end of each Calendar Quarter, the applicable Party will provide an invoice, together with reasonable supporting documentation, to the other Party for such amounts owed. The owing Party will pay any undisputed amounts within [***] of receipt of the invoice, and any disputed amounts owed by the owing Party will be paid within [***] of resolution of the Dispute.</w:t>
      </w:r>
    </w:p>
    <w:p>
      <w:pPr>
        <w:spacing w:after="0" w:line="1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u w:val="single" w:color="auto"/>
          <w:color w:val="auto"/>
        </w:rPr>
        <w:t>In-License Agreements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11.5.1</w:t>
      </w:r>
      <w:r>
        <w:rPr>
          <w:sz w:val="20"/>
          <w:szCs w:val="20"/>
          <w:color w:val="auto"/>
        </w:rPr>
        <w:tab/>
      </w:r>
      <w:r>
        <w:rPr>
          <w:rFonts w:ascii="Times New Roman" w:cs="Times New Roman" w:eastAsia="Times New Roman" w:hAnsi="Times New Roman"/>
          <w:sz w:val="21"/>
          <w:szCs w:val="21"/>
          <w:b w:val="1"/>
          <w:bCs w:val="1"/>
          <w:u w:val="single" w:color="auto"/>
          <w:color w:val="auto"/>
        </w:rPr>
        <w:t>Potential In-Licenses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2254"/>
        <w:spacing w:after="0" w:line="239" w:lineRule="auto"/>
        <w:tabs>
          <w:tab w:leader="none" w:pos="267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Collaboration Target-by-Collaboration Target basis, a Party may notify the JSC that the Research, Development, Manufacture or Commercialization of Collaboration Compounds, Collaboration Candidates or Licensed Products Directed Against a given Collaboration Target may require or benefit from a grant of rights under additional Patents or Know-How of Third Parties, whether by license or acquisition (each, a “</w:t>
      </w:r>
      <w:r>
        <w:rPr>
          <w:rFonts w:ascii="Times New Roman" w:cs="Times New Roman" w:eastAsia="Times New Roman" w:hAnsi="Times New Roman"/>
          <w:sz w:val="22"/>
          <w:szCs w:val="22"/>
          <w:b w:val="1"/>
          <w:bCs w:val="1"/>
          <w:color w:val="auto"/>
        </w:rPr>
        <w:t>Potential In-License</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Third Party Know-How or Patents that are the subject of the Potential In-License would constitute [***], then [***], in which case such Potential In-License will be deemed to be a “</w:t>
      </w:r>
      <w:r>
        <w:rPr>
          <w:rFonts w:ascii="Times New Roman" w:cs="Times New Roman" w:eastAsia="Times New Roman" w:hAnsi="Times New Roman"/>
          <w:sz w:val="22"/>
          <w:szCs w:val="22"/>
          <w:b w:val="1"/>
          <w:bCs w:val="1"/>
          <w:color w:val="auto"/>
        </w:rPr>
        <w:t>Collaboration In-License</w:t>
      </w:r>
      <w:r>
        <w:rPr>
          <w:rFonts w:ascii="Times New Roman" w:cs="Times New Roman" w:eastAsia="Times New Roman" w:hAnsi="Times New Roman"/>
          <w:sz w:val="22"/>
          <w:szCs w:val="22"/>
          <w:color w:val="auto"/>
        </w:rPr>
        <w:t xml:space="preserve">” upon the execution of such agreement, or (ii) follow the procedures set forth in </w:t>
      </w:r>
      <w:r>
        <w:rPr>
          <w:rFonts w:ascii="Times New Roman" w:cs="Times New Roman" w:eastAsia="Times New Roman" w:hAnsi="Times New Roman"/>
          <w:sz w:val="22"/>
          <w:szCs w:val="22"/>
          <w:u w:val="single" w:color="auto"/>
          <w:color w:val="auto"/>
        </w:rPr>
        <w:t>Section 11.5.2</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2254"/>
        <w:spacing w:after="0" w:line="236" w:lineRule="auto"/>
        <w:tabs>
          <w:tab w:leader="none" w:pos="276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11.5.1(b)(i)</w:t>
      </w:r>
      <w:r>
        <w:rPr>
          <w:rFonts w:ascii="Times New Roman" w:cs="Times New Roman" w:eastAsia="Times New Roman" w:hAnsi="Times New Roman"/>
          <w:sz w:val="22"/>
          <w:szCs w:val="22"/>
          <w:color w:val="auto"/>
        </w:rPr>
        <w:t>, if the Third Party Know-How or Patents that are subject to the Potential In-License either (x) [***] or (y) [***], the Parties will, through the JSC (in coordination with the JPC), review, discuss, and determine whether to negotiate the terms of such Potential In-License for use by the Parties pursuant to this Agreement with respect to the Research, Development, Manufacture or Commercialization of Collaboration Compounds, Collaboration Candidates or Licensed Products Directed Against such Collaboration Target to which such Potential In-License relates. In connection therewith, except as otherwise expressly agreed by the Parties, the JSC will:</w:t>
      </w:r>
    </w:p>
    <w:p>
      <w:pPr>
        <w:spacing w:after="0" w:line="181"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71" w:name="page272"/>
    <w:bookmarkEnd w:id="271"/>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3440" w:hanging="437"/>
        <w:spacing w:after="0"/>
        <w:tabs>
          <w:tab w:leader="none" w:pos="344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Potential In-License relates to Patents or Know-How of Third Parties that are not otherwise covered in clause (b) or (c) above, then either Party will have the right, but not the obligation, to negotiate and enter into the applicable Potential In-License. Promptly after execution of any such Potential In-License, (i) the Parties will enter into a common interest agreement, and (ii) the applicable licensing Party will bring such Potential In-License to the attention of the JSC in accordance with </w:t>
      </w:r>
      <w:r>
        <w:rPr>
          <w:rFonts w:ascii="Times New Roman" w:cs="Times New Roman" w:eastAsia="Times New Roman" w:hAnsi="Times New Roman"/>
          <w:sz w:val="22"/>
          <w:szCs w:val="22"/>
          <w:u w:val="single" w:color="auto"/>
          <w:color w:val="auto"/>
        </w:rPr>
        <w:t>Section 11.5.2</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in this Agreement, neither Party in its role as “lead negotiator” will negotiate for or agree to economic terms in any such Potential In-License in a manner [***].</w:t>
      </w:r>
    </w:p>
    <w:p>
      <w:pPr>
        <w:spacing w:after="0" w:line="154" w:lineRule="exact"/>
        <w:rPr>
          <w:sz w:val="20"/>
          <w:szCs w:val="20"/>
          <w:color w:val="auto"/>
        </w:rPr>
      </w:pPr>
    </w:p>
    <w:p>
      <w:pPr>
        <w:jc w:val="both"/>
        <w:ind w:left="480" w:firstLine="1497"/>
        <w:spacing w:after="0" w:line="233" w:lineRule="auto"/>
        <w:rPr>
          <w:sz w:val="20"/>
          <w:szCs w:val="20"/>
          <w:color w:val="auto"/>
        </w:rPr>
      </w:pPr>
      <w:r>
        <w:rPr>
          <w:rFonts w:ascii="Times New Roman" w:cs="Times New Roman" w:eastAsia="Times New Roman" w:hAnsi="Times New Roman"/>
          <w:sz w:val="22"/>
          <w:szCs w:val="22"/>
          <w:color w:val="auto"/>
        </w:rPr>
        <w:t xml:space="preserve">11.5.2 </w:t>
      </w:r>
      <w:r>
        <w:rPr>
          <w:rFonts w:ascii="Times New Roman" w:cs="Times New Roman" w:eastAsia="Times New Roman" w:hAnsi="Times New Roman"/>
          <w:sz w:val="22"/>
          <w:szCs w:val="22"/>
          <w:b w:val="1"/>
          <w:bCs w:val="1"/>
          <w:u w:val="single" w:color="auto"/>
          <w:color w:val="auto"/>
        </w:rPr>
        <w:t>Collaboration In-License Agreements</w:t>
      </w:r>
      <w:r>
        <w:rPr>
          <w:rFonts w:ascii="Times New Roman" w:cs="Times New Roman" w:eastAsia="Times New Roman" w:hAnsi="Times New Roman"/>
          <w:sz w:val="22"/>
          <w:szCs w:val="22"/>
          <w:color w:val="auto"/>
        </w:rPr>
        <w:t xml:space="preserve">. If a Potential In-License is brought to the attention of the JSC pursuant to this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then the Parties will, through the JSC, [***]. The JSC will review and discuss the rationale of including such Potential In-License for use by the Parties with respect to the applicable Collaboration Compounds, Collaboration Candidates or Licensed Products Directed Against a given Licensed Target pursuant to this Agreement and the proposed (or agreed) economics associated with doing so (including related royalty or milestone obligations), and determine whether to approve such Potential In-License as a Collaboration In-License Agreement for the applicable Collaboration Target. For any Potential In-License that the JSC approves for use by the Parties pursuant to this Agreement, (a) such Potential In-License will be deemed to be a “</w:t>
      </w:r>
      <w:r>
        <w:rPr>
          <w:rFonts w:ascii="Times New Roman" w:cs="Times New Roman" w:eastAsia="Times New Roman" w:hAnsi="Times New Roman"/>
          <w:sz w:val="22"/>
          <w:szCs w:val="22"/>
          <w:b w:val="1"/>
          <w:bCs w:val="1"/>
          <w:color w:val="auto"/>
        </w:rPr>
        <w:t>Collaboration In-License Agreement</w:t>
      </w:r>
      <w:r>
        <w:rPr>
          <w:rFonts w:ascii="Times New Roman" w:cs="Times New Roman" w:eastAsia="Times New Roman" w:hAnsi="Times New Roman"/>
          <w:sz w:val="22"/>
          <w:szCs w:val="22"/>
          <w:color w:val="auto"/>
        </w:rPr>
        <w:t>” hereunder on the date such agreement is executed by the applicable Party and Third Party, and (b) as of such execution date, the Patents and Know-How in-licensed under such Collaboration In-License Agreement will be deemed “Controlled” under this Agreement as Licensed Technology or Sanofi Technology for purposes of the Research, Development, Manufacture and Commercialization of Collaboration Compounds, Collaboration Candidates and Licensed Products Directed Against the applicable Collaboration Target.</w:t>
      </w:r>
    </w:p>
    <w:p>
      <w:pPr>
        <w:spacing w:after="0" w:line="182" w:lineRule="exact"/>
        <w:rPr>
          <w:sz w:val="20"/>
          <w:szCs w:val="20"/>
          <w:color w:val="auto"/>
        </w:rPr>
      </w:pPr>
    </w:p>
    <w:p>
      <w:pPr>
        <w:jc w:val="both"/>
        <w:ind w:left="480"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11.5.3 </w:t>
      </w:r>
      <w:r>
        <w:rPr>
          <w:rFonts w:ascii="Times New Roman" w:cs="Times New Roman" w:eastAsia="Times New Roman" w:hAnsi="Times New Roman"/>
          <w:sz w:val="22"/>
          <w:szCs w:val="22"/>
          <w:b w:val="1"/>
          <w:bCs w:val="1"/>
          <w:u w:val="single" w:color="auto"/>
          <w:color w:val="auto"/>
        </w:rPr>
        <w:t>Costs for Collaboration In-Licenses</w:t>
      </w:r>
      <w:r>
        <w:rPr>
          <w:rFonts w:ascii="Times New Roman" w:cs="Times New Roman" w:eastAsia="Times New Roman" w:hAnsi="Times New Roman"/>
          <w:sz w:val="22"/>
          <w:szCs w:val="22"/>
          <w:color w:val="auto"/>
        </w:rPr>
        <w:t>. Any upfront payments, milestone payments, similar payments or royalties incurred under a Collaboration In-License that are specific to the Collaboration Compounds, Collaboration Candidates or Licensed Products Directed Against the applicable Collaboration Target will be allocated between the Parties as follows: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480"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11.5.4 </w:t>
      </w:r>
      <w:r>
        <w:rPr>
          <w:rFonts w:ascii="Times New Roman" w:cs="Times New Roman" w:eastAsia="Times New Roman" w:hAnsi="Times New Roman"/>
          <w:sz w:val="22"/>
          <w:szCs w:val="22"/>
          <w:b w:val="1"/>
          <w:bCs w:val="1"/>
          <w:u w:val="single" w:color="auto"/>
          <w:color w:val="auto"/>
        </w:rPr>
        <w:t>Non-Approved Potential In-Licenses</w:t>
      </w:r>
      <w:r>
        <w:rPr>
          <w:rFonts w:ascii="Times New Roman" w:cs="Times New Roman" w:eastAsia="Times New Roman" w:hAnsi="Times New Roman"/>
          <w:sz w:val="22"/>
          <w:szCs w:val="22"/>
          <w:color w:val="auto"/>
        </w:rPr>
        <w:t xml:space="preserve">. If the JSC does not approve a Potential In-License as a Collaboration In-License Agreement pursuant to </w:t>
      </w:r>
      <w:r>
        <w:rPr>
          <w:rFonts w:ascii="Times New Roman" w:cs="Times New Roman" w:eastAsia="Times New Roman" w:hAnsi="Times New Roman"/>
          <w:sz w:val="22"/>
          <w:szCs w:val="22"/>
          <w:u w:val="single" w:color="auto"/>
          <w:color w:val="auto"/>
        </w:rPr>
        <w:t>Section 11.5.1(c)(iv)</w:t>
      </w:r>
      <w:r>
        <w:rPr>
          <w:rFonts w:ascii="Times New Roman" w:cs="Times New Roman" w:eastAsia="Times New Roman" w:hAnsi="Times New Roman"/>
          <w:sz w:val="22"/>
          <w:szCs w:val="22"/>
          <w:color w:val="auto"/>
        </w:rPr>
        <w:t>, then (a) such Potential In-License will not be a Collaboration In-License Agreement hereunder, and (b) the Patents and Know-How which would have been in-licensed under such Potential In-License will not be included as Licensed Technology or Sanofi</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3"/>
        <w:spacing w:after="0" w:line="235" w:lineRule="auto"/>
        <w:rPr>
          <w:sz w:val="20"/>
          <w:szCs w:val="20"/>
          <w:color w:val="auto"/>
        </w:rPr>
      </w:pPr>
      <w:r>
        <w:rPr>
          <w:rFonts w:ascii="Times New Roman" w:cs="Times New Roman" w:eastAsia="Times New Roman" w:hAnsi="Times New Roman"/>
          <w:sz w:val="22"/>
          <w:szCs w:val="22"/>
          <w:color w:val="auto"/>
        </w:rPr>
        <w:t xml:space="preserve">Technology and will not be “Controlled” by the Party to the Potential In-License for purposes of this Agreement. For clarity, if the JSC does not approve a Potential In-License, then (a) each Party will be entitled to, at its discretion, independently in-license such Third Party Know-How or Patents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independently-obtained license would not block the other Party from seeking its own direct license to such Intellectual Property for use in connection with the Research, Development, Manufacture or Commercialization of Collaboration Compounds, Collaboration Candidates or Licensed Products, and (b) the other Party will have no obligation to reimburse the other Party for any costs or expenses incurred or payments due with respect to any licenses between such Party and such Third Party.</w:t>
      </w:r>
    </w:p>
    <w:p>
      <w:pPr>
        <w:spacing w:after="0" w:line="179" w:lineRule="exact"/>
        <w:rPr>
          <w:sz w:val="20"/>
          <w:szCs w:val="20"/>
          <w:color w:val="auto"/>
        </w:rPr>
      </w:pPr>
    </w:p>
    <w:p>
      <w:pPr>
        <w:jc w:val="both"/>
        <w:ind w:left="3"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11.5.5 </w:t>
      </w:r>
      <w:r>
        <w:rPr>
          <w:rFonts w:ascii="Times New Roman" w:cs="Times New Roman" w:eastAsia="Times New Roman" w:hAnsi="Times New Roman"/>
          <w:sz w:val="22"/>
          <w:szCs w:val="22"/>
          <w:b w:val="1"/>
          <w:bCs w:val="1"/>
          <w:u w:val="single" w:color="auto"/>
          <w:color w:val="auto"/>
        </w:rPr>
        <w:t>Third Party Agreement</w:t>
      </w:r>
      <w:r>
        <w:rPr>
          <w:rFonts w:ascii="Times New Roman" w:cs="Times New Roman" w:eastAsia="Times New Roman" w:hAnsi="Times New Roman"/>
          <w:sz w:val="22"/>
          <w:szCs w:val="22"/>
          <w:color w:val="auto"/>
        </w:rPr>
        <w:t>. Notwithstanding the foregoing, the Parties acknowledge and agree that (a) the Third Party Agreement has been terminated in accordance with its terms prior to the Restatement Execution Date; (b) no (sub)license or other right with respect to any Know-How or Patents owned by Kymera (whether solely or jointly with the Counterparty) pursuant to the Third Party Agreement is granted to Sanofi pursuant to this Agreement; and</w:t>
      </w:r>
    </w:p>
    <w:p>
      <w:pPr>
        <w:spacing w:after="0" w:line="1" w:lineRule="exact"/>
        <w:rPr>
          <w:sz w:val="20"/>
          <w:szCs w:val="20"/>
          <w:color w:val="auto"/>
        </w:rPr>
      </w:pPr>
    </w:p>
    <w:p>
      <w:pPr>
        <w:jc w:val="both"/>
        <w:ind w:left="3" w:hanging="3"/>
        <w:spacing w:after="0" w:line="233" w:lineRule="auto"/>
        <w:tabs>
          <w:tab w:leader="none" w:pos="32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Know-How or Patents co-owned by Kymera and the Counterparty under the Third Party Agreement will not be Controlled by Kymera or its Affiliates for purposes of this Agreement except as provided in this </w:t>
      </w:r>
      <w:r>
        <w:rPr>
          <w:rFonts w:ascii="Times New Roman" w:cs="Times New Roman" w:eastAsia="Times New Roman" w:hAnsi="Times New Roman"/>
          <w:sz w:val="22"/>
          <w:szCs w:val="22"/>
          <w:u w:val="single" w:color="auto"/>
          <w:color w:val="auto"/>
        </w:rPr>
        <w:t>Section 11.5.5</w:t>
      </w:r>
      <w:r>
        <w:rPr>
          <w:rFonts w:ascii="Times New Roman" w:cs="Times New Roman" w:eastAsia="Times New Roman" w:hAnsi="Times New Roman"/>
          <w:sz w:val="22"/>
          <w:szCs w:val="22"/>
          <w:color w:val="auto"/>
        </w:rPr>
        <w:t>. In the event that the Parties wish to use or incorporate any of the Know-How or Patents co-owned by Kymera and the Counterparty into or under this Agreement, then the Parties may amend this Agreement to incorporate such rights, licenses and other obligations as the Parties may mutually agree in writing.</w:t>
      </w:r>
    </w:p>
    <w:p>
      <w:pPr>
        <w:spacing w:after="0" w:line="175" w:lineRule="exact"/>
        <w:rPr>
          <w:sz w:val="20"/>
          <w:szCs w:val="20"/>
          <w:color w:val="auto"/>
        </w:rPr>
      </w:pPr>
    </w:p>
    <w:p>
      <w:pPr>
        <w:jc w:val="both"/>
        <w:ind w:left="3" w:firstLine="749"/>
        <w:spacing w:after="0" w:line="234" w:lineRule="auto"/>
        <w:rPr>
          <w:sz w:val="20"/>
          <w:szCs w:val="20"/>
          <w:color w:val="auto"/>
        </w:rPr>
      </w:pPr>
      <w:r>
        <w:rPr>
          <w:rFonts w:ascii="Times New Roman" w:cs="Times New Roman" w:eastAsia="Times New Roman" w:hAnsi="Times New Roman"/>
          <w:sz w:val="22"/>
          <w:szCs w:val="22"/>
          <w:color w:val="auto"/>
        </w:rPr>
        <w:t xml:space="preserve">11.5.6 </w:t>
      </w:r>
      <w:r>
        <w:rPr>
          <w:rFonts w:ascii="Times New Roman" w:cs="Times New Roman" w:eastAsia="Times New Roman" w:hAnsi="Times New Roman"/>
          <w:sz w:val="22"/>
          <w:szCs w:val="22"/>
          <w:b w:val="1"/>
          <w:bCs w:val="1"/>
          <w:u w:val="single" w:color="auto"/>
          <w:color w:val="auto"/>
        </w:rPr>
        <w:t>Compliance with Collaboration In-License Agreements</w:t>
      </w:r>
      <w:r>
        <w:rPr>
          <w:rFonts w:ascii="Times New Roman" w:cs="Times New Roman" w:eastAsia="Times New Roman" w:hAnsi="Times New Roman"/>
          <w:sz w:val="22"/>
          <w:szCs w:val="22"/>
          <w:color w:val="auto"/>
        </w:rPr>
        <w:t>. All licenses and other rights granted under this Agreement will be subject to the rights and obligations under the applicable Collaboration In-License Agreements. Each Party will comply with all applicable provisions of the Collaboration In-License Agreements, and will perform and take such actions as may be required to allow the other Party to comply with its obligations thereunder, including obligations relating to sublicensing, patent matters, confidentiality, reporting, audit rights, indemnification and diligence. Without limiting the foregoing, each Party will prepare and deliver to the other Party any additional reports required under the applicable Collaboration In-License Agreements and reasonably requested by the other Party, in each case, sufficiently in advance to enable the other Party to comply with its obligations under the applicable Collaboration In-License Agreements. For clarity, as of the Restatement Execution Date, there are no Collaboration In-License Agreements, and the Third Party Agreement will not be deemed a Collaboration In-License Agreement.</w:t>
      </w:r>
    </w:p>
    <w:p>
      <w:pPr>
        <w:spacing w:after="0" w:line="179" w:lineRule="exact"/>
        <w:rPr>
          <w:sz w:val="20"/>
          <w:szCs w:val="20"/>
          <w:color w:val="auto"/>
        </w:rPr>
      </w:pPr>
    </w:p>
    <w:p>
      <w:pPr>
        <w:ind w:left="363"/>
        <w:spacing w:after="0"/>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b w:val="1"/>
          <w:bCs w:val="1"/>
          <w:u w:val="single" w:color="auto"/>
          <w:color w:val="auto"/>
        </w:rPr>
        <w:t>Research and Development Funding Reimbursement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11.6.1 </w:t>
      </w:r>
      <w:r>
        <w:rPr>
          <w:rFonts w:ascii="Times New Roman" w:cs="Times New Roman" w:eastAsia="Times New Roman" w:hAnsi="Times New Roman"/>
          <w:sz w:val="22"/>
          <w:szCs w:val="22"/>
          <w:b w:val="1"/>
          <w:bCs w:val="1"/>
          <w:u w:val="single" w:color="auto"/>
          <w:color w:val="auto"/>
        </w:rPr>
        <w:t>Research Costs</w:t>
      </w:r>
      <w:r>
        <w:rPr>
          <w:rFonts w:ascii="Times New Roman" w:cs="Times New Roman" w:eastAsia="Times New Roman" w:hAnsi="Times New Roman"/>
          <w:sz w:val="22"/>
          <w:szCs w:val="22"/>
          <w:color w:val="auto"/>
        </w:rPr>
        <w:t xml:space="preserve"> [***]. Sanofi will reimburse Kymera for [***] actually incurred by Kymera or its Affiliates for the Research activities conducted under </w:t>
      </w:r>
      <w:r>
        <w:rPr>
          <w:rFonts w:ascii="Times New Roman" w:cs="Times New Roman" w:eastAsia="Times New Roman" w:hAnsi="Times New Roman"/>
          <w:sz w:val="22"/>
          <w:szCs w:val="22"/>
          <w:u w:val="single" w:color="auto"/>
          <w:color w:val="auto"/>
        </w:rPr>
        <w:t>Section 2.4.2</w:t>
      </w:r>
      <w:r>
        <w:rPr>
          <w:rFonts w:ascii="Times New Roman" w:cs="Times New Roman" w:eastAsia="Times New Roman" w:hAnsi="Times New Roman"/>
          <w:sz w:val="22"/>
          <w:szCs w:val="22"/>
          <w:color w:val="auto"/>
        </w:rPr>
        <w:t xml:space="preserve"> with respect [***]. Any payments to be made to Kymera by Sanofi pursuant to this </w:t>
      </w:r>
      <w:r>
        <w:rPr>
          <w:rFonts w:ascii="Times New Roman" w:cs="Times New Roman" w:eastAsia="Times New Roman" w:hAnsi="Times New Roman"/>
          <w:sz w:val="22"/>
          <w:szCs w:val="22"/>
          <w:u w:val="single" w:color="auto"/>
          <w:color w:val="auto"/>
        </w:rPr>
        <w:t>Section 11.6.1</w:t>
      </w:r>
      <w:r>
        <w:rPr>
          <w:rFonts w:ascii="Times New Roman" w:cs="Times New Roman" w:eastAsia="Times New Roman" w:hAnsi="Times New Roman"/>
          <w:sz w:val="22"/>
          <w:szCs w:val="22"/>
          <w:color w:val="auto"/>
        </w:rPr>
        <w:t xml:space="preserve"> will be made [***] pursuant to invoices submitted by Kymera to Sanofi within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Kymera will provide a good faith estimate of any costs for which reimbursement is due under this </w:t>
      </w:r>
      <w:r>
        <w:rPr>
          <w:rFonts w:ascii="Times New Roman" w:cs="Times New Roman" w:eastAsia="Times New Roman" w:hAnsi="Times New Roman"/>
          <w:sz w:val="22"/>
          <w:szCs w:val="22"/>
          <w:u w:val="single" w:color="auto"/>
          <w:color w:val="auto"/>
        </w:rPr>
        <w:t>Section 11.6.1</w:t>
      </w:r>
      <w:r>
        <w:rPr>
          <w:rFonts w:ascii="Times New Roman" w:cs="Times New Roman" w:eastAsia="Times New Roman" w:hAnsi="Times New Roman"/>
          <w:sz w:val="22"/>
          <w:szCs w:val="22"/>
          <w:color w:val="auto"/>
        </w:rPr>
        <w:t xml:space="preserve"> within [***]. Each such invoice will be accompanied by reasonable supporting documentation evidencing the expenses incurred for</w:t>
      </w:r>
    </w:p>
    <w:p>
      <w:pPr>
        <w:spacing w:after="0" w:line="200" w:lineRule="exact"/>
        <w:rPr>
          <w:sz w:val="20"/>
          <w:szCs w:val="20"/>
          <w:color w:val="auto"/>
        </w:rPr>
      </w:pPr>
    </w:p>
    <w:p>
      <w:pPr>
        <w:spacing w:after="0" w:line="384"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478155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3"/>
          </w:cols>
          <w:pgMar w:left="797" w:top="754"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22"/>
          <w:szCs w:val="22"/>
          <w:color w:val="auto"/>
        </w:rPr>
        <w:t>such Research activities (such expenses to be itemized) [***]. Undisputed payments will be due within [***] after Sanofi receives such an invoice from Kymera.</w:t>
      </w:r>
    </w:p>
    <w:p>
      <w:pPr>
        <w:spacing w:after="0" w:line="154" w:lineRule="exact"/>
        <w:rPr>
          <w:sz w:val="20"/>
          <w:szCs w:val="20"/>
          <w:color w:val="auto"/>
        </w:rPr>
      </w:pPr>
    </w:p>
    <w:p>
      <w:pPr>
        <w:jc w:val="both"/>
        <w:ind w:left="480" w:firstLine="1497"/>
        <w:spacing w:after="0" w:line="248" w:lineRule="auto"/>
        <w:rPr>
          <w:sz w:val="20"/>
          <w:szCs w:val="20"/>
          <w:color w:val="auto"/>
        </w:rPr>
      </w:pPr>
      <w:r>
        <w:rPr>
          <w:rFonts w:ascii="Times New Roman" w:cs="Times New Roman" w:eastAsia="Times New Roman" w:hAnsi="Times New Roman"/>
          <w:sz w:val="21"/>
          <w:szCs w:val="21"/>
          <w:color w:val="auto"/>
        </w:rPr>
        <w:t xml:space="preserve">11.6.2 </w:t>
      </w:r>
      <w:r>
        <w:rPr>
          <w:rFonts w:ascii="Times New Roman" w:cs="Times New Roman" w:eastAsia="Times New Roman" w:hAnsi="Times New Roman"/>
          <w:sz w:val="21"/>
          <w:szCs w:val="21"/>
          <w:b w:val="1"/>
          <w:bCs w:val="1"/>
          <w:u w:val="single" w:color="auto"/>
          <w:color w:val="auto"/>
        </w:rPr>
        <w:t>Research Costs</w:t>
      </w:r>
      <w:r>
        <w:rPr>
          <w:rFonts w:ascii="Times New Roman" w:cs="Times New Roman" w:eastAsia="Times New Roman" w:hAnsi="Times New Roman"/>
          <w:sz w:val="21"/>
          <w:szCs w:val="21"/>
          <w:color w:val="auto"/>
        </w:rPr>
        <w:t xml:space="preserve"> [***]. Sanofi will reimburse Kymera for its [***] actually incurred by Kymera or its Affiliates for the Research activities conducted under </w:t>
      </w:r>
      <w:r>
        <w:rPr>
          <w:rFonts w:ascii="Times New Roman" w:cs="Times New Roman" w:eastAsia="Times New Roman" w:hAnsi="Times New Roman"/>
          <w:sz w:val="21"/>
          <w:szCs w:val="21"/>
          <w:u w:val="single" w:color="auto"/>
          <w:color w:val="auto"/>
        </w:rPr>
        <w:t>Section 2.5.4</w:t>
      </w:r>
      <w:r>
        <w:rPr>
          <w:rFonts w:ascii="Times New Roman" w:cs="Times New Roman" w:eastAsia="Times New Roman" w:hAnsi="Times New Roman"/>
          <w:sz w:val="21"/>
          <w:szCs w:val="21"/>
          <w:color w:val="auto"/>
        </w:rPr>
        <w:t xml:space="preserve"> in accordance with the Research Plan and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2.5.5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2.6.4</w:t>
      </w:r>
      <w:r>
        <w:rPr>
          <w:rFonts w:ascii="Times New Roman" w:cs="Times New Roman" w:eastAsia="Times New Roman" w:hAnsi="Times New Roman"/>
          <w:sz w:val="21"/>
          <w:szCs w:val="21"/>
          <w:color w:val="auto"/>
        </w:rPr>
        <w:t xml:space="preserve">. Any payments to be made to Kymera by Sanofi pursuant to this </w:t>
      </w:r>
      <w:r>
        <w:rPr>
          <w:rFonts w:ascii="Times New Roman" w:cs="Times New Roman" w:eastAsia="Times New Roman" w:hAnsi="Times New Roman"/>
          <w:sz w:val="21"/>
          <w:szCs w:val="21"/>
          <w:u w:val="single" w:color="auto"/>
          <w:color w:val="auto"/>
        </w:rPr>
        <w:t>Section 11.6.2</w:t>
      </w:r>
      <w:r>
        <w:rPr>
          <w:rFonts w:ascii="Times New Roman" w:cs="Times New Roman" w:eastAsia="Times New Roman" w:hAnsi="Times New Roman"/>
          <w:sz w:val="21"/>
          <w:szCs w:val="21"/>
          <w:color w:val="auto"/>
        </w:rPr>
        <w:t xml:space="preserve"> will be made [***] pursuant to invoices submitted by Kymera to Sanofi within [***];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Kymera will provide a good faith estimate of any costs for which reimbursement is due under this </w:t>
      </w:r>
      <w:r>
        <w:rPr>
          <w:rFonts w:ascii="Times New Roman" w:cs="Times New Roman" w:eastAsia="Times New Roman" w:hAnsi="Times New Roman"/>
          <w:sz w:val="21"/>
          <w:szCs w:val="21"/>
          <w:u w:val="single" w:color="auto"/>
          <w:color w:val="auto"/>
        </w:rPr>
        <w:t>Section 11.6.2</w:t>
      </w:r>
      <w:r>
        <w:rPr>
          <w:rFonts w:ascii="Times New Roman" w:cs="Times New Roman" w:eastAsia="Times New Roman" w:hAnsi="Times New Roman"/>
          <w:sz w:val="21"/>
          <w:szCs w:val="21"/>
          <w:color w:val="auto"/>
        </w:rPr>
        <w:t xml:space="preserve"> within [***]. Each such invoice will be accompanied by reasonable supporting documentation evidencing the expenses incurred for such Research activities (such expenses to be itemized) [***]. Undisputed payments will be due within [***] after Sanofi receives such an invoice from Kymera.</w:t>
      </w:r>
    </w:p>
    <w:p>
      <w:pPr>
        <w:spacing w:after="0" w:line="170" w:lineRule="exact"/>
        <w:rPr>
          <w:sz w:val="20"/>
          <w:szCs w:val="20"/>
          <w:color w:val="auto"/>
        </w:rPr>
      </w:pPr>
    </w:p>
    <w:p>
      <w:pPr>
        <w:jc w:val="both"/>
        <w:ind w:left="48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11.6.3 </w:t>
      </w:r>
      <w:r>
        <w:rPr>
          <w:rFonts w:ascii="Times New Roman" w:cs="Times New Roman" w:eastAsia="Times New Roman" w:hAnsi="Times New Roman"/>
          <w:sz w:val="22"/>
          <w:szCs w:val="22"/>
          <w:b w:val="1"/>
          <w:bCs w:val="1"/>
          <w:u w:val="single" w:color="auto"/>
          <w:color w:val="auto"/>
        </w:rPr>
        <w:t>Research Costs</w:t>
      </w:r>
      <w:r>
        <w:rPr>
          <w:rFonts w:ascii="Times New Roman" w:cs="Times New Roman" w:eastAsia="Times New Roman" w:hAnsi="Times New Roman"/>
          <w:sz w:val="22"/>
          <w:szCs w:val="22"/>
          <w:color w:val="auto"/>
        </w:rPr>
        <w:t xml:space="preserve"> [***]. Sanofi will reimburse Kymera for its [***] actually incurred by Kymera or its Affiliates for [***] performed in accordance with the applicable Backup Research Plan, subject to </w:t>
      </w:r>
      <w:r>
        <w:rPr>
          <w:rFonts w:ascii="Times New Roman" w:cs="Times New Roman" w:eastAsia="Times New Roman" w:hAnsi="Times New Roman"/>
          <w:sz w:val="22"/>
          <w:szCs w:val="22"/>
          <w:u w:val="single" w:color="auto"/>
          <w:color w:val="auto"/>
        </w:rPr>
        <w:t>Section 5.5.6</w:t>
      </w:r>
      <w:r>
        <w:rPr>
          <w:rFonts w:ascii="Times New Roman" w:cs="Times New Roman" w:eastAsia="Times New Roman" w:hAnsi="Times New Roman"/>
          <w:sz w:val="22"/>
          <w:szCs w:val="22"/>
          <w:color w:val="auto"/>
        </w:rPr>
        <w:t xml:space="preserve">. Any payments to be made to Kymera by Sanofi pursuant to this </w:t>
      </w:r>
      <w:r>
        <w:rPr>
          <w:rFonts w:ascii="Times New Roman" w:cs="Times New Roman" w:eastAsia="Times New Roman" w:hAnsi="Times New Roman"/>
          <w:sz w:val="22"/>
          <w:szCs w:val="22"/>
          <w:u w:val="single" w:color="auto"/>
          <w:color w:val="auto"/>
        </w:rPr>
        <w:t>Section 11.6.3</w:t>
      </w:r>
      <w:r>
        <w:rPr>
          <w:rFonts w:ascii="Times New Roman" w:cs="Times New Roman" w:eastAsia="Times New Roman" w:hAnsi="Times New Roman"/>
          <w:sz w:val="22"/>
          <w:szCs w:val="22"/>
          <w:color w:val="auto"/>
        </w:rPr>
        <w:t xml:space="preserve"> will be made [***] pursuant to invoices submitted by Kymera to Sanofi within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Kymera will provide a good faith estimate of any costs for which reimbursement is due under this </w:t>
      </w:r>
      <w:r>
        <w:rPr>
          <w:rFonts w:ascii="Times New Roman" w:cs="Times New Roman" w:eastAsia="Times New Roman" w:hAnsi="Times New Roman"/>
          <w:sz w:val="22"/>
          <w:szCs w:val="22"/>
          <w:u w:val="single" w:color="auto"/>
          <w:color w:val="auto"/>
        </w:rPr>
        <w:t>Section 11.6.3</w:t>
      </w:r>
      <w:r>
        <w:rPr>
          <w:rFonts w:ascii="Times New Roman" w:cs="Times New Roman" w:eastAsia="Times New Roman" w:hAnsi="Times New Roman"/>
          <w:sz w:val="22"/>
          <w:szCs w:val="22"/>
          <w:color w:val="auto"/>
        </w:rPr>
        <w:t xml:space="preserve"> within [***]. Each such invoice will be accompanied by reasonable supporting documentation evidencing the expenses incurred for the Backup Research (such expenses to be itemized) [***]. Undisputed payments will be due within [***] after Sanofi receives such an invoice from Kymera.</w:t>
      </w:r>
    </w:p>
    <w:p>
      <w:pPr>
        <w:spacing w:after="0" w:line="176"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11.6.4</w:t>
      </w:r>
      <w:r>
        <w:rPr>
          <w:sz w:val="20"/>
          <w:szCs w:val="20"/>
          <w:color w:val="auto"/>
        </w:rPr>
        <w:tab/>
      </w:r>
      <w:r>
        <w:rPr>
          <w:rFonts w:ascii="Times New Roman" w:cs="Times New Roman" w:eastAsia="Times New Roman" w:hAnsi="Times New Roman"/>
          <w:sz w:val="21"/>
          <w:szCs w:val="21"/>
          <w:b w:val="1"/>
          <w:bCs w:val="1"/>
          <w:u w:val="single" w:color="auto"/>
          <w:color w:val="auto"/>
        </w:rPr>
        <w:t>Early Development Funding Reimbursement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2254"/>
        <w:spacing w:after="0" w:line="262" w:lineRule="auto"/>
        <w:tabs>
          <w:tab w:leader="none" w:pos="271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Funding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Kymera will pay for [***] incurred by or on behalf of Kymera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Kymera Existing Phase 1 Clinical Trial [***]. Sanofi will pay for [***] incurred during the period commencing [***].</w:t>
      </w:r>
    </w:p>
    <w:p>
      <w:pPr>
        <w:spacing w:after="0" w:line="149" w:lineRule="exact"/>
        <w:rPr>
          <w:rFonts w:ascii="Times New Roman" w:cs="Times New Roman" w:eastAsia="Times New Roman" w:hAnsi="Times New Roman"/>
          <w:sz w:val="22"/>
          <w:szCs w:val="22"/>
          <w:color w:val="auto"/>
        </w:rPr>
      </w:pPr>
    </w:p>
    <w:p>
      <w:pPr>
        <w:jc w:val="both"/>
        <w:ind w:firstLine="2254"/>
        <w:spacing w:after="0" w:line="246" w:lineRule="auto"/>
        <w:tabs>
          <w:tab w:leader="none" w:pos="270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Funding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Kymera will pay for [***] incurred by or on behalf of Kymera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commencing on the Restatement Effective Date and continuing for the remainder of the Research Term for: [***]. Sanofi will reimburse Kymera for [***] incurred by or on behalf of Kymera or its Affiliates with respect to [***].</w:t>
      </w:r>
    </w:p>
    <w:p>
      <w:pPr>
        <w:spacing w:after="0" w:line="167" w:lineRule="exact"/>
        <w:rPr>
          <w:rFonts w:ascii="Times New Roman" w:cs="Times New Roman" w:eastAsia="Times New Roman" w:hAnsi="Times New Roman"/>
          <w:sz w:val="22"/>
          <w:szCs w:val="22"/>
          <w:color w:val="auto"/>
        </w:rPr>
      </w:pPr>
    </w:p>
    <w:p>
      <w:pPr>
        <w:jc w:val="both"/>
        <w:ind w:firstLine="2254"/>
        <w:spacing w:after="0" w:line="246" w:lineRule="auto"/>
        <w:tabs>
          <w:tab w:leader="none" w:pos="270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Sanofi will reimburse Kymera for [***] actually incurred by or on behalf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Kymera or its Affiliates for all Early Development Activities for Licensed Products containing [***] conducted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w:t>
      </w:r>
      <w:r>
        <w:rPr>
          <w:rFonts w:ascii="Times New Roman" w:cs="Times New Roman" w:eastAsia="Times New Roman" w:hAnsi="Times New Roman"/>
          <w:sz w:val="22"/>
          <w:szCs w:val="22"/>
          <w:color w:val="auto"/>
        </w:rPr>
        <w:t>, including Development, regulatory Manufacturing activities related thereto.</w:t>
      </w:r>
    </w:p>
    <w:p>
      <w:pPr>
        <w:spacing w:after="0" w:line="167"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11.6.5 </w:t>
      </w:r>
      <w:r>
        <w:rPr>
          <w:rFonts w:ascii="Times New Roman" w:cs="Times New Roman" w:eastAsia="Times New Roman" w:hAnsi="Times New Roman"/>
          <w:sz w:val="22"/>
          <w:szCs w:val="22"/>
          <w:b w:val="1"/>
          <w:bCs w:val="1"/>
          <w:u w:val="single" w:color="auto"/>
          <w:color w:val="auto"/>
        </w:rPr>
        <w:t>Payments</w:t>
      </w:r>
      <w:r>
        <w:rPr>
          <w:rFonts w:ascii="Times New Roman" w:cs="Times New Roman" w:eastAsia="Times New Roman" w:hAnsi="Times New Roman"/>
          <w:sz w:val="22"/>
          <w:szCs w:val="22"/>
          <w:color w:val="auto"/>
        </w:rPr>
        <w:t xml:space="preserve">. Any payments to be made to one Party by the other Party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11.6.5</w:t>
      </w:r>
      <w:r>
        <w:rPr>
          <w:rFonts w:ascii="Times New Roman" w:cs="Times New Roman" w:eastAsia="Times New Roman" w:hAnsi="Times New Roman"/>
          <w:sz w:val="22"/>
          <w:szCs w:val="22"/>
          <w:color w:val="auto"/>
        </w:rPr>
        <w:t xml:space="preserve"> will be made [***] in arrears pursuant to invoices submitted by Kymera to Sanofi within [***] following the end of the applicable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Kymera will provide a good faith estimate of any costs for which reimbursement is due under this </w:t>
      </w:r>
      <w:r>
        <w:rPr>
          <w:rFonts w:ascii="Times New Roman" w:cs="Times New Roman" w:eastAsia="Times New Roman" w:hAnsi="Times New Roman"/>
          <w:sz w:val="22"/>
          <w:szCs w:val="22"/>
          <w:u w:val="single" w:color="auto"/>
          <w:color w:val="auto"/>
        </w:rPr>
        <w:t>Section 11.6.5</w:t>
      </w:r>
      <w:r>
        <w:rPr>
          <w:rFonts w:ascii="Times New Roman" w:cs="Times New Roman" w:eastAsia="Times New Roman" w:hAnsi="Times New Roman"/>
          <w:sz w:val="22"/>
          <w:szCs w:val="22"/>
          <w:color w:val="auto"/>
        </w:rPr>
        <w:t xml:space="preserve"> within [***] after each [***]. Each such invoice will be accompanied by reasonable supporting documentation evidencing the expenses incurred for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22"/>
          <w:szCs w:val="22"/>
          <w:color w:val="auto"/>
        </w:rPr>
        <w:t>such Research activities (such expenses to be itemized) during such [***]. Undisputed payments will be due within [***] after Sanofi receives such an invoice from Kymera.</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b w:val="1"/>
          <w:bCs w:val="1"/>
          <w:u w:val="single" w:color="auto"/>
          <w:color w:val="auto"/>
        </w:rPr>
        <w:t>Payment Terms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0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11.7.1 </w:t>
      </w:r>
      <w:r>
        <w:rPr>
          <w:rFonts w:ascii="Times New Roman" w:cs="Times New Roman" w:eastAsia="Times New Roman" w:hAnsi="Times New Roman"/>
          <w:sz w:val="22"/>
          <w:szCs w:val="22"/>
          <w:b w:val="1"/>
          <w:bCs w:val="1"/>
          <w:u w:val="single" w:color="auto"/>
          <w:color w:val="auto"/>
        </w:rPr>
        <w:t>Currency; Payment Method</w:t>
      </w:r>
      <w:r>
        <w:rPr>
          <w:rFonts w:ascii="Times New Roman" w:cs="Times New Roman" w:eastAsia="Times New Roman" w:hAnsi="Times New Roman"/>
          <w:sz w:val="22"/>
          <w:szCs w:val="22"/>
          <w:color w:val="auto"/>
        </w:rPr>
        <w:t>. All payments under this Agreement are expressed in U.S. Dollars and will be paid in U.S. Dollars, by wire transfer or Automated Clearing House (ACH) payment to an account designated by Kymera (which account Kymera may update from time to time in writing).</w:t>
      </w:r>
    </w:p>
    <w:p>
      <w:pPr>
        <w:spacing w:after="0" w:line="167" w:lineRule="exact"/>
        <w:rPr>
          <w:sz w:val="20"/>
          <w:szCs w:val="20"/>
          <w:color w:val="auto"/>
        </w:rPr>
      </w:pPr>
    </w:p>
    <w:p>
      <w:pPr>
        <w:jc w:val="both"/>
        <w:ind w:left="400"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11.7.2 </w:t>
      </w:r>
      <w:r>
        <w:rPr>
          <w:rFonts w:ascii="Times New Roman" w:cs="Times New Roman" w:eastAsia="Times New Roman" w:hAnsi="Times New Roman"/>
          <w:sz w:val="22"/>
          <w:szCs w:val="22"/>
          <w:b w:val="1"/>
          <w:bCs w:val="1"/>
          <w:u w:val="single" w:color="auto"/>
          <w:color w:val="auto"/>
        </w:rPr>
        <w:t>Exchange</w:t>
      </w:r>
      <w:r>
        <w:rPr>
          <w:rFonts w:ascii="Times New Roman" w:cs="Times New Roman" w:eastAsia="Times New Roman" w:hAnsi="Times New Roman"/>
          <w:sz w:val="22"/>
          <w:szCs w:val="22"/>
          <w:color w:val="auto"/>
        </w:rPr>
        <w:t>. If any amounts that are relevant to the determination of amounts to be paid under this Agreement or any calculations to be performed under this Agreement are denoted in a currency other than U.S. Dollars, such amounts will be converted to their U.S. Dollar equivalent using Sanofi’s then-current standard procedures and methodology, including its then-current standard exchange rate methodology for the translation of foreign currency expenses into U.S. Dollars or, in the case of Sublicensees, such similar methodology, consistently applied. Calculation of Net Sales will exclude hedging and foreign exchange gain or loss realized through a hedging program.</w:t>
      </w:r>
    </w:p>
    <w:p>
      <w:pPr>
        <w:spacing w:after="0" w:line="175" w:lineRule="exact"/>
        <w:rPr>
          <w:sz w:val="20"/>
          <w:szCs w:val="20"/>
          <w:color w:val="auto"/>
        </w:rPr>
      </w:pPr>
    </w:p>
    <w:p>
      <w:pPr>
        <w:jc w:val="both"/>
        <w:ind w:left="40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11.7.3 </w:t>
      </w:r>
      <w:r>
        <w:rPr>
          <w:rFonts w:ascii="Times New Roman" w:cs="Times New Roman" w:eastAsia="Times New Roman" w:hAnsi="Times New Roman"/>
          <w:sz w:val="22"/>
          <w:szCs w:val="22"/>
          <w:b w:val="1"/>
          <w:bCs w:val="1"/>
          <w:u w:val="single" w:color="auto"/>
          <w:color w:val="auto"/>
        </w:rPr>
        <w:t>Invoices</w:t>
      </w:r>
      <w:r>
        <w:rPr>
          <w:rFonts w:ascii="Times New Roman" w:cs="Times New Roman" w:eastAsia="Times New Roman" w:hAnsi="Times New Roman"/>
          <w:sz w:val="22"/>
          <w:szCs w:val="22"/>
          <w:color w:val="auto"/>
        </w:rPr>
        <w:t xml:space="preserve">. Except as otherwise set forth in this Agreement, Kymera will deliver an invoice to Sanofi for all payments owed by Sanofi to Kymera in accordance with Sanofi’s reasonable instructions. Sanofi will pay all undisputed payments owed to Kymera within [***] after receipt of the invoice for such owed amount, except where a different timeframe is expressly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another Section of this Agreement, and any disputed amounts owed by Sanofi will be paid within [***] of resolution of the Dispute.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11.8 </w:t>
      </w:r>
      <w:r>
        <w:rPr>
          <w:rFonts w:ascii="Times New Roman" w:cs="Times New Roman" w:eastAsia="Times New Roman" w:hAnsi="Times New Roman"/>
          <w:sz w:val="21"/>
          <w:szCs w:val="21"/>
          <w:b w:val="1"/>
          <w:bCs w:val="1"/>
          <w:u w:val="single" w:color="auto"/>
          <w:color w:val="auto"/>
        </w:rPr>
        <w:t>Withholding Tax</w:t>
      </w:r>
      <w:r>
        <w:rPr>
          <w:rFonts w:ascii="Times New Roman" w:cs="Times New Roman" w:eastAsia="Times New Roman" w:hAnsi="Times New Roman"/>
          <w:sz w:val="21"/>
          <w:szCs w:val="21"/>
          <w:color w:val="auto"/>
        </w:rPr>
        <w:t xml:space="preserve">. Where any sum due to be paid to Kymera hereunder is subject to any withholding or similar tax, Sanofi will pay such withholding or similar tax to the appropriate Governmental Authority and deduct the amount paid from the amount then due to Kymera. Sanofi will timely transmit to Kymera an official tax certificate or other evidence of such withholding sufficient to enable Kymera to claim such payment of taxes. The Parties will cooperate with one another and use reasonable efforts to reduce or eliminate tax withholding or similar obligations in respect of royalties, Milestone Payments, and other payments made by Sanofi to Kymera under this Agreement. Kymera will provide Sanofi any tax forms that may be reasonably necessary in order for Sanofi not to withhold tax or to withhold tax at a reduced rate under an applicable bilateral income tax treaty. Each Party will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 Notwithstanding this </w:t>
      </w:r>
      <w:r>
        <w:rPr>
          <w:rFonts w:ascii="Times New Roman" w:cs="Times New Roman" w:eastAsia="Times New Roman" w:hAnsi="Times New Roman"/>
          <w:sz w:val="21"/>
          <w:szCs w:val="21"/>
          <w:u w:val="single" w:color="auto"/>
          <w:color w:val="auto"/>
        </w:rPr>
        <w:t>Section 11.8</w:t>
      </w:r>
      <w:r>
        <w:rPr>
          <w:rFonts w:ascii="Times New Roman" w:cs="Times New Roman" w:eastAsia="Times New Roman" w:hAnsi="Times New Roman"/>
          <w:sz w:val="21"/>
          <w:szCs w:val="21"/>
          <w:color w:val="auto"/>
        </w:rPr>
        <w:t>, if, as a result of a Withholding Action by Sanofi (including any assignee or successor), withholding is required by Applicable Law and the amount of such withholding exceeds the amount of withholding that would have been required if Sanofi had not committed the Withholding Action, then Sanofi shall pay an additional amount to Kymera such that, after withholding from the payment contemplated by this Agreement and such additional amount, Kymera receives the same amount as it would have received from Sanofi absent such Withholding Action by Sanofi. For the avoidance of doubt, if as a result of a Withholding Action by Kymera (including any assignee or successor) the amount of withholding under the law of the</w:t>
      </w: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applicable jurisdiction exceeds the amount of such withholding that would have been required in the absence of such Withholding Action by Kymera, Sanofi shall be required to pay any additional amount only to the extent that Sanofi would be required to pay any additional amount to Kymera pursuant to the preceding sentence if Kymera had not committed such Withholding Action. For purposes of this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Withholding Action</w:t>
      </w:r>
      <w:r>
        <w:rPr>
          <w:rFonts w:ascii="Times New Roman" w:cs="Times New Roman" w:eastAsia="Times New Roman" w:hAnsi="Times New Roman"/>
          <w:sz w:val="22"/>
          <w:szCs w:val="22"/>
          <w:color w:val="auto"/>
        </w:rPr>
        <w:t>” by a Party means (i) a permitted assignment or sublicense of this Agreement (in whole or in part) by such Party to an Affiliate or a Third Party outside of the United States; (ii) the exercise by such Party of its rights under this Agreement (in whole or in part) through an Affiliate or Third Party outside of the United States (or the direct exercise of such rights by an Affiliate of such Party outside of the United States); (iii) a redomiciliation of such Party, an assignee or a successor to a jurisdiction outside the United States; and (iv) any action by such Party that causes this Agreement or any payment contemplated by this Agreement to become subject to Tax in a jurisdiction outside of the United States or subject any payment contemplated by this Agreement to withholding in any jurisdiction that would not have been required absent such Withholding Action.</w:t>
      </w:r>
    </w:p>
    <w:p>
      <w:pPr>
        <w:spacing w:after="0" w:line="18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11.9 </w:t>
      </w:r>
      <w:r>
        <w:rPr>
          <w:rFonts w:ascii="Times New Roman" w:cs="Times New Roman" w:eastAsia="Times New Roman" w:hAnsi="Times New Roman"/>
          <w:sz w:val="21"/>
          <w:szCs w:val="21"/>
          <w:b w:val="1"/>
          <w:bCs w:val="1"/>
          <w:u w:val="single" w:color="auto"/>
          <w:color w:val="auto"/>
        </w:rPr>
        <w:t>Records; Audits</w:t>
      </w:r>
      <w:r>
        <w:rPr>
          <w:rFonts w:ascii="Times New Roman" w:cs="Times New Roman" w:eastAsia="Times New Roman" w:hAnsi="Times New Roman"/>
          <w:sz w:val="21"/>
          <w:szCs w:val="21"/>
          <w:color w:val="auto"/>
        </w:rPr>
        <w:t>. Sanofi will keep and maintain accurate and complete records regarding Net Sales during the [***]. Kymera will keep accurate and complete records regarding all [***] incurred in connection with the (i) Research activities relating to [***], in each case, in sufficient detail to confirm the accuracy of any payments required under this Agreement, covering the [***]. Upon [***] prior written notice from the other Party (the “</w:t>
      </w:r>
      <w:r>
        <w:rPr>
          <w:rFonts w:ascii="Times New Roman" w:cs="Times New Roman" w:eastAsia="Times New Roman" w:hAnsi="Times New Roman"/>
          <w:sz w:val="21"/>
          <w:szCs w:val="21"/>
          <w:b w:val="1"/>
          <w:bCs w:val="1"/>
          <w:color w:val="auto"/>
        </w:rPr>
        <w:t>Auditing Party</w:t>
      </w:r>
      <w:r>
        <w:rPr>
          <w:rFonts w:ascii="Times New Roman" w:cs="Times New Roman" w:eastAsia="Times New Roman" w:hAnsi="Times New Roman"/>
          <w:sz w:val="21"/>
          <w:szCs w:val="21"/>
          <w:color w:val="auto"/>
        </w:rPr>
        <w:t>”), the Party required to maintain such records (as applicable, the “</w:t>
      </w:r>
      <w:r>
        <w:rPr>
          <w:rFonts w:ascii="Times New Roman" w:cs="Times New Roman" w:eastAsia="Times New Roman" w:hAnsi="Times New Roman"/>
          <w:sz w:val="21"/>
          <w:szCs w:val="21"/>
          <w:b w:val="1"/>
          <w:bCs w:val="1"/>
          <w:color w:val="auto"/>
        </w:rPr>
        <w:t>Audited Party</w:t>
      </w:r>
      <w:r>
        <w:rPr>
          <w:rFonts w:ascii="Times New Roman" w:cs="Times New Roman" w:eastAsia="Times New Roman" w:hAnsi="Times New Roman"/>
          <w:sz w:val="21"/>
          <w:szCs w:val="21"/>
          <w:color w:val="auto"/>
        </w:rPr>
        <w:t xml:space="preserve">”) will permit an independent certified public accounting firm of internationally recognized standing, selected by the Auditing Party and reasonably acceptable to the Audited Party, to examine the relevant books and records of the Audited Party and its Affiliates, as may be reasonably necessary to verify the royalty reports submitted by Sanofi in accordance with </w:t>
      </w:r>
      <w:r>
        <w:rPr>
          <w:rFonts w:ascii="Times New Roman" w:cs="Times New Roman" w:eastAsia="Times New Roman" w:hAnsi="Times New Roman"/>
          <w:sz w:val="21"/>
          <w:szCs w:val="21"/>
          <w:u w:val="single" w:color="auto"/>
          <w:color w:val="auto"/>
        </w:rPr>
        <w:t>Section 11.3.8</w:t>
      </w:r>
      <w:r>
        <w:rPr>
          <w:rFonts w:ascii="Times New Roman" w:cs="Times New Roman" w:eastAsia="Times New Roman" w:hAnsi="Times New Roman"/>
          <w:sz w:val="21"/>
          <w:szCs w:val="21"/>
          <w:color w:val="auto"/>
        </w:rPr>
        <w:t xml:space="preserve"> or [***] reported by Kymera in accordance with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 xml:space="preserve">, as applicable. An examination by the Auditing Party under this </w:t>
      </w:r>
      <w:r>
        <w:rPr>
          <w:rFonts w:ascii="Times New Roman" w:cs="Times New Roman" w:eastAsia="Times New Roman" w:hAnsi="Times New Roman"/>
          <w:sz w:val="21"/>
          <w:szCs w:val="21"/>
          <w:u w:val="single" w:color="auto"/>
          <w:color w:val="auto"/>
        </w:rPr>
        <w:t>Section 11.9</w:t>
      </w:r>
      <w:r>
        <w:rPr>
          <w:rFonts w:ascii="Times New Roman" w:cs="Times New Roman" w:eastAsia="Times New Roman" w:hAnsi="Times New Roman"/>
          <w:sz w:val="21"/>
          <w:szCs w:val="21"/>
          <w:color w:val="auto"/>
        </w:rPr>
        <w:t xml:space="preserve"> will occur not more than once in any Calendar Year and will be limited to the pertinent books and records for any Calendar Year ending not more than [***] before the date of the request. No records will be audited more than once. The accounting firm will be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access to such books and records at the Audited Party’s facility or facilities where such books and records are normally kept and such examination will be conducted during the Audited Party’s normal business hours. The Audited Party may require the accounting firm to sign a customary non-disclosure agreement before providing the accounting firm access to its facilities or records. Upon completion of the audit, the accounting firm will provide both Parties a written report disclosing whether the reports submitted by Sanofi or [***] submitted by Kymera, as applicable, are correct or incorrect and the specific details concerning any discrepancies. No other information will be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to the Auditing Party. If the report or information submitted by the Audited Party results in an underpayment or overpayment, (a) the Party owing the underpaid or overpaid amount will promptly pay the amount of such underpayment to the other Party, and (b) any such overpayment will be creditable against future payments to the other Party hereunder. The costs and fees of any audit conducted by the Auditing Party under this </w:t>
      </w:r>
      <w:r>
        <w:rPr>
          <w:rFonts w:ascii="Times New Roman" w:cs="Times New Roman" w:eastAsia="Times New Roman" w:hAnsi="Times New Roman"/>
          <w:sz w:val="21"/>
          <w:szCs w:val="21"/>
          <w:u w:val="single" w:color="auto"/>
          <w:color w:val="auto"/>
        </w:rPr>
        <w:t>Section 11.9</w:t>
      </w:r>
      <w:r>
        <w:rPr>
          <w:rFonts w:ascii="Times New Roman" w:cs="Times New Roman" w:eastAsia="Times New Roman" w:hAnsi="Times New Roman"/>
          <w:sz w:val="21"/>
          <w:szCs w:val="21"/>
          <w:color w:val="auto"/>
        </w:rPr>
        <w:t xml:space="preserve"> will be borne by the Auditing Party, unless such audit reveals an underpayment of amounts owed to the Auditing Party of more than [***] of the amount that was owed by the Audited Party with respect to the relevant period, in which case, the Audited Party will reimburse the Auditing Party for the reasonable expense incurred by the Auditing Party in connection with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both"/>
        <w:ind w:left="80" w:firstLine="749"/>
        <w:spacing w:after="0" w:line="241"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b w:val="1"/>
          <w:bCs w:val="1"/>
          <w:u w:val="single" w:color="auto"/>
          <w:color w:val="auto"/>
        </w:rPr>
        <w:t>Late Payment</w:t>
      </w:r>
      <w:r>
        <w:rPr>
          <w:rFonts w:ascii="Times New Roman" w:cs="Times New Roman" w:eastAsia="Times New Roman" w:hAnsi="Times New Roman"/>
          <w:sz w:val="22"/>
          <w:szCs w:val="22"/>
          <w:color w:val="auto"/>
        </w:rPr>
        <w:t>. Any undisputed payment under this Agreement that is not paid on or before the date such undisputed payment is due will bear interest, to the extent permitted by Applicable Law, at [***] above [***], as reported by Reuters from time to time, calculated on the number of days such undisputed payment is overdue, compounded annually and computed on the basis of a three hundred sixty-five (365) day year.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u w:val="single" w:color="auto"/>
          <w:color w:val="auto"/>
        </w:rPr>
        <w:t>Ownership; Assignment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12.1.1 </w:t>
      </w:r>
      <w:r>
        <w:rPr>
          <w:rFonts w:ascii="Times New Roman" w:cs="Times New Roman" w:eastAsia="Times New Roman" w:hAnsi="Times New Roman"/>
          <w:sz w:val="22"/>
          <w:szCs w:val="22"/>
          <w:b w:val="1"/>
          <w:bCs w:val="1"/>
          <w:u w:val="single" w:color="auto"/>
          <w:color w:val="auto"/>
        </w:rPr>
        <w:t>Kymera Background Technology and Sanofi Background Technology</w:t>
      </w:r>
      <w:r>
        <w:rPr>
          <w:rFonts w:ascii="Times New Roman" w:cs="Times New Roman" w:eastAsia="Times New Roman" w:hAnsi="Times New Roman"/>
          <w:sz w:val="22"/>
          <w:szCs w:val="22"/>
          <w:color w:val="auto"/>
        </w:rPr>
        <w:t>. As between the Parties, Kymera will own and retain all of its rights, title and interest in and to the Kymera Background Technology and Sanofi will own and retain all of its rights, title and interest in and to any Sanofi Background Technology, subject to any rights or licenses expressly granted by one Party to the other Party under this Agreement.</w:t>
      </w:r>
    </w:p>
    <w:p>
      <w:pPr>
        <w:spacing w:after="0" w:line="172"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12.1.2</w:t>
      </w:r>
      <w:r>
        <w:rPr>
          <w:sz w:val="20"/>
          <w:szCs w:val="20"/>
          <w:color w:val="auto"/>
        </w:rPr>
        <w:tab/>
      </w:r>
      <w:r>
        <w:rPr>
          <w:rFonts w:ascii="Times New Roman" w:cs="Times New Roman" w:eastAsia="Times New Roman" w:hAnsi="Times New Roman"/>
          <w:sz w:val="21"/>
          <w:szCs w:val="21"/>
          <w:b w:val="1"/>
          <w:bCs w:val="1"/>
          <w:u w:val="single" w:color="auto"/>
          <w:color w:val="auto"/>
        </w:rPr>
        <w:t>Foreground Technology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2254"/>
        <w:spacing w:after="0" w:line="258" w:lineRule="auto"/>
        <w:tabs>
          <w:tab w:leader="none" w:pos="267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inventorship under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inventorship will be determined in accordance with United States patent laws (regardless of where the applicable activities occurred).</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between the Parties, Kymera will be the sole owner of any Foreground Know-How that [***], and will own and retain all rights, title and interest thereto, subject to any rights or licenses expressly granted by Kymera to Sanofi under this Agreement. For clarity, [***]. Any dispute of whether any [***] will be governed by </w:t>
      </w:r>
      <w:r>
        <w:rPr>
          <w:rFonts w:ascii="Times New Roman" w:cs="Times New Roman" w:eastAsia="Times New Roman" w:hAnsi="Times New Roman"/>
          <w:sz w:val="22"/>
          <w:szCs w:val="22"/>
          <w:u w:val="single" w:color="auto"/>
          <w:color w:val="auto"/>
        </w:rPr>
        <w:t>Sections 9.9.2(b)(iii)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9.9.2(b)(iv)</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set forth in </w:t>
      </w:r>
      <w:r>
        <w:rPr>
          <w:rFonts w:ascii="Times New Roman" w:cs="Times New Roman" w:eastAsia="Times New Roman" w:hAnsi="Times New Roman"/>
          <w:sz w:val="22"/>
          <w:szCs w:val="22"/>
          <w:u w:val="single" w:color="auto"/>
          <w:color w:val="auto"/>
        </w:rPr>
        <w:t>Section 12.1.2(b)</w:t>
      </w:r>
      <w:r>
        <w:rPr>
          <w:rFonts w:ascii="Times New Roman" w:cs="Times New Roman" w:eastAsia="Times New Roman" w:hAnsi="Times New Roman"/>
          <w:sz w:val="22"/>
          <w:szCs w:val="22"/>
          <w:color w:val="auto"/>
        </w:rPr>
        <w:t>, as between the Parties, each Party will be the sole owner of any Foreground Know-How discovered, developed, invented or created solely by such Party, its Affiliates, or Third Parties acting on its or their behalf, and all Patents that Cover any of the foregoing. The Parties will jointly own, on an equal and undivided basis any Foreground Know-How discovered, developed, invented or created jointly by both (i) Sanofi, its Affiliates, or Third Parties acting on behalf of Sanofi or its Affiliates and (ii) Kymera, its Affiliates, or Third Parties acting on behalf of Kymera or its Affiliates, and all Patents, including [***], that claim or encompass any of the foregoing [***]. [***].</w:t>
      </w:r>
    </w:p>
    <w:p>
      <w:pPr>
        <w:spacing w:after="0" w:line="181"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9.9.2(b)(iii)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9.9.2(b)(iv)</w:t>
      </w:r>
      <w:r>
        <w:rPr>
          <w:rFonts w:ascii="Times New Roman" w:cs="Times New Roman" w:eastAsia="Times New Roman" w:hAnsi="Times New Roman"/>
          <w:sz w:val="22"/>
          <w:szCs w:val="22"/>
          <w:color w:val="auto"/>
        </w:rPr>
        <w:t xml:space="preserve"> for any dispute of whether any Foreground Technology is Platform Foreground Technology, [***].</w:t>
      </w:r>
    </w:p>
    <w:p>
      <w:pPr>
        <w:spacing w:after="0" w:line="158" w:lineRule="exact"/>
        <w:rPr>
          <w:rFonts w:ascii="Times New Roman" w:cs="Times New Roman" w:eastAsia="Times New Roman" w:hAnsi="Times New Roman"/>
          <w:sz w:val="22"/>
          <w:szCs w:val="22"/>
          <w:color w:val="auto"/>
        </w:rPr>
      </w:pPr>
    </w:p>
    <w:p>
      <w:pPr>
        <w:jc w:val="both"/>
        <w:ind w:firstLine="2254"/>
        <w:spacing w:after="0" w:line="236" w:lineRule="auto"/>
        <w:tabs>
          <w:tab w:leader="none" w:pos="267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by Kymera or any of its Affiliates of an invention disclosure with respect to any invention discovered, developed, invented or created, solely or jointly, by Kymera, its Affiliates, or Third Parties acting on its or their behalf that constitutes Foreground Technology, Kymera will promptly disclose to Sanofi in writing, and will cause its Affiliates to so disclose, the discovery, development, invention or creation of such Foreground Technology. Promptly following receipt by Sanofi or any of its Affiliates of an invention disclosure with respect to any invention that is discovered, developed, invented 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77" w:name="page278"/>
    <w:bookmarkEnd w:id="277"/>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created, solely or jointly, by Sanofi, its Affiliates, or Third Parties acting on its or their behalf that constitutes Foreground Technology, Sanofi will promptly disclose to Kymera in writing, and will cause its Affiliates to so disclose, the discovery, development, invention or creation of such Foreground Technology.</w:t>
      </w:r>
    </w:p>
    <w:p>
      <w:pPr>
        <w:spacing w:after="0" w:line="1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u w:val="single" w:color="auto"/>
          <w:color w:val="auto"/>
        </w:rPr>
        <w:t>Prosecution and Maintenance of Patents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12.2.1</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54"/>
        <w:spacing w:after="0" w:line="235" w:lineRule="auto"/>
        <w:tabs>
          <w:tab w:leader="none" w:pos="267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set forth in this Agreement, Kymera will control, be responsible for and have the sole right for (but not the obligation), at its own expense, all aspects of the Prosecution and Maintenance of [***]. Kymera’s interest in [***] is addressed in </w:t>
      </w:r>
      <w:r>
        <w:rPr>
          <w:rFonts w:ascii="Times New Roman" w:cs="Times New Roman" w:eastAsia="Times New Roman" w:hAnsi="Times New Roman"/>
          <w:sz w:val="22"/>
          <w:szCs w:val="22"/>
          <w:u w:val="single" w:color="auto"/>
          <w:color w:val="auto"/>
        </w:rPr>
        <w:t>Section 12.2.4</w:t>
      </w:r>
      <w:r>
        <w:rPr>
          <w:rFonts w:ascii="Times New Roman" w:cs="Times New Roman" w:eastAsia="Times New Roman" w:hAnsi="Times New Roman"/>
          <w:sz w:val="22"/>
          <w:szCs w:val="22"/>
          <w:color w:val="auto"/>
        </w:rPr>
        <w:t xml:space="preserve">. Kymera’s interest in all other [***] is addressed in </w:t>
      </w:r>
      <w:r>
        <w:rPr>
          <w:rFonts w:ascii="Times New Roman" w:cs="Times New Roman" w:eastAsia="Times New Roman" w:hAnsi="Times New Roman"/>
          <w:sz w:val="22"/>
          <w:szCs w:val="22"/>
          <w:u w:val="single" w:color="auto"/>
          <w:color w:val="auto"/>
        </w:rPr>
        <w:t>Sections 12.2.5, 12.2.6(c)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12.2.7</w:t>
      </w:r>
      <w:r>
        <w:rPr>
          <w:rFonts w:ascii="Times New Roman" w:cs="Times New Roman" w:eastAsia="Times New Roman" w:hAnsi="Times New Roman"/>
          <w:sz w:val="22"/>
          <w:szCs w:val="22"/>
          <w:color w:val="auto"/>
        </w:rPr>
        <w:t xml:space="preserve">. Each Party’s rights in respect of [***] are addressed in </w:t>
      </w:r>
      <w:r>
        <w:rPr>
          <w:rFonts w:ascii="Times New Roman" w:cs="Times New Roman" w:eastAsia="Times New Roman" w:hAnsi="Times New Roman"/>
          <w:sz w:val="22"/>
          <w:szCs w:val="22"/>
          <w:u w:val="single" w:color="auto"/>
          <w:color w:val="auto"/>
        </w:rPr>
        <w:t>Section 15.3.1(d)</w:t>
      </w:r>
      <w:r>
        <w:rPr>
          <w:rFonts w:ascii="Times New Roman" w:cs="Times New Roman" w:eastAsia="Times New Roman" w:hAnsi="Times New Roman"/>
          <w:sz w:val="22"/>
          <w:szCs w:val="22"/>
          <w:color w:val="auto"/>
        </w:rPr>
        <w:t>. For clarity, Kymera will control, be responsible for and have the sole right for (but not the obligation), at its own expense, all aspects of the Prosecution and Maintenance of all Patents that [***] and Sanofi will have no right to review and comment on the Prosecution and Maintenance of such Patents that [***]. [***].</w:t>
      </w:r>
    </w:p>
    <w:p>
      <w:pPr>
        <w:spacing w:after="0" w:line="18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12.2.4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12.2.5</w:t>
      </w:r>
      <w:r>
        <w:rPr>
          <w:rFonts w:ascii="Times New Roman" w:cs="Times New Roman" w:eastAsia="Times New Roman" w:hAnsi="Times New Roman"/>
          <w:sz w:val="22"/>
          <w:szCs w:val="22"/>
          <w:color w:val="auto"/>
        </w:rPr>
        <w:t>, Kymera will have the exclusive right, but not the obligation, to Prosecute and Maintain all Patents that [***]. Without the prior consent of Sanofi, Kymera will not [***]. Kymera will not [***]. If [***], Kymera will not [***].</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12.2.4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12.2.5</w:t>
      </w:r>
      <w:r>
        <w:rPr>
          <w:rFonts w:ascii="Times New Roman" w:cs="Times New Roman" w:eastAsia="Times New Roman" w:hAnsi="Times New Roman"/>
          <w:sz w:val="22"/>
          <w:szCs w:val="22"/>
          <w:color w:val="auto"/>
        </w:rPr>
        <w:t>, Kymera will have the exclusive right, but not the obligation, to Prosecute and Maintain all Patents that [***]. Without the prior consent of Sanofi, Kymera will not [***]. Kymera will not [***]. If [***], Kymera will not [***].</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12.2.4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12.2.5</w:t>
      </w:r>
      <w:r>
        <w:rPr>
          <w:rFonts w:ascii="Times New Roman" w:cs="Times New Roman" w:eastAsia="Times New Roman" w:hAnsi="Times New Roman"/>
          <w:sz w:val="22"/>
          <w:szCs w:val="22"/>
          <w:color w:val="auto"/>
        </w:rPr>
        <w:t>, Kymera will have the exclusive right, but not the obligation, to Prosecute and Maintain all Patents that [***]. Without the prior consent of Sanofi, Kymera will not [***]. If [***], Kymera will not [***].</w:t>
      </w:r>
    </w:p>
    <w:p>
      <w:pPr>
        <w:spacing w:after="0" w:line="173"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12.2.4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12.2.5</w:t>
      </w:r>
      <w:r>
        <w:rPr>
          <w:rFonts w:ascii="Times New Roman" w:cs="Times New Roman" w:eastAsia="Times New Roman" w:hAnsi="Times New Roman"/>
          <w:sz w:val="22"/>
          <w:szCs w:val="22"/>
          <w:color w:val="auto"/>
        </w:rPr>
        <w:t>, Kymera will have the exclusive right, but not the obligation, to Prosecute and Maintain all Patents that [***], and will not [***]. If [***], Kymera will not [***].</w:t>
      </w:r>
    </w:p>
    <w:p>
      <w:pPr>
        <w:spacing w:after="0" w:line="158"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12.2.2</w:t>
      </w:r>
      <w:r>
        <w:rPr>
          <w:sz w:val="20"/>
          <w:szCs w:val="20"/>
          <w:color w:val="auto"/>
        </w:rPr>
        <w:tab/>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2680" w:hanging="426"/>
        <w:spacing w:after="0"/>
        <w:tabs>
          <w:tab w:leader="none" w:pos="26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Prior to Sanofi Participation Election Effective Date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3003"/>
        <w:spacing w:after="0" w:line="237" w:lineRule="auto"/>
        <w:tabs>
          <w:tab w:leader="none" w:pos="3427"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Prior to the Sanofi Participation Election Effective Date (if any) for Collaboration Target 1, [***] will use Commercially Reasonable Efforts to Prosecute and Maintain, at its own expense [***]. Without the prior consent of [***] will not [***]. [***] will have the right to review and comment on the Prosecution and Maintenance of the [***], and [***]. If the Parties cannot agree on a particular action with respect to the Prosecution and Maintenance of the [***], then either Party may refer such dispute to an Independent Third Party Patent Counsel for resolution in accordance with the Patent Resolution Procedures. [***].</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firstLine="3003"/>
        <w:spacing w:after="0" w:line="236" w:lineRule="auto"/>
        <w:tabs>
          <w:tab w:leader="none" w:pos="3427"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Prior to the Sanofi Participation Election Effective Date (if any) for Collaboration Target 1, [***] will have the first right (but not the obligation) to Prosecute and Maintain the [***], subject to the [***] backup rights described in </w:t>
      </w:r>
      <w:r>
        <w:rPr>
          <w:rFonts w:ascii="Times New Roman" w:cs="Times New Roman" w:eastAsia="Times New Roman" w:hAnsi="Times New Roman"/>
          <w:sz w:val="22"/>
          <w:szCs w:val="22"/>
          <w:u w:val="single" w:color="auto"/>
          <w:color w:val="auto"/>
        </w:rPr>
        <w:t>Section 12.2.9(c)</w:t>
      </w:r>
      <w:r>
        <w:rPr>
          <w:rFonts w:ascii="Times New Roman" w:cs="Times New Roman" w:eastAsia="Times New Roman" w:hAnsi="Times New Roman"/>
          <w:sz w:val="22"/>
          <w:szCs w:val="22"/>
          <w:color w:val="auto"/>
        </w:rPr>
        <w:t>. [***] will have the right to review and comment on the Prosecution and Maintenance of the [***], and [***]. Without the prior consent of [***], [***] will [***]. If the Parties cannot agree on a particular action with respect to the Prosecution and Maintenance of the [***], then either Party may refer such dispute to an Independent Third Party Patent Counsel for resolution in accordance with the Patent Resolution Procedures. [***].</w:t>
      </w:r>
    </w:p>
    <w:p>
      <w:pPr>
        <w:spacing w:after="0" w:line="177" w:lineRule="exact"/>
        <w:rPr>
          <w:rFonts w:ascii="Times New Roman" w:cs="Times New Roman" w:eastAsia="Times New Roman" w:hAnsi="Times New Roman"/>
          <w:sz w:val="22"/>
          <w:szCs w:val="22"/>
          <w:color w:val="auto"/>
        </w:rPr>
      </w:pPr>
    </w:p>
    <w:p>
      <w:pPr>
        <w:jc w:val="both"/>
        <w:ind w:firstLine="3003"/>
        <w:spacing w:after="0" w:line="238" w:lineRule="auto"/>
        <w:tabs>
          <w:tab w:leader="none" w:pos="3427"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Prior to the Sanofi Participation Election Effective Date (if any) for Collaboration Target 1, [***] will have the first right (but not the obligation) to Prosecute and Maintain the [***], subject to the [***] backup rights described in </w:t>
      </w:r>
      <w:r>
        <w:rPr>
          <w:rFonts w:ascii="Times New Roman" w:cs="Times New Roman" w:eastAsia="Times New Roman" w:hAnsi="Times New Roman"/>
          <w:sz w:val="22"/>
          <w:szCs w:val="22"/>
          <w:u w:val="single" w:color="auto"/>
          <w:color w:val="auto"/>
        </w:rPr>
        <w:t>Section 12.2.9(c)</w:t>
      </w:r>
      <w:r>
        <w:rPr>
          <w:rFonts w:ascii="Times New Roman" w:cs="Times New Roman" w:eastAsia="Times New Roman" w:hAnsi="Times New Roman"/>
          <w:sz w:val="22"/>
          <w:szCs w:val="22"/>
          <w:color w:val="auto"/>
        </w:rPr>
        <w:t>. [***] will have the right to review and comment on the Prosecution and Maintenance of the [***]. If the Parties cannot agree on a particular action with respect to the [***], then either Party may refer such dispute to an Independent Third Party Patent Counsel for resolution in accordance with the Patent Resolution Procedures. [***].</w:t>
      </w:r>
    </w:p>
    <w:p>
      <w:pPr>
        <w:spacing w:after="0" w:line="176" w:lineRule="exact"/>
        <w:rPr>
          <w:rFonts w:ascii="Times New Roman" w:cs="Times New Roman" w:eastAsia="Times New Roman" w:hAnsi="Times New Roman"/>
          <w:sz w:val="22"/>
          <w:szCs w:val="22"/>
          <w:color w:val="auto"/>
        </w:rPr>
      </w:pPr>
    </w:p>
    <w:p>
      <w:pPr>
        <w:jc w:val="both"/>
        <w:ind w:firstLine="3003"/>
        <w:spacing w:after="0" w:line="237" w:lineRule="auto"/>
        <w:tabs>
          <w:tab w:leader="none" w:pos="3427"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Prior to the Sanofi Participation Election Effective Date (if any) for Collaboration Target 1, [***] will have the first right (but not the obligation) to Prosecute and Maintain the [***], subject to the [***] backup rights described in </w:t>
      </w:r>
      <w:r>
        <w:rPr>
          <w:rFonts w:ascii="Times New Roman" w:cs="Times New Roman" w:eastAsia="Times New Roman" w:hAnsi="Times New Roman"/>
          <w:sz w:val="22"/>
          <w:szCs w:val="22"/>
          <w:u w:val="single" w:color="auto"/>
          <w:color w:val="auto"/>
        </w:rPr>
        <w:t>Section 12.2.9(c)</w:t>
      </w:r>
      <w:r>
        <w:rPr>
          <w:rFonts w:ascii="Times New Roman" w:cs="Times New Roman" w:eastAsia="Times New Roman" w:hAnsi="Times New Roman"/>
          <w:sz w:val="22"/>
          <w:szCs w:val="22"/>
          <w:color w:val="auto"/>
        </w:rPr>
        <w:t>. [***] will have the right to review and comment on the Prosecution and Maintenance of the [***], and [***]. Without the prior consent of [***], [***] will not [***]. If the Parties cannot agree on a particular action with respect to the Prosecution and Maintenance of the [***], then either Party may refer such dispute to an Independent Third Party Patent Counsel for resolution in accordance with the Patent Resolution Procedures. [***].</w:t>
      </w:r>
    </w:p>
    <w:p>
      <w:pPr>
        <w:spacing w:after="0" w:line="175" w:lineRule="exact"/>
        <w:rPr>
          <w:rFonts w:ascii="Times New Roman" w:cs="Times New Roman" w:eastAsia="Times New Roman" w:hAnsi="Times New Roman"/>
          <w:sz w:val="22"/>
          <w:szCs w:val="22"/>
          <w:color w:val="auto"/>
        </w:rPr>
      </w:pPr>
    </w:p>
    <w:p>
      <w:pPr>
        <w:jc w:val="both"/>
        <w:ind w:firstLine="3003"/>
        <w:spacing w:after="0" w:line="237" w:lineRule="auto"/>
        <w:tabs>
          <w:tab w:leader="none" w:pos="3427"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Prior to the Sanofi Participation Election Effective Date (if any) for Collaboration Target 1, Kymera will have the first right (but not the obligation) to Prosecute and Maintain the [***], subject to the [***] backup rights described in </w:t>
      </w:r>
      <w:r>
        <w:rPr>
          <w:rFonts w:ascii="Times New Roman" w:cs="Times New Roman" w:eastAsia="Times New Roman" w:hAnsi="Times New Roman"/>
          <w:sz w:val="22"/>
          <w:szCs w:val="22"/>
          <w:u w:val="single" w:color="auto"/>
          <w:color w:val="auto"/>
        </w:rPr>
        <w:t>Section 12.2.9(c)</w:t>
      </w:r>
      <w:r>
        <w:rPr>
          <w:rFonts w:ascii="Times New Roman" w:cs="Times New Roman" w:eastAsia="Times New Roman" w:hAnsi="Times New Roman"/>
          <w:sz w:val="22"/>
          <w:szCs w:val="22"/>
          <w:color w:val="auto"/>
        </w:rPr>
        <w:t>. [***] will have the right to review and comment on the Prosecution and Maintenance of the [***], and [***]. If the Parties cannot agree on a particular action with respect to the Prosecution and Maintenance of the [***], then either Party may refer such dispute to an Independent Third Party Patent Counsel for resolution in accordance with the Patent Resolution Procedures. [***].</w:t>
      </w:r>
    </w:p>
    <w:p>
      <w:pPr>
        <w:spacing w:after="0" w:line="175"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Following Sanofi Participation Election Effective Date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3003"/>
        <w:spacing w:after="0" w:line="246" w:lineRule="auto"/>
        <w:tabs>
          <w:tab w:leader="none" w:pos="3427"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During the Sanofi Participation Term (if any) for Collaboration Target 1, [***] will have the first right (but not the obligation) to Prosecute and Maintain the [***]. [***] will have the right to review and comment on the Prosecution and Maintenance of the [***].</w:t>
      </w:r>
    </w:p>
    <w:p>
      <w:pPr>
        <w:spacing w:after="0" w:line="167" w:lineRule="exact"/>
        <w:rPr>
          <w:rFonts w:ascii="Times New Roman" w:cs="Times New Roman" w:eastAsia="Times New Roman" w:hAnsi="Times New Roman"/>
          <w:sz w:val="22"/>
          <w:szCs w:val="22"/>
          <w:color w:val="auto"/>
        </w:rPr>
      </w:pPr>
    </w:p>
    <w:p>
      <w:pPr>
        <w:jc w:val="both"/>
        <w:ind w:firstLine="3003"/>
        <w:spacing w:after="0" w:line="241" w:lineRule="auto"/>
        <w:tabs>
          <w:tab w:leader="none" w:pos="3427"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During the Sanofi Participation Term (if any) for Collaboration Target 1, [***] will have the first right (but not the obligation) to Prosecute and Maintain the [***]. [***] will have the right to review and comment on the Prosecution and Maintenance of the [***], and [***]. Without the prior consent of [***], [***] will not [***]. If the Parties cannot agree on a particular action with respect to the Prosecution and Maintenance of</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 then either Party may refer such dispute to an Independent Third Party Patent Counsel for resolution in accordance with the Patent Resolution Procedures. [***].</w:t>
      </w:r>
    </w:p>
    <w:p>
      <w:pPr>
        <w:spacing w:after="0" w:line="154" w:lineRule="exact"/>
        <w:rPr>
          <w:sz w:val="20"/>
          <w:szCs w:val="20"/>
          <w:color w:val="auto"/>
        </w:rPr>
      </w:pPr>
    </w:p>
    <w:p>
      <w:pPr>
        <w:jc w:val="both"/>
        <w:ind w:firstLine="3003"/>
        <w:spacing w:after="0" w:line="246" w:lineRule="auto"/>
        <w:tabs>
          <w:tab w:leader="none" w:pos="342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During the Sanofi Participation Term (if any) for the Collaboration Target 1, [***] will have the first right (but not the obligation) to Prosecute and Maintain the [***]. [***] will have the right to review and comment on the Prosecution and Maintenance of the [***].</w:t>
      </w:r>
    </w:p>
    <w:p>
      <w:pPr>
        <w:spacing w:after="0" w:line="167" w:lineRule="exact"/>
        <w:rPr>
          <w:rFonts w:ascii="Times New Roman" w:cs="Times New Roman" w:eastAsia="Times New Roman" w:hAnsi="Times New Roman"/>
          <w:sz w:val="22"/>
          <w:szCs w:val="22"/>
          <w:color w:val="auto"/>
        </w:rPr>
      </w:pPr>
    </w:p>
    <w:p>
      <w:pPr>
        <w:jc w:val="both"/>
        <w:ind w:firstLine="3003"/>
        <w:spacing w:after="0" w:line="237" w:lineRule="auto"/>
        <w:tabs>
          <w:tab w:leader="none" w:pos="342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During the Sanofi Participation Term (if any) for Collaboration Target 1, [***] will have the first right (but not the obligation) to Prosecute and Maintain the [***]. [***] will have the right to review and comment on the Prosecution and Maintenance of the [***], and [***]. Without the prior consent of [***], [***] will not [***]. If the Parties cannot agree on a particular action with respect to the Prosecution and Maintenance of the [***], then either Party may refer such dispute to an Independent Third Party Patent Counsel for resolution in accordance with the Patent Resolution Procedures. [***].</w:t>
      </w:r>
    </w:p>
    <w:p>
      <w:pPr>
        <w:spacing w:after="0" w:line="175" w:lineRule="exact"/>
        <w:rPr>
          <w:rFonts w:ascii="Times New Roman" w:cs="Times New Roman" w:eastAsia="Times New Roman" w:hAnsi="Times New Roman"/>
          <w:sz w:val="22"/>
          <w:szCs w:val="22"/>
          <w:color w:val="auto"/>
        </w:rPr>
      </w:pPr>
    </w:p>
    <w:p>
      <w:pPr>
        <w:jc w:val="both"/>
        <w:ind w:firstLine="3003"/>
        <w:spacing w:after="0" w:line="238" w:lineRule="auto"/>
        <w:tabs>
          <w:tab w:leader="none" w:pos="342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During the Sanofi Participation Term (if any) for Collaboration Target 1, [***] will have the first right (but not the obligation) to Prosecute and Maintain the [***]. [***] will have the right to review and comment on the Prosecution and Maintenance of the [***] and [***]. If the Parties cannot agree on a particular action with respect to the Prosecution and Maintenance of the [***], then either Party may refer such dispute to an Independent Third Party Patent Counsel for resolution in accordance with the Patent Resolution Procedures.</w:t>
      </w:r>
    </w:p>
    <w:p>
      <w:pPr>
        <w:spacing w:after="0" w:line="177"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12.2.3</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Certain Kymera Background Patents relevant to </w:t>
      </w:r>
      <w:r>
        <w:rPr>
          <w:rFonts w:ascii="Times New Roman" w:cs="Times New Roman" w:eastAsia="Times New Roman" w:hAnsi="Times New Roman"/>
          <w:sz w:val="21"/>
          <w:szCs w:val="21"/>
          <w:color w:val="auto"/>
        </w:rPr>
        <w:t>[***]. In the event that any [***].</w:t>
      </w:r>
    </w:p>
    <w:p>
      <w:pPr>
        <w:spacing w:after="0" w:line="210"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12.2.4 [***]. Prior to the Sanofi Participation Election Right Exercise (if any) for [***] and prior to the filing of any new Patent application that Covers [***], the JPC will meet and in good faith discuss [***]. The Parties, through the JPC, will use good faith efforts to agree on such strategy, with the goal of maximizing the value of the Parties’ respective patent portfolios. For clarity, [***].</w:t>
      </w:r>
    </w:p>
    <w:p>
      <w:pPr>
        <w:spacing w:after="0" w:line="176" w:lineRule="exact"/>
        <w:rPr>
          <w:sz w:val="20"/>
          <w:szCs w:val="20"/>
          <w:color w:val="auto"/>
        </w:rPr>
      </w:pPr>
    </w:p>
    <w:p>
      <w:pPr>
        <w:jc w:val="both"/>
        <w:ind w:firstLine="2254"/>
        <w:spacing w:after="0" w:line="250" w:lineRule="auto"/>
        <w:tabs>
          <w:tab w:leader="none" w:pos="267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Prior to Sanofi Participation Election Effective Date</w:t>
      </w:r>
      <w:r>
        <w:rPr>
          <w:rFonts w:ascii="Times New Roman" w:cs="Times New Roman" w:eastAsia="Times New Roman" w:hAnsi="Times New Roman"/>
          <w:sz w:val="21"/>
          <w:szCs w:val="21"/>
          <w:color w:val="auto"/>
        </w:rPr>
        <w:t>. Prior to the Sanofi Participation Election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Effective Date (if any) for [***], [***] will have the first right (but not the obligation) to Prosecute and Maintain the [***], subject to the [***] backup rights described in </w:t>
      </w:r>
      <w:r>
        <w:rPr>
          <w:rFonts w:ascii="Times New Roman" w:cs="Times New Roman" w:eastAsia="Times New Roman" w:hAnsi="Times New Roman"/>
          <w:sz w:val="21"/>
          <w:szCs w:val="21"/>
          <w:u w:val="single" w:color="auto"/>
          <w:color w:val="auto"/>
        </w:rPr>
        <w:t>Section 12.2.9(c)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 will not [***], and (ii) [***]. [***] will have the right to review and comment on the Prosecution and Maintenance of the [***], and [***]. If the Parties cannot agree on a particular action with respect to the Prosecution and Maintenance of the [***], then either Party may refer such dispute to an Independent Third Party Patent Counsel for resolution in accordance with the Patent Resolution Procedures. [***].</w:t>
      </w:r>
    </w:p>
    <w:p>
      <w:pPr>
        <w:spacing w:after="0" w:line="164" w:lineRule="exact"/>
        <w:rPr>
          <w:rFonts w:ascii="Times New Roman" w:cs="Times New Roman" w:eastAsia="Times New Roman" w:hAnsi="Times New Roman"/>
          <w:sz w:val="21"/>
          <w:szCs w:val="21"/>
          <w:color w:val="auto"/>
        </w:rPr>
      </w:pPr>
    </w:p>
    <w:p>
      <w:pPr>
        <w:jc w:val="both"/>
        <w:ind w:firstLine="2254"/>
        <w:spacing w:after="0" w:line="246" w:lineRule="auto"/>
        <w:tabs>
          <w:tab w:leader="none" w:pos="269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Following Sanofi Participation Election Effective Date</w:t>
      </w:r>
      <w:r>
        <w:rPr>
          <w:rFonts w:ascii="Times New Roman" w:cs="Times New Roman" w:eastAsia="Times New Roman" w:hAnsi="Times New Roman"/>
          <w:sz w:val="22"/>
          <w:szCs w:val="22"/>
          <w:color w:val="auto"/>
        </w:rPr>
        <w:t>. During the Sanofi Participation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for [***], [***] will have the first right (but not the obligation) to Prosecute and Maintain the [***]. [***] will have the right to review and comment on the Prosecution and Maintenance of the [***].</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12.2.5</w:t>
        <w:tab/>
        <w:t xml:space="preserve">[***].  Subject to </w:t>
      </w:r>
      <w:r>
        <w:rPr>
          <w:rFonts w:ascii="Times New Roman" w:cs="Times New Roman" w:eastAsia="Times New Roman" w:hAnsi="Times New Roman"/>
          <w:sz w:val="22"/>
          <w:szCs w:val="22"/>
          <w:u w:val="single" w:color="auto"/>
          <w:color w:val="auto"/>
        </w:rPr>
        <w:t>Section 12.2.4</w:t>
      </w:r>
      <w:r>
        <w:rPr>
          <w:rFonts w:ascii="Times New Roman" w:cs="Times New Roman" w:eastAsia="Times New Roman" w:hAnsi="Times New Roman"/>
          <w:sz w:val="22"/>
          <w:szCs w:val="22"/>
          <w:color w:val="auto"/>
        </w:rPr>
        <w:t>, the Parties will divide responsibility for the Prosecution and</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Maintenance of [***], other than [***], as follows:</w:t>
      </w:r>
    </w:p>
    <w:p>
      <w:pPr>
        <w:spacing w:after="0" w:line="178" w:lineRule="exact"/>
        <w:rPr>
          <w:sz w:val="20"/>
          <w:szCs w:val="20"/>
          <w:color w:val="auto"/>
        </w:rPr>
      </w:pPr>
    </w:p>
    <w:p>
      <w:pPr>
        <w:jc w:val="both"/>
        <w:ind w:firstLine="2254"/>
        <w:spacing w:after="0" w:line="236" w:lineRule="auto"/>
        <w:tabs>
          <w:tab w:leader="none" w:pos="2678"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Prior to Sanofi Participation Election Effective Date</w:t>
      </w:r>
      <w:r>
        <w:rPr>
          <w:rFonts w:ascii="Times New Roman" w:cs="Times New Roman" w:eastAsia="Times New Roman" w:hAnsi="Times New Roman"/>
          <w:sz w:val="22"/>
          <w:szCs w:val="22"/>
          <w:color w:val="auto"/>
        </w:rPr>
        <w:t>. Prior to the Sanofi Participation Election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Effective Date (if any) for [***], [***] will have the first right (but not the obligation) to Prosecute and Maintain the [***], subject to the [***] backup rights described in </w:t>
      </w:r>
      <w:r>
        <w:rPr>
          <w:rFonts w:ascii="Times New Roman" w:cs="Times New Roman" w:eastAsia="Times New Roman" w:hAnsi="Times New Roman"/>
          <w:sz w:val="22"/>
          <w:szCs w:val="22"/>
          <w:u w:val="single" w:color="auto"/>
          <w:color w:val="auto"/>
        </w:rPr>
        <w:t>Section 12.2.9(c)</w:t>
      </w:r>
      <w:r>
        <w:rPr>
          <w:rFonts w:ascii="Times New Roman" w:cs="Times New Roman" w:eastAsia="Times New Roman" w:hAnsi="Times New Roman"/>
          <w:sz w:val="22"/>
          <w:szCs w:val="22"/>
          <w:color w:val="auto"/>
        </w:rPr>
        <w:t>. [***] will have the right to review and comment on the Prosecution and Maintenance of such [***], and [***]. In any [***], without the prior consent of [***], [***] will not [***]. If the Parties cannot agree on a particular action with respect to the Prosecution and Maintenance of such [***], then either Party may refer such dispute to an Independent Third Party Patent Counsel for resolution in accordance with the Patent Resolution Procedures. [***].</w:t>
      </w:r>
    </w:p>
    <w:p>
      <w:pPr>
        <w:spacing w:after="0" w:line="175" w:lineRule="exact"/>
        <w:rPr>
          <w:rFonts w:ascii="Times New Roman" w:cs="Times New Roman" w:eastAsia="Times New Roman" w:hAnsi="Times New Roman"/>
          <w:sz w:val="22"/>
          <w:szCs w:val="22"/>
          <w:color w:val="auto"/>
        </w:rPr>
      </w:pPr>
    </w:p>
    <w:p>
      <w:pPr>
        <w:jc w:val="both"/>
        <w:ind w:firstLine="2254"/>
        <w:spacing w:after="0" w:line="243" w:lineRule="auto"/>
        <w:tabs>
          <w:tab w:leader="none" w:pos="2692"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Following Sanofi Participation Election Effective Date</w:t>
      </w:r>
      <w:r>
        <w:rPr>
          <w:rFonts w:ascii="Times New Roman" w:cs="Times New Roman" w:eastAsia="Times New Roman" w:hAnsi="Times New Roman"/>
          <w:sz w:val="22"/>
          <w:szCs w:val="22"/>
          <w:color w:val="auto"/>
        </w:rPr>
        <w:t>. During the Sanofi Participation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for [***], [***] will have the first right (but not the obligation) to Prosecute and Maintain the [***], other than [***].</w:t>
      </w:r>
    </w:p>
    <w:p>
      <w:pPr>
        <w:spacing w:after="0" w:line="1" w:lineRule="exact"/>
        <w:rPr>
          <w:rFonts w:ascii="Times New Roman" w:cs="Times New Roman" w:eastAsia="Times New Roman" w:hAnsi="Times New Roman"/>
          <w:sz w:val="22"/>
          <w:szCs w:val="22"/>
          <w:color w:val="auto"/>
        </w:rPr>
      </w:pPr>
    </w:p>
    <w:p>
      <w:pPr>
        <w:jc w:val="both"/>
        <w:ind w:firstLine="8"/>
        <w:spacing w:after="0" w:line="235" w:lineRule="auto"/>
        <w:tabs>
          <w:tab w:leader="none" w:pos="5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have the right to review and comment on the Prosecution and Maintenance of such [***] and [***]. If the Parties cannot agree on a particular action with respect to the Prosecution and Maintenance of such [***], then either Party may refer such dispute to an Independent Third Party Patent Counsel for resolution in accordance with the Patent Resolution Procedures.</w:t>
      </w:r>
    </w:p>
    <w:p>
      <w:pPr>
        <w:spacing w:after="0" w:line="178"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12.2.6</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680" w:hanging="426"/>
        <w:spacing w:after="0"/>
        <w:tabs>
          <w:tab w:leader="none" w:pos="268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3003"/>
        <w:spacing w:after="0" w:line="237" w:lineRule="auto"/>
        <w:tabs>
          <w:tab w:leader="none" w:pos="3427"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Prior to Sanofi Participation Election Effective Date</w:t>
      </w:r>
      <w:r>
        <w:rPr>
          <w:rFonts w:ascii="Times New Roman" w:cs="Times New Roman" w:eastAsia="Times New Roman" w:hAnsi="Times New Roman"/>
          <w:sz w:val="22"/>
          <w:szCs w:val="22"/>
          <w:color w:val="auto"/>
        </w:rPr>
        <w:t>. Prior to the Sanofi Participation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Election Effective Date (if any) for [***] will use Commercially Reasonable Efforts to Prosecute and Maintain, at its own expense, [***]. [***] will have the right to review and comment on the Prosecution and Maintenance of [***], and [***]. If the Parties cannot agree on a particular action with respect to the Prosecution and Maintenance of any [***], then either Party may refer such dispute to an Independent Third Party Patent Counsel for resolution in accordance with the Patent Resolution Procedures. [***].</w:t>
      </w:r>
    </w:p>
    <w:p>
      <w:pPr>
        <w:spacing w:after="0" w:line="175" w:lineRule="exact"/>
        <w:rPr>
          <w:rFonts w:ascii="Times New Roman" w:cs="Times New Roman" w:eastAsia="Times New Roman" w:hAnsi="Times New Roman"/>
          <w:sz w:val="22"/>
          <w:szCs w:val="22"/>
          <w:color w:val="auto"/>
        </w:rPr>
      </w:pPr>
    </w:p>
    <w:p>
      <w:pPr>
        <w:jc w:val="both"/>
        <w:ind w:firstLine="3003"/>
        <w:spacing w:after="0" w:line="243" w:lineRule="auto"/>
        <w:tabs>
          <w:tab w:leader="none" w:pos="3535"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Following Sanofi Participation Election Effective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Sanofi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Term (if any) for [***], [***] will have the first right (but not the obligation) to Prosecute and Maintain all [***].</w:t>
      </w:r>
    </w:p>
    <w:p>
      <w:pPr>
        <w:spacing w:after="0" w:line="1"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have the right to review and comment on the Prosecution and Maintenance of such [***].</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3003"/>
        <w:spacing w:after="0" w:line="237" w:lineRule="auto"/>
        <w:tabs>
          <w:tab w:leader="none" w:pos="3427"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Prior to Sanofi Participation Election Effective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the Sanofi Participation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Election Effective Date (if any) for [***], [***] will have the first right (but not the obligation) to Prosecute and Maintain all [***], subject to the [***] backup rights described in </w:t>
      </w:r>
      <w:r>
        <w:rPr>
          <w:rFonts w:ascii="Times New Roman" w:cs="Times New Roman" w:eastAsia="Times New Roman" w:hAnsi="Times New Roman"/>
          <w:sz w:val="22"/>
          <w:szCs w:val="22"/>
          <w:u w:val="single" w:color="auto"/>
          <w:color w:val="auto"/>
        </w:rPr>
        <w:t>Section 12.2.9(c)</w:t>
      </w:r>
      <w:r>
        <w:rPr>
          <w:rFonts w:ascii="Times New Roman" w:cs="Times New Roman" w:eastAsia="Times New Roman" w:hAnsi="Times New Roman"/>
          <w:sz w:val="22"/>
          <w:szCs w:val="22"/>
          <w:color w:val="auto"/>
        </w:rPr>
        <w:t>. [***] will have the right to review and comment on the Prosecution and Maintenance of such [***], and [***]. If the Parties cannot agree on a particular action with respect to the Prosecution and Maintenance of such [***], then either Party may refer such dispute to an Independent Third Party Patent Counsel for resolution in accordance with the Patent Resolution Procedures. [***].</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both"/>
        <w:ind w:firstLine="3003"/>
        <w:spacing w:after="0" w:line="246" w:lineRule="auto"/>
        <w:tabs>
          <w:tab w:leader="none" w:pos="3535"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Following Sanofi Participation Election Effective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Sanofi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Term (if any) [***], [***] will have the first right (but not the obligation) to Prosecute and Maintain [***]. [***] will have the right to review and comment on the Prosecution and Maintenance of such [***].</w:t>
      </w:r>
    </w:p>
    <w:p>
      <w:pPr>
        <w:spacing w:after="0" w:line="171"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3003"/>
        <w:spacing w:after="0" w:line="237" w:lineRule="auto"/>
        <w:tabs>
          <w:tab w:leader="none" w:pos="3427"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Prior to Sanofi Participation Election Effective Date</w:t>
      </w:r>
      <w:r>
        <w:rPr>
          <w:rFonts w:ascii="Times New Roman" w:cs="Times New Roman" w:eastAsia="Times New Roman" w:hAnsi="Times New Roman"/>
          <w:sz w:val="22"/>
          <w:szCs w:val="22"/>
          <w:color w:val="auto"/>
        </w:rPr>
        <w:t>. Prior to the Sanofi Participation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Election Effective Date (if any) for [***], [***] will have the first right (but not the obligation) to Prosecute and Maintain all [***], subject to the [***] backup rights described in </w:t>
      </w:r>
      <w:r>
        <w:rPr>
          <w:rFonts w:ascii="Times New Roman" w:cs="Times New Roman" w:eastAsia="Times New Roman" w:hAnsi="Times New Roman"/>
          <w:sz w:val="22"/>
          <w:szCs w:val="22"/>
          <w:u w:val="single" w:color="auto"/>
          <w:color w:val="auto"/>
        </w:rPr>
        <w:t>Section 12.2.9(c)</w:t>
      </w:r>
      <w:r>
        <w:rPr>
          <w:rFonts w:ascii="Times New Roman" w:cs="Times New Roman" w:eastAsia="Times New Roman" w:hAnsi="Times New Roman"/>
          <w:sz w:val="22"/>
          <w:szCs w:val="22"/>
          <w:color w:val="auto"/>
        </w:rPr>
        <w:t>. [***] will have the right to review and comment on the Prosecution and Maintenance of such [***], and [***]. If the Parties cannot agree on a particular action with respect to the Prosecution and Maintenance of such [***], then either Party may refer such dispute to an Independent Third Party Patent Counsel for resolution in accordance with the Patent Resolution Procedures. [***].</w:t>
      </w:r>
    </w:p>
    <w:p>
      <w:pPr>
        <w:spacing w:after="0" w:line="175" w:lineRule="exact"/>
        <w:rPr>
          <w:sz w:val="20"/>
          <w:szCs w:val="20"/>
          <w:color w:val="auto"/>
        </w:rPr>
      </w:pPr>
    </w:p>
    <w:p>
      <w:pPr>
        <w:jc w:val="both"/>
        <w:ind w:firstLine="3003"/>
        <w:spacing w:after="0" w:line="243" w:lineRule="auto"/>
        <w:tabs>
          <w:tab w:leader="none" w:pos="3535"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Following Sanofi Participation Election Effective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Sanofi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Term (if any) for [***], [***] will have the first right (but not the obligation) to Prosecute and Maintain all [***].</w:t>
      </w:r>
    </w:p>
    <w:p>
      <w:pPr>
        <w:spacing w:after="0" w:line="1"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have the right to review and comment on the Prosecution and Maintenance of such [***].</w:t>
      </w:r>
    </w:p>
    <w:p>
      <w:pPr>
        <w:spacing w:after="0" w:line="182" w:lineRule="exact"/>
        <w:rPr>
          <w:sz w:val="20"/>
          <w:szCs w:val="20"/>
          <w:color w:val="auto"/>
        </w:rPr>
      </w:pPr>
    </w:p>
    <w:p>
      <w:pPr>
        <w:jc w:val="both"/>
        <w:ind w:left="48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12.2.7 [***]. Subject to </w:t>
      </w:r>
      <w:r>
        <w:rPr>
          <w:rFonts w:ascii="Times New Roman" w:cs="Times New Roman" w:eastAsia="Times New Roman" w:hAnsi="Times New Roman"/>
          <w:sz w:val="22"/>
          <w:szCs w:val="22"/>
          <w:u w:val="single" w:color="auto"/>
          <w:color w:val="auto"/>
        </w:rPr>
        <w:t>Sections 12.2.4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12.2.6(c)</w:t>
      </w:r>
      <w:r>
        <w:rPr>
          <w:rFonts w:ascii="Times New Roman" w:cs="Times New Roman" w:eastAsia="Times New Roman" w:hAnsi="Times New Roman"/>
          <w:sz w:val="22"/>
          <w:szCs w:val="22"/>
          <w:color w:val="auto"/>
        </w:rPr>
        <w:t>, the Parties will divide responsibility for the Prosecution and Maintenance of [***], other than [***].</w:t>
      </w:r>
    </w:p>
    <w:p>
      <w:pPr>
        <w:spacing w:after="0" w:line="154" w:lineRule="exact"/>
        <w:rPr>
          <w:sz w:val="20"/>
          <w:szCs w:val="20"/>
          <w:color w:val="auto"/>
        </w:rPr>
      </w:pPr>
    </w:p>
    <w:p>
      <w:pPr>
        <w:jc w:val="both"/>
        <w:ind w:left="48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12.2.8 </w:t>
      </w:r>
      <w:r>
        <w:rPr>
          <w:rFonts w:ascii="Times New Roman" w:cs="Times New Roman" w:eastAsia="Times New Roman" w:hAnsi="Times New Roman"/>
          <w:sz w:val="22"/>
          <w:szCs w:val="22"/>
          <w:b w:val="1"/>
          <w:bCs w:val="1"/>
          <w:u w:val="single" w:color="auto"/>
          <w:color w:val="auto"/>
        </w:rPr>
        <w:t>Sanofi Patents</w:t>
      </w:r>
      <w:r>
        <w:rPr>
          <w:rFonts w:ascii="Times New Roman" w:cs="Times New Roman" w:eastAsia="Times New Roman" w:hAnsi="Times New Roman"/>
          <w:sz w:val="22"/>
          <w:szCs w:val="22"/>
          <w:color w:val="auto"/>
        </w:rPr>
        <w:t>. Sanofi will control, be responsible for, and have the sole right (but not the obligation) for, at its own expense, all aspects of the Prosecution and Maintenance of all Sanofi Background Patents and Sanofi Foreground Patents.</w:t>
      </w:r>
    </w:p>
    <w:p>
      <w:pPr>
        <w:spacing w:after="0" w:line="167" w:lineRule="exact"/>
        <w:rPr>
          <w:sz w:val="20"/>
          <w:szCs w:val="20"/>
          <w:color w:val="auto"/>
        </w:rPr>
      </w:pPr>
    </w:p>
    <w:p>
      <w:pPr>
        <w:jc w:val="center"/>
        <w:spacing w:after="0"/>
        <w:tabs>
          <w:tab w:leader="none" w:pos="300" w:val="left"/>
        </w:tabs>
        <w:rPr>
          <w:sz w:val="20"/>
          <w:szCs w:val="20"/>
          <w:color w:val="auto"/>
        </w:rPr>
      </w:pPr>
      <w:r>
        <w:rPr>
          <w:rFonts w:ascii="Times New Roman" w:cs="Times New Roman" w:eastAsia="Times New Roman" w:hAnsi="Times New Roman"/>
          <w:sz w:val="22"/>
          <w:szCs w:val="22"/>
          <w:color w:val="auto"/>
        </w:rPr>
        <w:t>12.2.9</w:t>
      </w:r>
      <w:r>
        <w:rPr>
          <w:sz w:val="20"/>
          <w:szCs w:val="20"/>
          <w:color w:val="auto"/>
        </w:rPr>
        <w:tab/>
      </w:r>
      <w:r>
        <w:rPr>
          <w:rFonts w:ascii="Times New Roman" w:cs="Times New Roman" w:eastAsia="Times New Roman" w:hAnsi="Times New Roman"/>
          <w:sz w:val="21"/>
          <w:szCs w:val="21"/>
          <w:b w:val="1"/>
          <w:bCs w:val="1"/>
          <w:u w:val="single" w:color="auto"/>
          <w:color w:val="auto"/>
        </w:rPr>
        <w:t>Other Matters Pertaining to Prosecution and Maintenance of Patents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2254"/>
        <w:spacing w:after="0" w:line="235" w:lineRule="auto"/>
        <w:tabs>
          <w:tab w:leader="none" w:pos="267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Term, each Party will keep the other Party informed (through the JPC, or directly if the JPC is disbanded) as to material developments with respect to the Prosecution and Maintenance of the [***] for which such Party has responsibility for Prosecution and Maintenance pursuant to this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including by providing (i) copies of any office actions or office action responses or other correspondence that such Party provides to or receives from any patent office, including notice of all interferences, reissues, re-examinations, or oppositions, and all patent-related filings; and (ii) drafts of any material filings or responses to be made to any patent office sufficiently in advance of submitting such filings or responses so as to provide the other Party the timely opportunity to have reasonable input into the strategic aspects of such Prosecution and Maintenance.</w:t>
      </w:r>
    </w:p>
    <w:p>
      <w:pPr>
        <w:spacing w:after="0" w:line="17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during the Term, Sanofi intends to abandon patent applications for any [***], then Sanofi will so notify Kymera of such intention at least [***] before such Patent will become abandoned, and Kymera will have the right, but not the obligation, to assume responsibility for the Prosecution and Maintenance thereof at its own expense with counsel of its own choice,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 and (iii) if the Parties cannot agree on the reasonableness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82" w:name="page283"/>
    <w:bookmarkEnd w:id="282"/>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of any other strategic purpose, then either Party may refer such dispute to an Independent Third Party Patent Counsel for resolution in accordance with the Patent Resolution Procedures.</w:t>
      </w:r>
    </w:p>
    <w:p>
      <w:pPr>
        <w:spacing w:after="0" w:line="158" w:lineRule="exact"/>
        <w:rPr>
          <w:sz w:val="20"/>
          <w:szCs w:val="20"/>
          <w:color w:val="auto"/>
        </w:rPr>
      </w:pPr>
    </w:p>
    <w:p>
      <w:pPr>
        <w:jc w:val="both"/>
        <w:ind w:firstLine="2254"/>
        <w:spacing w:after="0" w:line="239" w:lineRule="auto"/>
        <w:tabs>
          <w:tab w:leader="none" w:pos="267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Term, Kymera intends to abandon any [***] that Kymera is responsible for Prosecuting and Maintaining in a particular country, then Kymera will notify Sanofi of such intention at least [***] before such Patent will become abandoned, and Sanofi will have the right, but not the obligation, to assume responsibility for the Prosecution and Maintenance thereof at its own expense with counsel of its own choice.</w:t>
      </w:r>
    </w:p>
    <w:p>
      <w:pPr>
        <w:spacing w:after="0" w:line="176" w:lineRule="exact"/>
        <w:rPr>
          <w:sz w:val="20"/>
          <w:szCs w:val="20"/>
          <w:color w:val="auto"/>
        </w:rPr>
      </w:pPr>
    </w:p>
    <w:p>
      <w:pPr>
        <w:jc w:val="both"/>
        <w:ind w:left="80" w:firstLine="749"/>
        <w:spacing w:after="0" w:line="232"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b w:val="1"/>
          <w:bCs w:val="1"/>
          <w:u w:val="single" w:color="auto"/>
          <w:color w:val="auto"/>
        </w:rPr>
        <w:t>Defense of Claims Brought by Third Parties</w:t>
      </w:r>
      <w:r>
        <w:rPr>
          <w:rFonts w:ascii="Times New Roman" w:cs="Times New Roman" w:eastAsia="Times New Roman" w:hAnsi="Times New Roman"/>
          <w:sz w:val="22"/>
          <w:szCs w:val="22"/>
          <w:color w:val="auto"/>
        </w:rPr>
        <w:t>. If any Third Party brings a claim or otherwise asserts that a Licensed Product or Collaboration Compound infringes such Third Party’s Patent or misappropriates such Third Party’s Know-How (each, a “</w:t>
      </w:r>
      <w:r>
        <w:rPr>
          <w:rFonts w:ascii="Times New Roman" w:cs="Times New Roman" w:eastAsia="Times New Roman" w:hAnsi="Times New Roman"/>
          <w:sz w:val="22"/>
          <w:szCs w:val="22"/>
          <w:b w:val="1"/>
          <w:bCs w:val="1"/>
          <w:color w:val="auto"/>
        </w:rPr>
        <w:t>Third-Party Infringement Claim</w:t>
      </w:r>
      <w:r>
        <w:rPr>
          <w:rFonts w:ascii="Times New Roman" w:cs="Times New Roman" w:eastAsia="Times New Roman" w:hAnsi="Times New Roman"/>
          <w:sz w:val="22"/>
          <w:szCs w:val="22"/>
          <w:color w:val="auto"/>
        </w:rPr>
        <w:t>”), the Party first having notice of the claim or assertion will promptly notify the other Party in writing. Prior to the Sanofi Participation Election Effective Date (if any) with respect to the applicable Collaboration Target, [***] will have the sole right to undertake and control the defense or settlement of any Third-Party Infringement Claim using counsel of its choice, at its cost and expense and, following the Sanofi Participation Election Effective Date (if any) with respect to the applicable Collaboration Target, [***] will have the sole right to undertake and control the defense or settlement of any Third-Party Infringement Claim using counsel of its choice, at its cost and expense (such Party having the right to control such defense, the “</w:t>
      </w:r>
      <w:r>
        <w:rPr>
          <w:rFonts w:ascii="Times New Roman" w:cs="Times New Roman" w:eastAsia="Times New Roman" w:hAnsi="Times New Roman"/>
          <w:sz w:val="22"/>
          <w:szCs w:val="22"/>
          <w:b w:val="1"/>
          <w:bCs w:val="1"/>
          <w:color w:val="auto"/>
        </w:rPr>
        <w:t>Defending Party</w:t>
      </w:r>
      <w:r>
        <w:rPr>
          <w:rFonts w:ascii="Times New Roman" w:cs="Times New Roman" w:eastAsia="Times New Roman" w:hAnsi="Times New Roman"/>
          <w:sz w:val="22"/>
          <w:szCs w:val="22"/>
          <w:color w:val="auto"/>
        </w:rPr>
        <w:t>”). If the Party not having the right to control such defense in accordance with the preceding sentence (the “</w:t>
      </w:r>
      <w:r>
        <w:rPr>
          <w:rFonts w:ascii="Times New Roman" w:cs="Times New Roman" w:eastAsia="Times New Roman" w:hAnsi="Times New Roman"/>
          <w:sz w:val="22"/>
          <w:szCs w:val="22"/>
          <w:b w:val="1"/>
          <w:bCs w:val="1"/>
          <w:color w:val="auto"/>
        </w:rPr>
        <w:t>Non-Defending Party</w:t>
      </w:r>
      <w:r>
        <w:rPr>
          <w:rFonts w:ascii="Times New Roman" w:cs="Times New Roman" w:eastAsia="Times New Roman" w:hAnsi="Times New Roman"/>
          <w:sz w:val="22"/>
          <w:szCs w:val="22"/>
          <w:color w:val="auto"/>
        </w:rPr>
        <w:t xml:space="preserve">”) is named as a defendant in such suit, the Non-Defending Party will have the right to participate in such defense and settlement with its own counsel, at its cost. The Defending Party will not enter into any settlement of any Third-Party Infringement Claim that is instituted or threatened to be instituted against the Non-Defending Party without the Non-Defending Party’s prior written consent, which will not be unreasonably withheld, conditioned or delayed; </w:t>
      </w:r>
      <w:r>
        <w:rPr>
          <w:rFonts w:ascii="Times New Roman" w:cs="Times New Roman" w:eastAsia="Times New Roman" w:hAnsi="Times New Roman"/>
          <w:sz w:val="22"/>
          <w:szCs w:val="22"/>
          <w:i w:val="1"/>
          <w:iCs w:val="1"/>
          <w:color w:val="auto"/>
        </w:rPr>
        <w:t>except that</w:t>
      </w:r>
      <w:r>
        <w:rPr>
          <w:rFonts w:ascii="Times New Roman" w:cs="Times New Roman" w:eastAsia="Times New Roman" w:hAnsi="Times New Roman"/>
          <w:sz w:val="22"/>
          <w:szCs w:val="22"/>
          <w:color w:val="auto"/>
        </w:rPr>
        <w:t xml:space="preserve">, such consent will not be required if such settlement includes a release of all liability in favor of the Non-Defending Party or an assumption of any unreleased liability by the Defending Party. As requested by the Defending Party, the Non-Defending Party will provide reasonable cooperation and assistance to the Defending Party in connection with the Defending Party’s control of the defense or settlement of a Third-Party Infringement Claim. Such cooperation and assistance will include executing all necessary and proper documents and taking such actions as will be appropriate to allow the Defending Party to control the defense and settlement of such Third-Party Infringement Claim. The Defending Party will reimburse the Non-Defending Party for the reasonable Out-of-Pocket Costs incurred by the Non-Defending Party in providing such assistance and cooperation; </w:t>
      </w:r>
      <w:r>
        <w:rPr>
          <w:rFonts w:ascii="Times New Roman" w:cs="Times New Roman" w:eastAsia="Times New Roman" w:hAnsi="Times New Roman"/>
          <w:sz w:val="22"/>
          <w:szCs w:val="22"/>
          <w:i w:val="1"/>
          <w:iCs w:val="1"/>
          <w:color w:val="auto"/>
        </w:rPr>
        <w:t>except that</w:t>
      </w:r>
      <w:r>
        <w:rPr>
          <w:rFonts w:ascii="Times New Roman" w:cs="Times New Roman" w:eastAsia="Times New Roman" w:hAnsi="Times New Roman"/>
          <w:sz w:val="22"/>
          <w:szCs w:val="22"/>
          <w:color w:val="auto"/>
        </w:rPr>
        <w:t xml:space="preserve"> the Defending Party will have no obligation to reimburse the Non-Defending Party for any costs or expenses incurred if the Non-Defending Party exercises its right to participate in the defense and settlement of a Third-Party Infringement Claim with its own counsel. The Defending Party will keep the Non-Defending Party reasonably informed of the progress of any Third-Party Infringement Claim.</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b w:val="1"/>
          <w:bCs w:val="1"/>
          <w:u w:val="single" w:color="auto"/>
          <w:color w:val="auto"/>
        </w:rPr>
        <w:t>Enforcement of Patents Against Competitive Infringement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12.4.1 </w:t>
      </w:r>
      <w:r>
        <w:rPr>
          <w:rFonts w:ascii="Times New Roman" w:cs="Times New Roman" w:eastAsia="Times New Roman" w:hAnsi="Times New Roman"/>
          <w:sz w:val="22"/>
          <w:szCs w:val="22"/>
          <w:b w:val="1"/>
          <w:bCs w:val="1"/>
          <w:u w:val="single" w:color="auto"/>
          <w:color w:val="auto"/>
        </w:rPr>
        <w:t>Duty to Notify of Competitive Infringement</w:t>
      </w:r>
      <w:r>
        <w:rPr>
          <w:rFonts w:ascii="Times New Roman" w:cs="Times New Roman" w:eastAsia="Times New Roman" w:hAnsi="Times New Roman"/>
          <w:sz w:val="22"/>
          <w:szCs w:val="22"/>
          <w:color w:val="auto"/>
        </w:rPr>
        <w:t>. During the Term, if either Party learns of an infringement, unauthorized use, misappropriation or threatened infringement by a Third Party with respect to [***] (a “</w:t>
      </w:r>
      <w:r>
        <w:rPr>
          <w:rFonts w:ascii="Times New Roman" w:cs="Times New Roman" w:eastAsia="Times New Roman" w:hAnsi="Times New Roman"/>
          <w:sz w:val="22"/>
          <w:szCs w:val="22"/>
          <w:b w:val="1"/>
          <w:bCs w:val="1"/>
          <w:color w:val="auto"/>
        </w:rPr>
        <w:t>Competitive Infringement</w:t>
      </w:r>
      <w:r>
        <w:rPr>
          <w:rFonts w:ascii="Times New Roman" w:cs="Times New Roman" w:eastAsia="Times New Roman" w:hAnsi="Times New Roman"/>
          <w:sz w:val="22"/>
          <w:szCs w:val="22"/>
          <w:color w:val="auto"/>
        </w:rPr>
        <w:t>”), such</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83" w:name="page284"/>
    <w:bookmarkEnd w:id="283"/>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22"/>
          <w:szCs w:val="22"/>
          <w:color w:val="auto"/>
        </w:rPr>
        <w:t>Party will promptly notify the other Party in writing and will provide such other Party with available information regarding such Competitive Infringement.</w:t>
      </w:r>
    </w:p>
    <w:p>
      <w:pPr>
        <w:spacing w:after="0" w:line="158"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12.4.2 [***]. As between the Parties, Kymera will have the sole right, but not the obligation, to institute, prosecute and control any action or proceeding with respect to any infringement of any [***], by counsel of its own choice, in Kymera’s own name and under Kymera’s direction and control. For clarity, the enforcement of [***] are addressed in </w:t>
      </w:r>
      <w:r>
        <w:rPr>
          <w:rFonts w:ascii="Times New Roman" w:cs="Times New Roman" w:eastAsia="Times New Roman" w:hAnsi="Times New Roman"/>
          <w:sz w:val="22"/>
          <w:szCs w:val="22"/>
          <w:u w:val="single" w:color="auto"/>
          <w:color w:val="auto"/>
        </w:rPr>
        <w:t>Sections 12.4.5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12.5.1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12.4.3</w:t>
      </w:r>
      <w:r>
        <w:rPr>
          <w:sz w:val="20"/>
          <w:szCs w:val="20"/>
          <w:color w:val="auto"/>
        </w:rPr>
        <w:tab/>
      </w:r>
      <w:r>
        <w:rPr>
          <w:rFonts w:ascii="Times New Roman" w:cs="Times New Roman" w:eastAsia="Times New Roman" w:hAnsi="Times New Roman"/>
          <w:sz w:val="21"/>
          <w:szCs w:val="21"/>
          <w:color w:val="auto"/>
        </w:rPr>
        <w:t xml:space="preserve">[***]. For clarity, the provisions of this </w:t>
      </w:r>
      <w:r>
        <w:rPr>
          <w:rFonts w:ascii="Times New Roman" w:cs="Times New Roman" w:eastAsia="Times New Roman" w:hAnsi="Times New Roman"/>
          <w:sz w:val="21"/>
          <w:szCs w:val="21"/>
          <w:u w:val="single" w:color="auto"/>
          <w:color w:val="auto"/>
        </w:rPr>
        <w:t>Section 12.4.3</w:t>
      </w:r>
      <w:r>
        <w:rPr>
          <w:rFonts w:ascii="Times New Roman" w:cs="Times New Roman" w:eastAsia="Times New Roman" w:hAnsi="Times New Roman"/>
          <w:sz w:val="21"/>
          <w:szCs w:val="21"/>
          <w:color w:val="auto"/>
        </w:rPr>
        <w:t xml:space="preserve"> are applicable to [***].</w:t>
      </w:r>
    </w:p>
    <w:p>
      <w:pPr>
        <w:spacing w:after="0" w:line="202" w:lineRule="exact"/>
        <w:rPr>
          <w:sz w:val="20"/>
          <w:szCs w:val="20"/>
          <w:color w:val="auto"/>
        </w:rPr>
      </w:pPr>
    </w:p>
    <w:p>
      <w:pPr>
        <w:jc w:val="both"/>
        <w:ind w:firstLine="2254"/>
        <w:spacing w:after="0" w:line="245" w:lineRule="auto"/>
        <w:tabs>
          <w:tab w:leader="none" w:pos="2732"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Prior to Sanofi Participation Election Effective Date</w:t>
      </w:r>
      <w:r>
        <w:rPr>
          <w:rFonts w:ascii="Times New Roman" w:cs="Times New Roman" w:eastAsia="Times New Roman" w:hAnsi="Times New Roman"/>
          <w:sz w:val="21"/>
          <w:szCs w:val="21"/>
          <w:color w:val="auto"/>
        </w:rPr>
        <w:t>. As between the Parties, for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Competitive Infringement with respect to [***], [***] will have the first right, but not the obligation to institute, prosecute, and control a Proceeding to enforce any [***] against such Competitive Infringement by counsel of its own choice. [***] will have the right to engage counsel of its own choice in connection with such Proceeding at its own expense. [***] will provide [***] with prompt written notice of the commencement of any such Proceeding, and [***] will keep [***] apprised of the progress of such Proceeding and will reasonably consult with [***] with respect to such Proceeding. If [***] fails to initiate such Proceeding within a period of [***] after written notice of such Competitive Infringement is first provided by a Party under </w:t>
      </w:r>
      <w:r>
        <w:rPr>
          <w:rFonts w:ascii="Times New Roman" w:cs="Times New Roman" w:eastAsia="Times New Roman" w:hAnsi="Times New Roman"/>
          <w:sz w:val="21"/>
          <w:szCs w:val="21"/>
          <w:u w:val="single" w:color="auto"/>
          <w:color w:val="auto"/>
        </w:rPr>
        <w:t>Section 12.4.1</w:t>
      </w:r>
      <w:r>
        <w:rPr>
          <w:rFonts w:ascii="Times New Roman" w:cs="Times New Roman" w:eastAsia="Times New Roman" w:hAnsi="Times New Roman"/>
          <w:sz w:val="21"/>
          <w:szCs w:val="21"/>
          <w:color w:val="auto"/>
        </w:rPr>
        <w:t>,</w:t>
      </w:r>
    </w:p>
    <w:p>
      <w:pPr>
        <w:spacing w:after="0" w:line="3" w:lineRule="exact"/>
        <w:rPr>
          <w:rFonts w:ascii="Times New Roman" w:cs="Times New Roman" w:eastAsia="Times New Roman" w:hAnsi="Times New Roman"/>
          <w:sz w:val="21"/>
          <w:szCs w:val="21"/>
          <w:color w:val="auto"/>
        </w:rPr>
      </w:pPr>
    </w:p>
    <w:p>
      <w:pPr>
        <w:jc w:val="both"/>
        <w:ind w:firstLine="8"/>
        <w:spacing w:after="0" w:line="235" w:lineRule="auto"/>
        <w:tabs>
          <w:tab w:leader="none" w:pos="55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will have the right to initiate and control a Proceeding to enforce the [***] against such Competitive Infringement by counsel of its own choice, and [***] will have the right to be represented in any such action by counsel of its own choice at its own expense;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w:t>
      </w:r>
    </w:p>
    <w:p>
      <w:pPr>
        <w:spacing w:after="0" w:line="173" w:lineRule="exact"/>
        <w:rPr>
          <w:rFonts w:ascii="Times New Roman" w:cs="Times New Roman" w:eastAsia="Times New Roman" w:hAnsi="Times New Roman"/>
          <w:sz w:val="22"/>
          <w:szCs w:val="22"/>
          <w:color w:val="auto"/>
        </w:rPr>
      </w:pPr>
    </w:p>
    <w:p>
      <w:pPr>
        <w:jc w:val="both"/>
        <w:ind w:firstLine="2254"/>
        <w:spacing w:after="0" w:line="235" w:lineRule="auto"/>
        <w:tabs>
          <w:tab w:leader="none" w:pos="273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Following Sanofi Participation Election Effective Date</w:t>
      </w:r>
      <w:r>
        <w:rPr>
          <w:rFonts w:ascii="Times New Roman" w:cs="Times New Roman" w:eastAsia="Times New Roman" w:hAnsi="Times New Roman"/>
          <w:sz w:val="22"/>
          <w:szCs w:val="22"/>
          <w:color w:val="auto"/>
        </w:rPr>
        <w:t>. As between the Parties,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Competitive Infringement with respect to [***], [***] will have the first right, but not the obligation, to institute, prosecute, and control a Proceeding to enforce the [***] against such Competitive Infringement by counsel of its own choice at its own expense, and [***] will have the right, at its own expense, to be represented in that action by counsel of its own choice. If [***] fails to initiate such Proceeding within a period of [***] after written notice of such Competitive Infringement is first provided by a Party under </w:t>
      </w:r>
      <w:r>
        <w:rPr>
          <w:rFonts w:ascii="Times New Roman" w:cs="Times New Roman" w:eastAsia="Times New Roman" w:hAnsi="Times New Roman"/>
          <w:sz w:val="22"/>
          <w:szCs w:val="22"/>
          <w:u w:val="single" w:color="auto"/>
          <w:color w:val="auto"/>
        </w:rPr>
        <w:t>Section 12.4.1</w:t>
      </w:r>
      <w:r>
        <w:rPr>
          <w:rFonts w:ascii="Times New Roman" w:cs="Times New Roman" w:eastAsia="Times New Roman" w:hAnsi="Times New Roman"/>
          <w:sz w:val="22"/>
          <w:szCs w:val="22"/>
          <w:color w:val="auto"/>
        </w:rPr>
        <w:t xml:space="preserve">, [***] will have the right to initiate and control a Proceeding to enforce the [***] against such Competitive Infringement by counsel of its own choice, and [***] will have the right to be represented in any such action by counsel of its own choice at its own expense;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w:t>
      </w:r>
    </w:p>
    <w:p>
      <w:pPr>
        <w:spacing w:after="0" w:line="182"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12.4.4</w:t>
      </w:r>
      <w:r>
        <w:rPr>
          <w:sz w:val="20"/>
          <w:szCs w:val="20"/>
          <w:color w:val="auto"/>
        </w:rPr>
        <w:tab/>
      </w:r>
      <w:r>
        <w:rPr>
          <w:rFonts w:ascii="Times New Roman" w:cs="Times New Roman" w:eastAsia="Times New Roman" w:hAnsi="Times New Roman"/>
          <w:sz w:val="21"/>
          <w:szCs w:val="21"/>
          <w:color w:val="auto"/>
        </w:rPr>
        <w:t xml:space="preserve">[***]. For clarity, the provisions of this </w:t>
      </w:r>
      <w:r>
        <w:rPr>
          <w:rFonts w:ascii="Times New Roman" w:cs="Times New Roman" w:eastAsia="Times New Roman" w:hAnsi="Times New Roman"/>
          <w:sz w:val="21"/>
          <w:szCs w:val="21"/>
          <w:u w:val="single" w:color="auto"/>
          <w:color w:val="auto"/>
        </w:rPr>
        <w:t>Section 12.4.4</w:t>
      </w:r>
      <w:r>
        <w:rPr>
          <w:rFonts w:ascii="Times New Roman" w:cs="Times New Roman" w:eastAsia="Times New Roman" w:hAnsi="Times New Roman"/>
          <w:sz w:val="21"/>
          <w:szCs w:val="21"/>
          <w:color w:val="auto"/>
        </w:rPr>
        <w:t xml:space="preserve"> are applicable to [***].</w:t>
      </w:r>
    </w:p>
    <w:p>
      <w:pPr>
        <w:spacing w:after="0" w:line="202" w:lineRule="exact"/>
        <w:rPr>
          <w:sz w:val="20"/>
          <w:szCs w:val="20"/>
          <w:color w:val="auto"/>
        </w:rPr>
      </w:pPr>
    </w:p>
    <w:p>
      <w:pPr>
        <w:jc w:val="both"/>
        <w:ind w:firstLine="2254"/>
        <w:spacing w:after="0" w:line="237" w:lineRule="auto"/>
        <w:tabs>
          <w:tab w:leader="none" w:pos="273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Prior to Sanofi Participation Election Effective Date</w:t>
      </w:r>
      <w:r>
        <w:rPr>
          <w:rFonts w:ascii="Times New Roman" w:cs="Times New Roman" w:eastAsia="Times New Roman" w:hAnsi="Times New Roman"/>
          <w:sz w:val="22"/>
          <w:szCs w:val="22"/>
          <w:color w:val="auto"/>
        </w:rPr>
        <w:t>. As between the Parties,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Competitive Infringement with respect to [***], [***] will have the first right, but not the obligation to institute, prosecute, and control a Proceeding to enforce any [***] against such Competitive Infringement by counsel of its own choice. [***] will have the right to engage counsel of its own choice in connection with such Proceeding at its own expense. [***] will provide [***] with prompt written notice of the commencement of any such Proceeding, and [***] will keep [***] apprised of the progress of such Proceeding and will reasonably consult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84" w:name="page285"/>
    <w:bookmarkEnd w:id="284"/>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with [***] with respect to such Proceeding. If [***] fails to initiate such Proceeding within a period of [***] after written notice of such Competitive Infringement is first provided by a Party under </w:t>
      </w:r>
      <w:r>
        <w:rPr>
          <w:rFonts w:ascii="Times New Roman" w:cs="Times New Roman" w:eastAsia="Times New Roman" w:hAnsi="Times New Roman"/>
          <w:sz w:val="22"/>
          <w:szCs w:val="22"/>
          <w:u w:val="single" w:color="auto"/>
          <w:color w:val="auto"/>
        </w:rPr>
        <w:t>Section 12.4.1</w:t>
      </w:r>
      <w:r>
        <w:rPr>
          <w:rFonts w:ascii="Times New Roman" w:cs="Times New Roman" w:eastAsia="Times New Roman" w:hAnsi="Times New Roman"/>
          <w:sz w:val="22"/>
          <w:szCs w:val="22"/>
          <w:color w:val="auto"/>
        </w:rPr>
        <w:t xml:space="preserve">, [***] will have the right to initiate and control a Proceeding to enforce the [***] against such Competitive Infringement by counsel of its own choice, and [***] will have the right to be represented in any such action by counsel of its own choice at its own expense;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w:t>
      </w:r>
    </w:p>
    <w:p>
      <w:pPr>
        <w:spacing w:after="0" w:line="176" w:lineRule="exact"/>
        <w:rPr>
          <w:sz w:val="20"/>
          <w:szCs w:val="20"/>
          <w:color w:val="auto"/>
        </w:rPr>
      </w:pPr>
    </w:p>
    <w:p>
      <w:pPr>
        <w:jc w:val="both"/>
        <w:ind w:firstLine="2254"/>
        <w:spacing w:after="0" w:line="235" w:lineRule="auto"/>
        <w:tabs>
          <w:tab w:leader="none" w:pos="273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Following Sanofi Participation Election Effective Date</w:t>
      </w:r>
      <w:r>
        <w:rPr>
          <w:rFonts w:ascii="Times New Roman" w:cs="Times New Roman" w:eastAsia="Times New Roman" w:hAnsi="Times New Roman"/>
          <w:sz w:val="22"/>
          <w:szCs w:val="22"/>
          <w:color w:val="auto"/>
        </w:rPr>
        <w:t>. As between the Parties,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Competitive Infringement with respect to [***], [***] will have the first right, but not the obligation, to institute, prosecute, and control a Proceeding to enforce the [***] against such Competitive Infringement by counsel of its own choice at its own expense, and [***] will have the right, at its own expense, to be represented in that action by counsel of its own choice. If [***] fails to initiate such Proceeding within a period of [***] after written notice of such Competitive Infringement is first provided by a Party under </w:t>
      </w:r>
      <w:r>
        <w:rPr>
          <w:rFonts w:ascii="Times New Roman" w:cs="Times New Roman" w:eastAsia="Times New Roman" w:hAnsi="Times New Roman"/>
          <w:sz w:val="22"/>
          <w:szCs w:val="22"/>
          <w:u w:val="single" w:color="auto"/>
          <w:color w:val="auto"/>
        </w:rPr>
        <w:t>Section 12.4.1</w:t>
      </w:r>
      <w:r>
        <w:rPr>
          <w:rFonts w:ascii="Times New Roman" w:cs="Times New Roman" w:eastAsia="Times New Roman" w:hAnsi="Times New Roman"/>
          <w:sz w:val="22"/>
          <w:szCs w:val="22"/>
          <w:color w:val="auto"/>
        </w:rPr>
        <w:t xml:space="preserve">, [***] will have the right to initiate and control a Proceeding to enforce the [***] against such Competitive Infringement by counsel of its own choice, and [***] will have the right to be represented in any such action by counsel of its own choice at its own expense;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w:t>
      </w:r>
    </w:p>
    <w:p>
      <w:pPr>
        <w:spacing w:after="0" w:line="182" w:lineRule="exact"/>
        <w:rPr>
          <w:sz w:val="20"/>
          <w:szCs w:val="20"/>
          <w:color w:val="auto"/>
        </w:rPr>
      </w:pPr>
    </w:p>
    <w:p>
      <w:pPr>
        <w:jc w:val="both"/>
        <w:ind w:left="48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12.4.5 [***]. For clarity, the provisions of this </w:t>
      </w:r>
      <w:r>
        <w:rPr>
          <w:rFonts w:ascii="Times New Roman" w:cs="Times New Roman" w:eastAsia="Times New Roman" w:hAnsi="Times New Roman"/>
          <w:sz w:val="22"/>
          <w:szCs w:val="22"/>
          <w:u w:val="single" w:color="auto"/>
          <w:color w:val="auto"/>
        </w:rPr>
        <w:t>Section 12.4.5</w:t>
      </w:r>
      <w:r>
        <w:rPr>
          <w:rFonts w:ascii="Times New Roman" w:cs="Times New Roman" w:eastAsia="Times New Roman" w:hAnsi="Times New Roman"/>
          <w:sz w:val="22"/>
          <w:szCs w:val="22"/>
          <w:color w:val="auto"/>
        </w:rPr>
        <w:t xml:space="preserve"> are applicable to [***]. As between the Parties, for any Competitive Infringement with respect to a [***], [***] will have the first right, but not the obligation, to institute, prosecute, and control a Proceeding to enforce any [***] against such Competitive Infringement by counsel of its own choice at its own expense, and [***] will have the right, at its own expense, to be represented in that action by counsel of its own choice. If [***] fails to initiate such Proceeding within a period of [***] after written notice of such Competitive Infringement is first provided by a Party under </w:t>
      </w:r>
      <w:r>
        <w:rPr>
          <w:rFonts w:ascii="Times New Roman" w:cs="Times New Roman" w:eastAsia="Times New Roman" w:hAnsi="Times New Roman"/>
          <w:sz w:val="22"/>
          <w:szCs w:val="22"/>
          <w:u w:val="single" w:color="auto"/>
          <w:color w:val="auto"/>
        </w:rPr>
        <w:t>Section 12.4.1</w:t>
      </w:r>
      <w:r>
        <w:rPr>
          <w:rFonts w:ascii="Times New Roman" w:cs="Times New Roman" w:eastAsia="Times New Roman" w:hAnsi="Times New Roman"/>
          <w:sz w:val="22"/>
          <w:szCs w:val="22"/>
          <w:color w:val="auto"/>
        </w:rPr>
        <w:t xml:space="preserve">, [***] will have the right to initiate and control a Proceeding to enforce the [***] against such Competitive Infringement by counsel of its own choice, and [***] will have the right to be represented in any such action by counsel of its own choice at its own expense;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w:t>
      </w:r>
    </w:p>
    <w:p>
      <w:pPr>
        <w:spacing w:after="0" w:line="174"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12.4.6</w:t>
      </w:r>
      <w:r>
        <w:rPr>
          <w:sz w:val="20"/>
          <w:szCs w:val="20"/>
          <w:color w:val="auto"/>
        </w:rPr>
        <w:tab/>
      </w:r>
      <w:r>
        <w:rPr>
          <w:rFonts w:ascii="Times New Roman" w:cs="Times New Roman" w:eastAsia="Times New Roman" w:hAnsi="Times New Roman"/>
          <w:sz w:val="21"/>
          <w:szCs w:val="21"/>
          <w:b w:val="1"/>
          <w:bCs w:val="1"/>
          <w:u w:val="single" w:color="auto"/>
          <w:color w:val="auto"/>
        </w:rPr>
        <w:t>Joinder</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2254"/>
        <w:spacing w:after="0" w:line="239" w:lineRule="auto"/>
        <w:tabs>
          <w:tab w:leader="none" w:pos="267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Party initiates a Proceeding in accordance with this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the other Party agrees to be joined as a party plaintiff where necessary and to give the first Party reasonable assistance and authority to file and prosecute the Proceeding. Subject to </w:t>
      </w:r>
      <w:r>
        <w:rPr>
          <w:rFonts w:ascii="Times New Roman" w:cs="Times New Roman" w:eastAsia="Times New Roman" w:hAnsi="Times New Roman"/>
          <w:sz w:val="22"/>
          <w:szCs w:val="22"/>
          <w:u w:val="single" w:color="auto"/>
          <w:color w:val="auto"/>
        </w:rPr>
        <w:t>Sections 12.4.7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12.4.8</w:t>
      </w:r>
      <w:r>
        <w:rPr>
          <w:rFonts w:ascii="Times New Roman" w:cs="Times New Roman" w:eastAsia="Times New Roman" w:hAnsi="Times New Roman"/>
          <w:sz w:val="22"/>
          <w:szCs w:val="22"/>
          <w:color w:val="auto"/>
        </w:rPr>
        <w:t xml:space="preserve">, the costs and expenses of each Party incurred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12.4.6(a)</w:t>
      </w:r>
      <w:r>
        <w:rPr>
          <w:rFonts w:ascii="Times New Roman" w:cs="Times New Roman" w:eastAsia="Times New Roman" w:hAnsi="Times New Roman"/>
          <w:sz w:val="22"/>
          <w:szCs w:val="22"/>
          <w:color w:val="auto"/>
        </w:rPr>
        <w:t xml:space="preserve"> will be borne by the Party initiating such Proceeding.</w:t>
      </w:r>
    </w:p>
    <w:p>
      <w:pPr>
        <w:spacing w:after="0" w:line="180"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one Party initiates a Proceeding in accordance with this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the other Party may join such Proceeding as a party plaintiff where necessary for such other Party to seek lost profits with respect to such infringement.</w:t>
      </w:r>
    </w:p>
    <w:p>
      <w:pPr>
        <w:spacing w:after="0" w:line="154" w:lineRule="exact"/>
        <w:rPr>
          <w:sz w:val="20"/>
          <w:szCs w:val="20"/>
          <w:color w:val="auto"/>
        </w:rPr>
      </w:pPr>
    </w:p>
    <w:p>
      <w:pPr>
        <w:jc w:val="both"/>
        <w:ind w:left="48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12.4.7 </w:t>
      </w:r>
      <w:r>
        <w:rPr>
          <w:rFonts w:ascii="Times New Roman" w:cs="Times New Roman" w:eastAsia="Times New Roman" w:hAnsi="Times New Roman"/>
          <w:sz w:val="22"/>
          <w:szCs w:val="22"/>
          <w:b w:val="1"/>
          <w:bCs w:val="1"/>
          <w:u w:val="single" w:color="auto"/>
          <w:color w:val="auto"/>
        </w:rPr>
        <w:t>Share of Recoveries Prior to Sanofi Participation Election Effective Date</w:t>
      </w:r>
      <w:r>
        <w:rPr>
          <w:rFonts w:ascii="Times New Roman" w:cs="Times New Roman" w:eastAsia="Times New Roman" w:hAnsi="Times New Roman"/>
          <w:sz w:val="22"/>
          <w:szCs w:val="22"/>
          <w:color w:val="auto"/>
        </w:rPr>
        <w:t xml:space="preserve">. Any damages or other monetary awards recovered, prior to Sanofi’s exercise of the applicable Sanofi Participation Election Right, with respect to a Proceeding brought pursuant to this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will be shared as follows: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left="2600" w:hanging="426"/>
        <w:spacing w:after="0"/>
        <w:tabs>
          <w:tab w:leader="none" w:pos="26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then</w:t>
      </w:r>
    </w:p>
    <w:p>
      <w:pPr>
        <w:spacing w:after="0" w:line="206" w:lineRule="exact"/>
        <w:rPr>
          <w:rFonts w:ascii="Times New Roman" w:cs="Times New Roman" w:eastAsia="Times New Roman" w:hAnsi="Times New Roman"/>
          <w:sz w:val="22"/>
          <w:szCs w:val="22"/>
          <w:color w:val="auto"/>
        </w:rPr>
      </w:pPr>
    </w:p>
    <w:p>
      <w:pPr>
        <w:ind w:left="2600" w:hanging="426"/>
        <w:spacing w:after="0"/>
        <w:tabs>
          <w:tab w:leader="none" w:pos="26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40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12.4.8 </w:t>
      </w:r>
      <w:r>
        <w:rPr>
          <w:rFonts w:ascii="Times New Roman" w:cs="Times New Roman" w:eastAsia="Times New Roman" w:hAnsi="Times New Roman"/>
          <w:sz w:val="22"/>
          <w:szCs w:val="22"/>
          <w:b w:val="1"/>
          <w:bCs w:val="1"/>
          <w:u w:val="single" w:color="auto"/>
          <w:color w:val="auto"/>
        </w:rPr>
        <w:t>Share of Recoveries Following Sanofi Participation Election Effective Date</w:t>
      </w:r>
      <w:r>
        <w:rPr>
          <w:rFonts w:ascii="Times New Roman" w:cs="Times New Roman" w:eastAsia="Times New Roman" w:hAnsi="Times New Roman"/>
          <w:sz w:val="22"/>
          <w:szCs w:val="22"/>
          <w:color w:val="auto"/>
        </w:rPr>
        <w:t xml:space="preserve">. Any damages or other monetary awards recovered, following Sanofi’s exercise of the applicable Sanofi Participation Election Right, with respect to a Proceeding brought pursuant to this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will be shared as follows:</w:t>
      </w:r>
    </w:p>
    <w:p>
      <w:pPr>
        <w:spacing w:after="0" w:line="171" w:lineRule="exact"/>
        <w:rPr>
          <w:sz w:val="20"/>
          <w:szCs w:val="20"/>
          <w:color w:val="auto"/>
        </w:rPr>
      </w:pPr>
    </w:p>
    <w:p>
      <w:pPr>
        <w:ind w:left="2600" w:hanging="426"/>
        <w:spacing w:after="0"/>
        <w:tabs>
          <w:tab w:leader="none" w:pos="26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then</w:t>
      </w:r>
    </w:p>
    <w:p>
      <w:pPr>
        <w:spacing w:after="0" w:line="206" w:lineRule="exact"/>
        <w:rPr>
          <w:rFonts w:ascii="Times New Roman" w:cs="Times New Roman" w:eastAsia="Times New Roman" w:hAnsi="Times New Roman"/>
          <w:sz w:val="22"/>
          <w:szCs w:val="22"/>
          <w:color w:val="auto"/>
        </w:rPr>
      </w:pPr>
    </w:p>
    <w:p>
      <w:pPr>
        <w:ind w:left="2600" w:hanging="426"/>
        <w:spacing w:after="0"/>
        <w:tabs>
          <w:tab w:leader="none" w:pos="26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left="2600" w:hanging="426"/>
        <w:spacing w:after="0"/>
        <w:tabs>
          <w:tab w:leader="none" w:pos="26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40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12.4.9 </w:t>
      </w: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 xml:space="preserve">. Notwithstanding anything to the contrary under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neither Party may enter a settlement, consent judgment or other voluntary final disposition of a suit under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that disclaims, limits the scope of, admits the invalidity or unenforceability of, or grants a license, covenant not to sue or similar immunity under, or take any other action in a manner that materially diminishes the rights or interest of a Patent Controlled by the other Party or its Affiliates (including take any action that would reasonably be expected to materially adversely affect the scope, term, validity or enforceability of any claim of [***]) without first obtaining the written consent of the Party that owns or controls the relevant Patent, such consent not to be unreasonably withheld, delayed or conditioned;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the foregoing restriction will not apply with respect to any Sublicense granted by Sanofi.</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b w:val="1"/>
          <w:bCs w:val="1"/>
          <w:u w:val="single" w:color="auto"/>
          <w:color w:val="auto"/>
        </w:rPr>
        <w:t>Other Infringement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12.5.1 [***]. With respect to the infringement of a [***] that is not a Competitive Infringement, [***]. Any damages or other monetary awards recovered with respect to a Proceeding brought pursuant to this </w:t>
      </w:r>
      <w:r>
        <w:rPr>
          <w:rFonts w:ascii="Times New Roman" w:cs="Times New Roman" w:eastAsia="Times New Roman" w:hAnsi="Times New Roman"/>
          <w:sz w:val="22"/>
          <w:szCs w:val="22"/>
          <w:u w:val="single" w:color="auto"/>
          <w:color w:val="auto"/>
        </w:rPr>
        <w:t>Section 12.5.1</w:t>
      </w:r>
      <w:r>
        <w:rPr>
          <w:rFonts w:ascii="Times New Roman" w:cs="Times New Roman" w:eastAsia="Times New Roman" w:hAnsi="Times New Roman"/>
          <w:sz w:val="22"/>
          <w:szCs w:val="22"/>
          <w:color w:val="auto"/>
        </w:rPr>
        <w:t xml:space="preserve"> will be shared as follows: [***].</w:t>
      </w:r>
    </w:p>
    <w:p>
      <w:pPr>
        <w:spacing w:after="0" w:line="173" w:lineRule="exact"/>
        <w:rPr>
          <w:sz w:val="20"/>
          <w:szCs w:val="20"/>
          <w:color w:val="auto"/>
        </w:rPr>
      </w:pPr>
    </w:p>
    <w:p>
      <w:pPr>
        <w:ind w:left="400" w:right="6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12.5.2 [***]. Kymera will retain all rights to pursue an infringement of any [***] that is not a Competitive Infringement and Kymera will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t>
      </w:r>
    </w:p>
    <w:p>
      <w:pPr>
        <w:spacing w:after="0" w:line="158" w:lineRule="exact"/>
        <w:rPr>
          <w:sz w:val="20"/>
          <w:szCs w:val="20"/>
          <w:color w:val="auto"/>
        </w:rPr>
      </w:pPr>
    </w:p>
    <w:p>
      <w:pPr>
        <w:ind w:left="1900"/>
        <w:spacing w:after="0"/>
        <w:tabs>
          <w:tab w:leader="none" w:pos="2740" w:val="left"/>
        </w:tabs>
        <w:rPr>
          <w:sz w:val="20"/>
          <w:szCs w:val="20"/>
          <w:color w:val="auto"/>
        </w:rPr>
      </w:pPr>
      <w:r>
        <w:rPr>
          <w:rFonts w:ascii="Times New Roman" w:cs="Times New Roman" w:eastAsia="Times New Roman" w:hAnsi="Times New Roman"/>
          <w:sz w:val="22"/>
          <w:szCs w:val="22"/>
          <w:color w:val="auto"/>
        </w:rPr>
        <w:t>12.5.3</w:t>
      </w:r>
      <w:r>
        <w:rPr>
          <w:sz w:val="20"/>
          <w:szCs w:val="20"/>
          <w:color w:val="auto"/>
        </w:rPr>
        <w:tab/>
      </w:r>
      <w:r>
        <w:rPr>
          <w:rFonts w:ascii="Times New Roman" w:cs="Times New Roman" w:eastAsia="Times New Roman" w:hAnsi="Times New Roman"/>
          <w:sz w:val="21"/>
          <w:szCs w:val="21"/>
          <w:color w:val="auto"/>
        </w:rPr>
        <w:t>[***]. Sanofi will retain all rights to pursue an infringement of [***] and Sanofi will [***].</w:t>
      </w:r>
    </w:p>
    <w:p>
      <w:pPr>
        <w:spacing w:after="0" w:line="2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b w:val="1"/>
          <w:bCs w:val="1"/>
          <w:u w:val="single" w:color="auto"/>
          <w:color w:val="auto"/>
        </w:rPr>
        <w:t>Patent Listing</w:t>
      </w:r>
      <w:r>
        <w:rPr>
          <w:rFonts w:ascii="Times New Roman" w:cs="Times New Roman" w:eastAsia="Times New Roman" w:hAnsi="Times New Roman"/>
          <w:sz w:val="22"/>
          <w:szCs w:val="22"/>
          <w:color w:val="auto"/>
        </w:rPr>
        <w:t>. Following the Sanofi Participation Election Effective Date (if any) for a Collaboration Target, Sanofi will have the sole right, but not the obligation, to submit to all applicable Regulatory Authorities patent information pertaining to each applicable Licensed Product pursuant to 21 U.S.C. § 355(b)(1)(G), any similar statutory or regulatory requirement enacted in the future, or any similar statutory or regulatory requirement in any non-U.S. country or other regulatory jurisdiction.</w:t>
      </w:r>
    </w:p>
    <w:p>
      <w:pPr>
        <w:spacing w:after="0" w:line="200" w:lineRule="exact"/>
        <w:rPr>
          <w:sz w:val="20"/>
          <w:szCs w:val="20"/>
          <w:color w:val="auto"/>
        </w:rPr>
      </w:pPr>
    </w:p>
    <w:p>
      <w:pPr>
        <w:spacing w:after="0" w:line="3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12.7 </w:t>
      </w:r>
      <w:r>
        <w:rPr>
          <w:rFonts w:ascii="Times New Roman" w:cs="Times New Roman" w:eastAsia="Times New Roman" w:hAnsi="Times New Roman"/>
          <w:sz w:val="22"/>
          <w:szCs w:val="22"/>
          <w:b w:val="1"/>
          <w:bCs w:val="1"/>
          <w:u w:val="single" w:color="auto"/>
          <w:color w:val="auto"/>
        </w:rPr>
        <w:t>Common Interest</w:t>
      </w:r>
      <w:r>
        <w:rPr>
          <w:rFonts w:ascii="Times New Roman" w:cs="Times New Roman" w:eastAsia="Times New Roman" w:hAnsi="Times New Roman"/>
          <w:sz w:val="22"/>
          <w:szCs w:val="22"/>
          <w:color w:val="auto"/>
        </w:rPr>
        <w:t xml:space="preserve">. All information exchanged between the Parties’ representatives regarding the Prosecution and Maintenance, or enforcement of Patents under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will be deemed Confidential Information. In addition, the Parties acknowledge and agree that, with regard to such Prosecution and Maintenance, and enforcement of the Patents under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the interests of the Parties as collaborators and licensor and licensee are to obtain the strongest patent protection possible, and as such, are aligned and are legal in nature. The Parties agree and acknowledge that they have not waived, and nothing in this Agreement constitutes a waiver of, any legal privilege concerning the Patents under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including privilege under the common interest doctrine and similar or related doctrines.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 xml:space="preserve">12.8 </w:t>
      </w:r>
      <w:r>
        <w:rPr>
          <w:rFonts w:ascii="Times New Roman" w:cs="Times New Roman" w:eastAsia="Times New Roman" w:hAnsi="Times New Roman"/>
          <w:sz w:val="21"/>
          <w:szCs w:val="21"/>
          <w:b w:val="1"/>
          <w:bCs w:val="1"/>
          <w:u w:val="single" w:color="auto"/>
          <w:color w:val="auto"/>
        </w:rPr>
        <w:t>Joint Research Agreements</w:t>
      </w:r>
      <w:r>
        <w:rPr>
          <w:rFonts w:ascii="Times New Roman" w:cs="Times New Roman" w:eastAsia="Times New Roman" w:hAnsi="Times New Roman"/>
          <w:sz w:val="21"/>
          <w:szCs w:val="21"/>
          <w:color w:val="auto"/>
        </w:rPr>
        <w:t>. The Parties intend that this Agreement is and will be understood to be a “joint research agreement” (as that term is defined in 35 U.S.C. § 100(h) and used in 35 U.S.C. § 102(c)), entered into for the purposes of researching, identifying and Developing Collaboration Compounds, Collaboration Candidates and Licensed Products. The Parties will coordinate their activities with respect to any submissions, filings or other activities in support thereof.</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12.9 </w:t>
      </w:r>
      <w:r>
        <w:rPr>
          <w:rFonts w:ascii="Times New Roman" w:cs="Times New Roman" w:eastAsia="Times New Roman" w:hAnsi="Times New Roman"/>
          <w:sz w:val="22"/>
          <w:szCs w:val="22"/>
          <w:b w:val="1"/>
          <w:bCs w:val="1"/>
          <w:u w:val="single" w:color="auto"/>
          <w:color w:val="auto"/>
        </w:rPr>
        <w:t>Patent Term Extension</w:t>
      </w:r>
      <w:r>
        <w:rPr>
          <w:rFonts w:ascii="Times New Roman" w:cs="Times New Roman" w:eastAsia="Times New Roman" w:hAnsi="Times New Roman"/>
          <w:sz w:val="22"/>
          <w:szCs w:val="22"/>
          <w:color w:val="auto"/>
        </w:rPr>
        <w:t>. On a Collaboration Target-by-Collaboration Target basis, following the Sanofi Participation Election Effective Date (if any) with respect to such Collaboration Target and solely with respect to [***], as between the Parties, Sanofi will be solely responsible for obtaining patent term restoration in any country in the Territory under any statute or regulation equivalent or similar to 35 U.S.C. § 156, where applicable to a Licensed Product Directed Against the applicable Collaboration Target. In exercising the foregoing responsibility with respect to a Collaboration Target following the Sanofi Participation Election Effective Date (if any) with respect to such Collaboration Target, Sanofi will determine which relevant [***] will be extended (including, by filing supplementary protection certificates and any other extensions that are now or in the future become available). Kymera will abide by Sanofi’s determination and cooperate, as reasonably requested by Sanofi, in connection with the foregoing (including by providing appropriate information and executing appropriate documents), at Sanofi’s cost.</w:t>
      </w:r>
    </w:p>
    <w:p>
      <w:pPr>
        <w:spacing w:after="0" w:line="17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12.10 </w:t>
      </w:r>
      <w:r>
        <w:rPr>
          <w:rFonts w:ascii="Times New Roman" w:cs="Times New Roman" w:eastAsia="Times New Roman" w:hAnsi="Times New Roman"/>
          <w:sz w:val="22"/>
          <w:szCs w:val="22"/>
          <w:b w:val="1"/>
          <w:bCs w:val="1"/>
          <w:u w:val="single" w:color="auto"/>
          <w:color w:val="auto"/>
        </w:rPr>
        <w:t>Recording</w:t>
      </w:r>
      <w:r>
        <w:rPr>
          <w:rFonts w:ascii="Times New Roman" w:cs="Times New Roman" w:eastAsia="Times New Roman" w:hAnsi="Times New Roman"/>
          <w:sz w:val="22"/>
          <w:szCs w:val="22"/>
          <w:color w:val="auto"/>
        </w:rPr>
        <w:t xml:space="preserve">. If Sanofi deems it necessary or desirable to register or record this Agreement or evidence of this Agreement with any patent office or other appropriate Governmental Authority in one or more jurisdictions in the Territory, Kymera will reasonably cooperate to execute and deliver to Sanofi any documents accurately reflecting or evidencing this Agreement that are necessary or desirable, in Sanofi’s reasonable judgment, to complete such registration or recordation. Sanofi will reimburse Kymera for all reasonable Out-of-Pocket Costs, including attorneys’ fees, incurred by Kymera in complying with the provisions of this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12.11 </w:t>
      </w:r>
      <w:r>
        <w:rPr>
          <w:rFonts w:ascii="Times New Roman" w:cs="Times New Roman" w:eastAsia="Times New Roman" w:hAnsi="Times New Roman"/>
          <w:sz w:val="22"/>
          <w:szCs w:val="22"/>
          <w:b w:val="1"/>
          <w:bCs w:val="1"/>
          <w:u w:val="single" w:color="auto"/>
          <w:color w:val="auto"/>
        </w:rPr>
        <w:t>Unitary Patent System</w:t>
      </w:r>
      <w:r>
        <w:rPr>
          <w:rFonts w:ascii="Times New Roman" w:cs="Times New Roman" w:eastAsia="Times New Roman" w:hAnsi="Times New Roman"/>
          <w:sz w:val="22"/>
          <w:szCs w:val="22"/>
          <w:color w:val="auto"/>
        </w:rPr>
        <w:t>. Sanofi will have the exclusive right to opt-in or opt-out of the EU Unitary Patent System for [***]. For clarity, “to opt-in or opt-out” refers to both the right to have or not have a European patent application or an issued European patent registered to have unitary effect within the meaning of Regulation (EU) No 1257/2012 of December 17, 2012 as well as the Agreement on a Unified Patent Court as of February 19, 2013; and to the right to opt-in or opt-out from the exclusive competence of the Unified Patent Court in accordance with Article 83 (3) of that Agreement on a Unified Patent Court. Without limiting the generality of</w:t>
      </w:r>
    </w:p>
    <w:p>
      <w:pPr>
        <w:spacing w:after="0" w:line="200" w:lineRule="exact"/>
        <w:rPr>
          <w:sz w:val="20"/>
          <w:szCs w:val="20"/>
          <w:color w:val="auto"/>
        </w:rPr>
      </w:pPr>
    </w:p>
    <w:p>
      <w:pPr>
        <w:spacing w:after="0" w:line="3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unless a Party or its Affiliate has expressly opted into the EU Unitary Patent System with respect to a given Patent, the other Party will not initiate any action under the EU Unitary Patent System without such Party’s prior written approval, such approval to be granted or withheld in such Party’s sole discretion.</w:t>
      </w:r>
    </w:p>
    <w:p>
      <w:pPr>
        <w:spacing w:after="0" w:line="1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12.12 </w:t>
      </w:r>
      <w:r>
        <w:rPr>
          <w:rFonts w:ascii="Times New Roman" w:cs="Times New Roman" w:eastAsia="Times New Roman" w:hAnsi="Times New Roman"/>
          <w:sz w:val="22"/>
          <w:szCs w:val="22"/>
          <w:b w:val="1"/>
          <w:bCs w:val="1"/>
          <w:u w:val="single" w:color="auto"/>
          <w:color w:val="auto"/>
        </w:rPr>
        <w:t>Trademarks</w:t>
      </w:r>
      <w:r>
        <w:rPr>
          <w:rFonts w:ascii="Times New Roman" w:cs="Times New Roman" w:eastAsia="Times New Roman" w:hAnsi="Times New Roman"/>
          <w:sz w:val="22"/>
          <w:szCs w:val="22"/>
          <w:color w:val="auto"/>
        </w:rPr>
        <w:t>. Following the Sanofi Participation Election Effective Date (if any) with respect to a Collaboration Target, Sanofi will have the sole and exclusive right, but not the obligation, to brand and promote the Licensed Products using trademarks, designs, copyrights, domain names, trade dress and trade names it determines appropriate in its sole discretion for the Licensed Products, which may vary within the Territory (each, a “</w:t>
      </w:r>
      <w:r>
        <w:rPr>
          <w:rFonts w:ascii="Times New Roman" w:cs="Times New Roman" w:eastAsia="Times New Roman" w:hAnsi="Times New Roman"/>
          <w:sz w:val="22"/>
          <w:szCs w:val="22"/>
          <w:b w:val="1"/>
          <w:bCs w:val="1"/>
          <w:color w:val="auto"/>
        </w:rPr>
        <w:t>Licensed Product Mark</w:t>
      </w:r>
      <w:r>
        <w:rPr>
          <w:rFonts w:ascii="Times New Roman" w:cs="Times New Roman" w:eastAsia="Times New Roman" w:hAnsi="Times New Roman"/>
          <w:sz w:val="22"/>
          <w:szCs w:val="22"/>
          <w:color w:val="auto"/>
        </w:rPr>
        <w:t>”). Sanofi will own all rights, title and interests in and to the Licensed Product Marks, and all goodwill in the Licensed Product Marks will inure to the benefit of Sanofi. Sanofi will have the sole and exclusive right and responsibility to register, maintain, defend and enforce the Licensed Product Marks to the extent it determines reasonably necessary. Except as otherwise agreed in writing by both Parties, Sanofi does not grant to Kymera, by implication, estoppel or otherwise, any license to any Licensed Product Mark. For the avoidance of doubt, trademarks, designs, trade dress and trade names evaluated for use as Licensed Products but not actually used in the Commercialization of a Licensed Product will not be a Licensed Product Mark and will remain property of Sanofi after termination or expiration of this Agreement. In any event, any trademarks, service marks, names or logos that include any corporate name or logo of the Parties or their Affiliates will not be a Licensed Product Mark and will remain the property of each respective Party.</w:t>
      </w:r>
    </w:p>
    <w:p>
      <w:pPr>
        <w:spacing w:after="0" w:line="18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12.13</w:t>
      </w:r>
      <w:r>
        <w:rPr>
          <w:sz w:val="20"/>
          <w:szCs w:val="20"/>
          <w:color w:val="auto"/>
        </w:rPr>
        <w:tab/>
      </w:r>
      <w:r>
        <w:rPr>
          <w:rFonts w:ascii="Times New Roman" w:cs="Times New Roman" w:eastAsia="Times New Roman" w:hAnsi="Times New Roman"/>
          <w:sz w:val="21"/>
          <w:szCs w:val="21"/>
          <w:b w:val="1"/>
          <w:bCs w:val="1"/>
          <w:u w:val="single" w:color="auto"/>
          <w:color w:val="auto"/>
        </w:rPr>
        <w:t>Falsified Medicines</w:t>
      </w:r>
      <w:r>
        <w:rPr>
          <w:rFonts w:ascii="Times New Roman" w:cs="Times New Roman" w:eastAsia="Times New Roman" w:hAnsi="Times New Roman"/>
          <w:sz w:val="21"/>
          <w:szCs w:val="21"/>
          <w:color w:val="auto"/>
        </w:rPr>
        <w:t>. Without limiting either Party’s rights or obligations under this</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u w:val="single" w:color="auto"/>
          <w:color w:val="auto"/>
        </w:rPr>
        <w:t>Section 12.13</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400" w:firstLine="1497"/>
        <w:spacing w:after="0" w:line="239" w:lineRule="auto"/>
        <w:rPr>
          <w:sz w:val="20"/>
          <w:szCs w:val="20"/>
          <w:color w:val="auto"/>
        </w:rPr>
      </w:pPr>
      <w:r>
        <w:rPr>
          <w:rFonts w:ascii="Times New Roman" w:cs="Times New Roman" w:eastAsia="Times New Roman" w:hAnsi="Times New Roman"/>
          <w:sz w:val="22"/>
          <w:szCs w:val="22"/>
          <w:color w:val="auto"/>
        </w:rPr>
        <w:t>12.13.1 Each Party will promptly notify the other Party in writing if it becomes aware of any Third Party’s manufacturing, sale, offer for sale, distribution or contribution to the manufacturing, shipment or commercialization of a medical product purporting to be a Licensed Product which deliberately or fraudulently misrepresents its identity, composition or source (“</w:t>
      </w:r>
      <w:r>
        <w:rPr>
          <w:rFonts w:ascii="Times New Roman" w:cs="Times New Roman" w:eastAsia="Times New Roman" w:hAnsi="Times New Roman"/>
          <w:sz w:val="22"/>
          <w:szCs w:val="22"/>
          <w:b w:val="1"/>
          <w:bCs w:val="1"/>
          <w:color w:val="auto"/>
        </w:rPr>
        <w:t>Falsified Medicine</w:t>
      </w:r>
      <w:r>
        <w:rPr>
          <w:rFonts w:ascii="Times New Roman" w:cs="Times New Roman" w:eastAsia="Times New Roman" w:hAnsi="Times New Roman"/>
          <w:sz w:val="22"/>
          <w:szCs w:val="22"/>
          <w:color w:val="auto"/>
        </w:rPr>
        <w:t>”); and</w:t>
      </w:r>
    </w:p>
    <w:p>
      <w:pPr>
        <w:spacing w:after="0" w:line="180" w:lineRule="exact"/>
        <w:rPr>
          <w:sz w:val="20"/>
          <w:szCs w:val="20"/>
          <w:color w:val="auto"/>
        </w:rPr>
      </w:pPr>
    </w:p>
    <w:p>
      <w:pPr>
        <w:jc w:val="both"/>
        <w:ind w:left="400" w:firstLine="1497"/>
        <w:spacing w:after="0" w:line="249" w:lineRule="auto"/>
        <w:rPr>
          <w:sz w:val="20"/>
          <w:szCs w:val="20"/>
          <w:color w:val="auto"/>
        </w:rPr>
      </w:pPr>
      <w:r>
        <w:rPr>
          <w:rFonts w:ascii="Times New Roman" w:cs="Times New Roman" w:eastAsia="Times New Roman" w:hAnsi="Times New Roman"/>
          <w:sz w:val="21"/>
          <w:szCs w:val="21"/>
          <w:color w:val="auto"/>
        </w:rPr>
        <w:t>12.13.2 Sanofi will have the sole and exclusive right, but not the obligation, to lead any detection program, investigation or collaboration with any Governmental Authority and the sole and exclusive right, but not the obligation, to file or threaten to file a claim or lawsuit to enforce any rights against any Third Party manufacturing, selling, offering for sale or distributing Falsified Medicines or contributing to any of these actions. If requested by Sanofi, Kymera will reasonably cooperate with Sanofi with respect to any suspected Falsified Medicines to provide complementary information related to the applicable Licensed Product when necessary or requested by any Governmental Authority.</w:t>
      </w:r>
    </w:p>
    <w:p>
      <w:pPr>
        <w:spacing w:after="0" w:line="16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78"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u w:val="single" w:color="auto"/>
          <w:color w:val="auto"/>
        </w:rPr>
        <w:t>Representations and Warranties of Sanofi</w:t>
      </w:r>
      <w:r>
        <w:rPr>
          <w:rFonts w:ascii="Times New Roman" w:cs="Times New Roman" w:eastAsia="Times New Roman" w:hAnsi="Times New Roman"/>
          <w:sz w:val="22"/>
          <w:szCs w:val="22"/>
          <w:color w:val="auto"/>
        </w:rPr>
        <w:t>. Sanofi hereby represents and warrants to Kymera, as of the Original Agreement Execution Date and the Restatement Execution Date, that:</w:t>
      </w:r>
    </w:p>
    <w:p>
      <w:pPr>
        <w:spacing w:after="0" w:line="200" w:lineRule="exact"/>
        <w:rPr>
          <w:sz w:val="20"/>
          <w:szCs w:val="20"/>
          <w:color w:val="auto"/>
        </w:rPr>
      </w:pPr>
    </w:p>
    <w:p>
      <w:pPr>
        <w:spacing w:after="0" w:line="3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288" w:name="page289"/>
    <w:bookmarkEnd w:id="288"/>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firstLine="2254"/>
        <w:spacing w:after="0" w:line="258" w:lineRule="auto"/>
        <w:tabs>
          <w:tab w:leader="none" w:pos="267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is duly organized, validly existing and in good standing under the laws of the jurisdiction of its incorporation or organization;</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(i) has the requisite power and authority and the legal right to enter into this Agreement and to perform its obligations hereunder and (ii) has taken all requisite action on its part to authorize the execution and delivery of this Agreement and the performance of its obligations hereunder;</w:t>
      </w:r>
    </w:p>
    <w:p>
      <w:pPr>
        <w:spacing w:after="0" w:line="17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executed and delivered on behalf of Sanofi, and constitutes a legal, valid and binding obligation, enforceable against Sanofi in accordance with the terms hereof, except to the extent that enforcement of the rights and remedies created hereby is subject to (i) bankruptcy, insolvency, reorganization, moratorium and other similar laws of general application affecting the rights and remedies of creditors, or (ii) laws governing specific performance, injunctive relief and other equitable remedies;</w:t>
      </w:r>
    </w:p>
    <w:p>
      <w:pPr>
        <w:spacing w:after="0" w:line="176" w:lineRule="exact"/>
        <w:rPr>
          <w:rFonts w:ascii="Times New Roman" w:cs="Times New Roman" w:eastAsia="Times New Roman" w:hAnsi="Times New Roman"/>
          <w:sz w:val="22"/>
          <w:szCs w:val="22"/>
          <w:color w:val="auto"/>
        </w:rPr>
      </w:pPr>
    </w:p>
    <w:p>
      <w:pPr>
        <w:jc w:val="both"/>
        <w:ind w:firstLine="2254"/>
        <w:spacing w:after="0" w:line="261" w:lineRule="auto"/>
        <w:tabs>
          <w:tab w:leader="none" w:pos="2678"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Agreement by Sanofi will not constitute a default under or conflict with any agreement, instrument or understanding, oral or written, to which it is a party or by which it is bound, or violate any Applicable Law of any governmental body or administrative or other agency having jurisdiction over Sanofi;</w:t>
      </w:r>
    </w:p>
    <w:p>
      <w:pPr>
        <w:spacing w:after="0" w:line="157" w:lineRule="exact"/>
        <w:rPr>
          <w:rFonts w:ascii="Times New Roman" w:cs="Times New Roman" w:eastAsia="Times New Roman" w:hAnsi="Times New Roman"/>
          <w:sz w:val="21"/>
          <w:szCs w:val="21"/>
          <w:color w:val="auto"/>
        </w:rPr>
      </w:pPr>
    </w:p>
    <w:p>
      <w:pPr>
        <w:jc w:val="both"/>
        <w:ind w:firstLine="2254"/>
        <w:spacing w:after="0" w:line="244" w:lineRule="auto"/>
        <w:tabs>
          <w:tab w:leader="none" w:pos="267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has obtained all necessary consents, approvals and authorizations of all Governmental Authorities and other Persons or entities required to be obtained by it as of the Original Agreement Execution Date in connection with the execution and delivery of this Agreement; and</w:t>
      </w:r>
    </w:p>
    <w:p>
      <w:pPr>
        <w:spacing w:after="0" w:line="17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has not employed (and, to the best of its knowledge, has not used a contractor or consultant that has employed) any Person debarred by the FDA (or subject to a similar sanction of EMA or foreign equivalent), or any Person that is the subject of an FDA debarment investigation or proceeding (or similar proceeding of EMA or foreign equivalent), in any capacity in connection with this Agreement.</w:t>
      </w:r>
    </w:p>
    <w:p>
      <w:pPr>
        <w:spacing w:after="0" w:line="176" w:lineRule="exact"/>
        <w:rPr>
          <w:sz w:val="20"/>
          <w:szCs w:val="20"/>
          <w:color w:val="auto"/>
        </w:rPr>
      </w:pPr>
    </w:p>
    <w:p>
      <w:pPr>
        <w:ind w:left="840"/>
        <w:spacing w:after="0"/>
        <w:tabs>
          <w:tab w:leader="none" w:pos="5720" w:val="left"/>
        </w:tabs>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u w:val="single" w:color="auto"/>
          <w:color w:val="auto"/>
        </w:rPr>
        <w:t>Representations and Warranties of Kymera</w:t>
      </w:r>
      <w:r>
        <w:rPr>
          <w:rFonts w:ascii="Times New Roman" w:cs="Times New Roman" w:eastAsia="Times New Roman" w:hAnsi="Times New Roman"/>
          <w:sz w:val="22"/>
          <w:szCs w:val="22"/>
          <w:color w:val="auto"/>
        </w:rPr>
        <w:t>.</w:t>
        <w:tab/>
        <w:t>Kymera hereby represents and warrants to Sanofi, as of the</w:t>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Original Agreement Execution Date and the Restatement Execution Date, that:</w:t>
      </w:r>
    </w:p>
    <w:p>
      <w:pPr>
        <w:spacing w:after="0" w:line="182" w:lineRule="exact"/>
        <w:rPr>
          <w:sz w:val="20"/>
          <w:szCs w:val="20"/>
          <w:color w:val="auto"/>
        </w:rPr>
      </w:pPr>
    </w:p>
    <w:p>
      <w:pPr>
        <w:ind w:firstLine="2254"/>
        <w:spacing w:after="0" w:line="258" w:lineRule="auto"/>
        <w:tabs>
          <w:tab w:leader="none" w:pos="267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is duly organized, validly existing and in good standing under the laws of the jurisdiction of its incorporation or organization;</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(i) has the requisite power and authority and the legal right to enter into this Agreement and to perform its obligations hereunder and (ii) has taken all requisite action on its part to authorize the execution and delivery of this Agreement and the performance of its obligations hereunder;</w:t>
      </w:r>
    </w:p>
    <w:p>
      <w:pPr>
        <w:spacing w:after="0" w:line="17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executed and delivered on behalf of Kymera, and constitutes a legal, valid and binding obligation, enforceable against Kymera in accordance with the terms hereof, except to the extent that enforcement of the rights and remedies created hereby is subject to (i) bankruptcy, insolvency, reorganization, moratorium and other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similar laws of general application affecting the rights and remedies of creditors, or (ii) laws governing specific performance, injunctive relief and other equitable remedies;</w:t>
      </w:r>
    </w:p>
    <w:p>
      <w:pPr>
        <w:spacing w:after="0" w:line="158" w:lineRule="exact"/>
        <w:rPr>
          <w:sz w:val="20"/>
          <w:szCs w:val="20"/>
          <w:color w:val="auto"/>
        </w:rPr>
      </w:pPr>
    </w:p>
    <w:p>
      <w:pPr>
        <w:jc w:val="both"/>
        <w:ind w:firstLine="2254"/>
        <w:spacing w:after="0" w:line="261" w:lineRule="auto"/>
        <w:tabs>
          <w:tab w:leader="none" w:pos="2678"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Agreement by Kymera will not constitute a default under or conflict with any agreement, instrument or understanding, oral or written, to which it is a party or by which it is bound, or violate any Applicable Law of any governmental body or administrative or other agency having jurisdiction over Kymera;</w:t>
      </w:r>
    </w:p>
    <w:p>
      <w:pPr>
        <w:spacing w:after="0" w:line="157" w:lineRule="exact"/>
        <w:rPr>
          <w:rFonts w:ascii="Times New Roman" w:cs="Times New Roman" w:eastAsia="Times New Roman" w:hAnsi="Times New Roman"/>
          <w:sz w:val="21"/>
          <w:szCs w:val="21"/>
          <w:color w:val="auto"/>
        </w:rPr>
      </w:pPr>
    </w:p>
    <w:p>
      <w:pPr>
        <w:jc w:val="both"/>
        <w:ind w:firstLine="2254"/>
        <w:spacing w:after="0" w:line="244" w:lineRule="auto"/>
        <w:tabs>
          <w:tab w:leader="none" w:pos="2678"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has obtained all necessary consents, approvals and authorizations of all Governmental Authorities and other Persons or entities required to be obtained by it as of the Original Agreement Execution Date in connection with the execution and delivery of this Agreement;</w:t>
      </w:r>
    </w:p>
    <w:p>
      <w:pPr>
        <w:spacing w:after="0" w:line="17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Kymera Background Technology is owned solely by Kymera, and the Kymera Background Technology does not include any Patents and Know-How that are in-licensed from a Third Party; (ii) all Kymera Background Technology is free and clear of any liens, charges and encumbrances; and (iii) to Kymera’s Knowledge, no license granted by any Third Party to Kymera or its Affiliates, or by Kymera or its Affiliates to any Third Party, conflicts with the rights and licenses granted to Sanofi hereunder;</w:t>
      </w:r>
    </w:p>
    <w:p>
      <w:pPr>
        <w:spacing w:after="0" w:line="176"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is entitled to grant all rights, options and licenses under the Kymera Background Technology that it purports to grant or that are anticipated to be granted to Sanofi under this Agreement;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1.193</w:t>
      </w:r>
      <w:r>
        <w:rPr>
          <w:rFonts w:ascii="Times New Roman" w:cs="Times New Roman" w:eastAsia="Times New Roman" w:hAnsi="Times New Roman"/>
          <w:sz w:val="21"/>
          <w:szCs w:val="21"/>
          <w:color w:val="auto"/>
        </w:rPr>
        <w:t xml:space="preserve"> sets forth a true, correct and complete list of all Kymera Background Patents as of</w:t>
      </w:r>
    </w:p>
    <w:p>
      <w:pPr>
        <w:spacing w:after="0" w:line="25" w:lineRule="exact"/>
        <w:rPr>
          <w:rFonts w:ascii="Times New Roman" w:cs="Times New Roman" w:eastAsia="Times New Roman" w:hAnsi="Times New Roman"/>
          <w:sz w:val="21"/>
          <w:szCs w:val="21"/>
          <w:color w:val="auto"/>
        </w:rPr>
      </w:pPr>
    </w:p>
    <w:p>
      <w:pPr>
        <w:jc w:val="both"/>
        <w:ind w:firstLine="8"/>
        <w:spacing w:after="0" w:line="235" w:lineRule="auto"/>
        <w:tabs>
          <w:tab w:leader="none" w:pos="27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Original Agreement Execution Date and (ii) the Restatement Execution Date and, except as set forth on </w:t>
      </w:r>
      <w:r>
        <w:rPr>
          <w:rFonts w:ascii="Times New Roman" w:cs="Times New Roman" w:eastAsia="Times New Roman" w:hAnsi="Times New Roman"/>
          <w:sz w:val="22"/>
          <w:szCs w:val="22"/>
          <w:u w:val="single" w:color="auto"/>
          <w:color w:val="auto"/>
        </w:rPr>
        <w:t>Schedule 1.193</w:t>
      </w:r>
      <w:r>
        <w:rPr>
          <w:rFonts w:ascii="Times New Roman" w:cs="Times New Roman" w:eastAsia="Times New Roman" w:hAnsi="Times New Roman"/>
          <w:sz w:val="22"/>
          <w:szCs w:val="22"/>
          <w:color w:val="auto"/>
        </w:rPr>
        <w:t xml:space="preserve">, each such Patent is owned solely by Kymera. To the extent any Kymera Background Patent is not owned by Kymera,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1.193</w:t>
      </w:r>
      <w:r>
        <w:rPr>
          <w:rFonts w:ascii="Times New Roman" w:cs="Times New Roman" w:eastAsia="Times New Roman" w:hAnsi="Times New Roman"/>
          <w:sz w:val="22"/>
          <w:szCs w:val="22"/>
          <w:color w:val="auto"/>
        </w:rPr>
        <w:t xml:space="preserve"> identifies the licensor or sublicensor from which the Patent is licensed;</w:t>
      </w:r>
    </w:p>
    <w:p>
      <w:pPr>
        <w:spacing w:after="0" w:line="177"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Kymera’s Knowledge, all Kymera Background Patents have been Prosecuted and Maintained from the respective patent offices in accordance with Applicable Law. Kymera has not received any written claims, nor to Kymera’s Knowledge, is there any ongoing claim or threatened claim, by any Third Party (i) challenging the scope, validity or enforceability of any issued Kymera Background Patents, (ii) asserting the misuse or non-infringement of any of the Kymera Background Technology, or (iii) challenging Kymera’s Control of any of the Kymera Background Technology;</w:t>
      </w:r>
    </w:p>
    <w:p>
      <w:pPr>
        <w:spacing w:after="0" w:line="176" w:lineRule="exact"/>
        <w:rPr>
          <w:rFonts w:ascii="Times New Roman" w:cs="Times New Roman" w:eastAsia="Times New Roman" w:hAnsi="Times New Roman"/>
          <w:sz w:val="22"/>
          <w:szCs w:val="22"/>
          <w:color w:val="auto"/>
        </w:rPr>
      </w:pPr>
    </w:p>
    <w:p>
      <w:pPr>
        <w:jc w:val="both"/>
        <w:ind w:firstLine="2254"/>
        <w:spacing w:after="0" w:line="249" w:lineRule="auto"/>
        <w:tabs>
          <w:tab w:leader="none" w:pos="2678"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Kymera Background Patents that exist as of the Original Agreement Execution Date and the Restatement Execution Date, as applicable, (i) Kymera has obtained valid and enforceable assignments from the inventors of all inventorship rights relating to such Patents, and all such assignments of inventorship rights relating to such Patents have been properly executed and recorded in the relevant U.S. and foreign patent offices, (ii) to Kymera’s Knowledge, no current officer, employee, agent, advisor, consultant or representative of Kymera or any of its Affiliates is in violation of any term of any such assignment or other agreement with Kymera or such Affiliate regarding the protection of any Kymera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Background Technology, and (iii) to Kymera’s Knowledge, no Person who claims to be an inventor of an invention claimed in a Kymera Patent is not identified as an inventor of such invention in the filed Patent documents for such Kymera Patent;</w:t>
      </w:r>
    </w:p>
    <w:p>
      <w:pPr>
        <w:spacing w:after="0" w:line="158" w:lineRule="exact"/>
        <w:rPr>
          <w:sz w:val="20"/>
          <w:szCs w:val="20"/>
          <w:color w:val="auto"/>
        </w:rPr>
      </w:pPr>
    </w:p>
    <w:p>
      <w:pPr>
        <w:jc w:val="both"/>
        <w:ind w:firstLine="2254"/>
        <w:spacing w:after="0" w:line="233" w:lineRule="auto"/>
        <w:tabs>
          <w:tab w:leader="none" w:pos="267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all employees of Kymera performing activities on behalf of Kymera are subject to a present obligation to assign to Kymera all right, title and interest in and to any inventions developed by them in the conduct of such activities, whether or not patentable; and (ii) all Subcontractors of Kymera performing activities on behalf of Kymera are subject to a written contract that provides that Kymera will obtain ownership of, or a fully sublicensable license (any expenses of which will be borne by Kymera) under and to, any Know-How and Patents that are discovered, developed, invented or created by such Subcontractor in the performance of such agreement and are necessary or reasonably useful to Research, Develop, Manufacture or Commercialize Collaboration Compounds, Collaboration Candidates or Licensed Products in the Field in the Territory;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foregoing requirement to obtain ownership of, or a fully sublicensable license will not apply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improvements to the proprietary core or platform technology owned or in-licensed by any such Subcontractor or its Affiliates unless such improvements are necessary or reasonably useful to Research, Develop, Manufacture or Commercialize those Collaboration Compounds, Collaboration Candidates or Licensed Products with respect to which such Subcontractor or its Affiliate conducted its activities under such contract;</w:t>
      </w:r>
    </w:p>
    <w:p>
      <w:pPr>
        <w:spacing w:after="0" w:line="184"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Kymera Background Patents that exist as of the Original Agreement Execution Date and the Restatement Execution Date, as applicable, (i) Kymera and its Affiliates have materially complied with all applicable disclosure requirements of the applicable Governmental Authority, in connection with the Prosecution and Maintenance of such Kymera Background Patents, (ii) the pending applications included in Kymera Background Patents are being diligently prosecuted in the respective patent offices in the Territory in which Kymera has chosen to file in accordance with Applicable Law, (iii) to Kymera’s Knowledge, Kymera has presented all relevant references, documents and information of which it and the inventors are aware to the relevant patent examiner at the relevant patent office, and (iv) it has timely paid all filing and renewal fees payable with respect to any such Kymera Background Patents;</w:t>
      </w:r>
    </w:p>
    <w:p>
      <w:pPr>
        <w:spacing w:after="0" w:line="178"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and its Affiliates have taken commercially reasonable measures consistent with industry practices to protect the secrecy, confidentiality and value of all Kymera Background Know-How that exists as of the Original Agreement Execution Date and the Restatement Execution Date, as applicable, that constitutes confidential information or trade secrets under Applicable Law (including requiring all employees, consultants and independent contractors to execute binding and enforceable agreements requiring all such employees, consultants and independent contractors to maintain the confidentiality of such Kymera Background Know-How) and, to Kymera’s Knowledge, such Kymera Background Know-How has not been used, disclosed to or discovered by any Third Party except pursuant to such confidentiality agreements and to Kymera’s Knowledge there has not been a breach by any party to such confidentiality agreements;</w:t>
      </w:r>
    </w:p>
    <w:p>
      <w:pPr>
        <w:spacing w:after="0" w:line="17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Kymera’s Knowledge,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91" w:name="page292"/>
    <w:bookmarkEnd w:id="291"/>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firstLine="2254"/>
        <w:spacing w:after="0" w:line="236" w:lineRule="auto"/>
        <w:tabs>
          <w:tab w:leader="none" w:pos="267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inventions Covered by the Kymera Background Technology (i) were conceived, discovered, developed or otherwise made in connection with any research activities funded, in whole or in part, by the federal government of the United States or any agency thereof; (ii) are a “subject invention” as that term is described in 35 U.S.C. §201(e); (iii) are otherwise subject to the provisions of the Patent and Trademark Law Amendments Act of 1980, as amended, codified at 35 U.S.C. §§200-212, as amended, or any regulations promulgated pursuant thereto, including in 37 C.F.R. Part 401; and (iv) are the subject of any licenses, options or other rights of any Governmental Authority, within or outside the United States;</w:t>
      </w:r>
    </w:p>
    <w:p>
      <w:pPr>
        <w:spacing w:after="0" w:line="181"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judgments or settlements against Kymera or any of its Affiliates, or, to Kymera’s Knowledge, pending or threatened claims or litigation, in each case, in connection with the Kymera Background Technology that exists as of the Original Agreement Execution Date or the Restatement Execution Date, as applicable, or relating to the transactions contemplated by this Agreement;</w:t>
      </w:r>
    </w:p>
    <w:p>
      <w:pPr>
        <w:spacing w:after="0" w:line="180"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Kymera’s Knowledge, the use, practice or application by Kymera (or its Affiliates) of any Kymera Background Technology as contemplated under this Agreement does not infringe any Valid Claim of any issued and unexpired Patents of a Third Party;</w:t>
      </w:r>
    </w:p>
    <w:p>
      <w:pPr>
        <w:spacing w:after="0" w:line="173" w:lineRule="exact"/>
        <w:rPr>
          <w:rFonts w:ascii="Times New Roman" w:cs="Times New Roman" w:eastAsia="Times New Roman" w:hAnsi="Times New Roman"/>
          <w:sz w:val="22"/>
          <w:szCs w:val="22"/>
          <w:color w:val="auto"/>
        </w:rPr>
      </w:pPr>
    </w:p>
    <w:p>
      <w:pPr>
        <w:ind w:right="60" w:firstLine="2254"/>
        <w:spacing w:after="0" w:line="258" w:lineRule="auto"/>
        <w:tabs>
          <w:tab w:leader="none" w:pos="267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has not misappropriated any trade secret or other Know-How of a Third Party in development of the Kymera Background Technology;</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has not employed (and, to its Knowledge, has not used a contractor or consultant that has employed) any Person debarred by the FDA (or subject to a similar sanction of EMA or foreign equivalent), or any Person that is the subject of an FDA debarment investigation or proceeding (or similar proceeding of EMA or foreign equivalent), in any capacity in connection with this Agreement; and</w:t>
      </w:r>
    </w:p>
    <w:p>
      <w:pPr>
        <w:spacing w:after="0" w:line="180"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has [***], and neither Kymera, nor, to Kymera’s Knowledge, any of its Subcontractors,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in possession of [***].</w:t>
      </w:r>
    </w:p>
    <w:p>
      <w:pPr>
        <w:spacing w:after="0" w:line="178" w:lineRule="exact"/>
        <w:rPr>
          <w:sz w:val="20"/>
          <w:szCs w:val="20"/>
          <w:color w:val="auto"/>
        </w:rPr>
      </w:pPr>
    </w:p>
    <w:p>
      <w:pPr>
        <w:jc w:val="both"/>
        <w:ind w:left="80" w:firstLine="749"/>
        <w:spacing w:after="0" w:line="256" w:lineRule="auto"/>
        <w:rPr>
          <w:sz w:val="20"/>
          <w:szCs w:val="20"/>
          <w:color w:val="auto"/>
        </w:rPr>
      </w:pPr>
      <w:r>
        <w:rPr>
          <w:rFonts w:ascii="Times New Roman" w:cs="Times New Roman" w:eastAsia="Times New Roman" w:hAnsi="Times New Roman"/>
          <w:sz w:val="21"/>
          <w:szCs w:val="21"/>
          <w:color w:val="auto"/>
        </w:rPr>
        <w:t xml:space="preserve">13.3 </w:t>
      </w:r>
      <w:r>
        <w:rPr>
          <w:rFonts w:ascii="Times New Roman" w:cs="Times New Roman" w:eastAsia="Times New Roman" w:hAnsi="Times New Roman"/>
          <w:sz w:val="21"/>
          <w:szCs w:val="21"/>
          <w:b w:val="1"/>
          <w:bCs w:val="1"/>
          <w:u w:val="single" w:color="auto"/>
          <w:color w:val="auto"/>
        </w:rPr>
        <w:t>Updated Information Regarding Representations and Warranties of Kymera</w:t>
      </w:r>
      <w:r>
        <w:rPr>
          <w:rFonts w:ascii="Times New Roman" w:cs="Times New Roman" w:eastAsia="Times New Roman" w:hAnsi="Times New Roman"/>
          <w:sz w:val="21"/>
          <w:szCs w:val="21"/>
          <w:color w:val="auto"/>
        </w:rPr>
        <w:t xml:space="preserve">. On a Collaboration Target-by-Collaboration Target basis, within [***] after the delivery of the Participation Data Package with respect to such Collaboration Targets, Kymera shall provide written notice to Sanofi stating any exceptions to the veracity of the representations and warranties set forth in </w:t>
      </w:r>
      <w:r>
        <w:rPr>
          <w:rFonts w:ascii="Times New Roman" w:cs="Times New Roman" w:eastAsia="Times New Roman" w:hAnsi="Times New Roman"/>
          <w:sz w:val="21"/>
          <w:szCs w:val="21"/>
          <w:u w:val="single" w:color="auto"/>
          <w:color w:val="auto"/>
        </w:rPr>
        <w:t>Section 13.2</w:t>
      </w:r>
      <w:r>
        <w:rPr>
          <w:rFonts w:ascii="Times New Roman" w:cs="Times New Roman" w:eastAsia="Times New Roman" w:hAnsi="Times New Roman"/>
          <w:sz w:val="21"/>
          <w:szCs w:val="21"/>
          <w:color w:val="auto"/>
        </w:rPr>
        <w:t xml:space="preserve"> as of the date of such notice of which Kymera has Knowledge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b w:val="1"/>
          <w:bCs w:val="1"/>
          <w:u w:val="single" w:color="auto"/>
          <w:color w:val="auto"/>
        </w:rPr>
        <w:t>Sanofi Covenants</w:t>
      </w:r>
      <w:r>
        <w:rPr>
          <w:rFonts w:ascii="Times New Roman" w:cs="Times New Roman" w:eastAsia="Times New Roman" w:hAnsi="Times New Roman"/>
          <w:sz w:val="22"/>
          <w:szCs w:val="22"/>
          <w:color w:val="auto"/>
        </w:rPr>
        <w:t>.  Sanofi hereby covenants to Kymera that, except as otherwise expressly permitted under this</w:t>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firstLine="2254"/>
        <w:spacing w:after="0" w:line="244" w:lineRule="auto"/>
        <w:tabs>
          <w:tab w:leader="none" w:pos="267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will, and will require its Affiliates and Subcontractors to comply with all Applicable Law in its and their conduct of activities pursuant to this Agreement, including where appropriate GMP, GCP and GLP (or similar standards);</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 of Sanofi or its Affiliates or Third Party subcontractors and Sublicensees working under this Agreement will be under appropriate confidentiality provisions at least as protective as those contained in this Agreement;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firstLine="2254"/>
        <w:spacing w:after="0" w:line="244" w:lineRule="auto"/>
        <w:tabs>
          <w:tab w:leader="none" w:pos="267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 and Subcontractors of Sanofi performing activities hereunder on behalf of Sanofi will be obligated to assign to Sanofi all right, title and interest in and to any inventions developed by them in the conduct of such activities, whether or not patentable;</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this Agreement refers to an action or obligation to be undertaken by Sanofi’s Affiliates, Sanofi will cause such Affiliates to undertake such obligations or other actions, and Sanofi will be responsible and liable for any acts or omissions by its Affiliates;</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will not, and will [***] not to, engage directly or indirectly, in any capacity in connection with this Agreement any Person who either has been debarred by the FDA, is the subject of a conviction described in Section 306 of the FD&amp;C Act or is subject to any such similar sanction; and</w:t>
      </w:r>
    </w:p>
    <w:p>
      <w:pPr>
        <w:spacing w:after="0" w:line="173" w:lineRule="exact"/>
        <w:rPr>
          <w:rFonts w:ascii="Times New Roman" w:cs="Times New Roman" w:eastAsia="Times New Roman" w:hAnsi="Times New Roman"/>
          <w:sz w:val="22"/>
          <w:szCs w:val="22"/>
          <w:color w:val="auto"/>
        </w:rPr>
      </w:pPr>
    </w:p>
    <w:p>
      <w:pPr>
        <w:jc w:val="both"/>
        <w:ind w:firstLine="2254"/>
        <w:spacing w:after="0" w:line="251" w:lineRule="auto"/>
        <w:tabs>
          <w:tab w:leader="none" w:pos="267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Sanofi will inform Kymera in writing promptly if it or any Person engaged by Sanofi or any of its Affiliates or Subcontractors who is performing services under this Agreement or any Co-Promotion Agreement or Cost/Profit Sharing Agreement is debarred or is the subject of a conviction described in Section 306 of the FD&amp;C Act, or if any action, suit, claim, investigation or legal or administrative proceeding is pending or, to Sanofi’s knowledge, is threatened, relating to the debarment or conviction of Sanofi, any of its Affiliates or any such Person performing services hereunder or thereunder.</w:t>
      </w:r>
    </w:p>
    <w:p>
      <w:pPr>
        <w:spacing w:after="0" w:line="16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 xml:space="preserve">13.5 </w:t>
      </w:r>
      <w:r>
        <w:rPr>
          <w:rFonts w:ascii="Times New Roman" w:cs="Times New Roman" w:eastAsia="Times New Roman" w:hAnsi="Times New Roman"/>
          <w:sz w:val="21"/>
          <w:szCs w:val="21"/>
          <w:b w:val="1"/>
          <w:bCs w:val="1"/>
          <w:u w:val="single" w:color="auto"/>
          <w:color w:val="auto"/>
        </w:rPr>
        <w:t>Kymera Covenants</w:t>
      </w:r>
      <w:r>
        <w:rPr>
          <w:rFonts w:ascii="Times New Roman" w:cs="Times New Roman" w:eastAsia="Times New Roman" w:hAnsi="Times New Roman"/>
          <w:sz w:val="21"/>
          <w:szCs w:val="21"/>
          <w:color w:val="auto"/>
        </w:rPr>
        <w:t>. Kymera hereby covenants to Sanofi that, except as otherwise expressly permitted under this</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firstLine="2254"/>
        <w:spacing w:after="0" w:line="244" w:lineRule="auto"/>
        <w:tabs>
          <w:tab w:leader="none" w:pos="267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and will require its Affiliates and Subcontractors to, comply with all Applicable Law in its and their conduct of activities pursuant to this Agreement, including where appropriate GMP, GCP and GLP (or similar standards);</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 of Kymera or its Affiliates or Third Party subcontractors and Sublicensees working under this Agreement will be under appropriate confidentiality provisions at least as protective as those contained in this Agreement;</w:t>
      </w:r>
    </w:p>
    <w:p>
      <w:pPr>
        <w:spacing w:after="0" w:line="17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use Commercially Reasonable Efforts to maintain and not breach any Collaboration In-License Agreement in a manner that would reasonably be expected to give rise to a termination right of the licensor party, and will cause its Affiliates to maintain and not breach in a manner that would reasonably be expected to give rise to a termination right of the licensor party;</w:t>
      </w:r>
    </w:p>
    <w:p>
      <w:pPr>
        <w:spacing w:after="0" w:line="180"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promptly notify Sanofi in writing of any material breach by Kymera or its Affiliate or a Third Party of any Collaboration In-License Agreement;</w:t>
      </w:r>
    </w:p>
    <w:p>
      <w:pPr>
        <w:spacing w:after="0" w:line="158" w:lineRule="exact"/>
        <w:rPr>
          <w:rFonts w:ascii="Times New Roman" w:cs="Times New Roman" w:eastAsia="Times New Roman" w:hAnsi="Times New Roman"/>
          <w:sz w:val="22"/>
          <w:szCs w:val="22"/>
          <w:color w:val="auto"/>
        </w:rPr>
      </w:pPr>
    </w:p>
    <w:p>
      <w:pPr>
        <w:ind w:firstLine="2254"/>
        <w:spacing w:after="0" w:line="244" w:lineRule="auto"/>
        <w:tabs>
          <w:tab w:leader="none" w:pos="267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not, and will cause its Affiliates not to, amend, modify or terminate any Collaboration In-License Agreement in a manner that would adversely affect Sanofi’s rights hereunder without first obtaining Sanofi’s written consent;</w:t>
      </w:r>
    </w:p>
    <w:p>
      <w:pPr>
        <w:spacing w:after="0" w:line="173"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not, and will cause its Affiliates not to (i) license, sell, assign or otherwise transfer to any Person any Licensed Technology (or agree to do any of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foregoing) or (ii) incur or permit to exist, with respect to any Licensed Technology, any lien, encumbrance, charge, security interest, mortgage, liability, grant of license to Third Parties or other restriction (including in connection with any indebtedness), in each case, that would conflict with, limit, impair or restrict the rights and licenses (or sublicenses, as the case may be) granted to Sanofi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herein will restrict Kymera from effectuating an assignment in accordance with </w:t>
      </w:r>
      <w:r>
        <w:rPr>
          <w:rFonts w:ascii="Times New Roman" w:cs="Times New Roman" w:eastAsia="Times New Roman" w:hAnsi="Times New Roman"/>
          <w:sz w:val="22"/>
          <w:szCs w:val="22"/>
          <w:u w:val="single" w:color="auto"/>
          <w:color w:val="auto"/>
        </w:rPr>
        <w:t>Section 18.1</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20" w:firstLine="2254"/>
        <w:spacing w:after="0" w:line="258" w:lineRule="auto"/>
        <w:tabs>
          <w:tab w:leader="none" w:pos="267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not, during the Term, enter into any material agreements or contracts that would be inconsistent with its obligations under this Agreement;</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Term, (i) all employees of Kymera performing activities hereunder on behalf of Kymera will be subject to a present obligation to assign to Kymera all right, title and interest in and to any inventions developed by them in the conduct of such activities, whether or not patentable, and (ii) all Subcontractors of Kymera performing activities on behalf of Kymera pursuant to an agreement entered into after the Execution Agreement will be subject to a written contract that provides that Kymera will obtain ownership of, or a fully sublicensable license (any expenses of which will be borne by Kymera) under and to, any Know-How and Patents that are discovered, developed, invented or created by such Subcontractor in the performance of such agreement and are necessary or reasonably useful to Research, Develop, Manufacture or Commercialize Collaboration Compounds, Collaboration Candidates or Licensed Products in the Field in the Territory;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Kymera will use Commercially Reasonable Efforts to obtain (x) ownership of any such Know-How and Patents rather than a license to such Know-How or Patents or, (y) if Kymera cannot so obtain ownership using Commercially Reasonable Efforts, an exclusive license to any such Know-How and Patents; and </w:t>
      </w:r>
      <w:r>
        <w:rPr>
          <w:rFonts w:ascii="Times New Roman" w:cs="Times New Roman" w:eastAsia="Times New Roman" w:hAnsi="Times New Roman"/>
          <w:sz w:val="21"/>
          <w:szCs w:val="21"/>
          <w:i w:val="1"/>
          <w:iCs w:val="1"/>
          <w:color w:val="auto"/>
        </w:rPr>
        <w:t>further provided</w:t>
      </w:r>
      <w:r>
        <w:rPr>
          <w:rFonts w:ascii="Times New Roman" w:cs="Times New Roman" w:eastAsia="Times New Roman" w:hAnsi="Times New Roman"/>
          <w:sz w:val="21"/>
          <w:szCs w:val="21"/>
          <w:color w:val="auto"/>
        </w:rPr>
        <w:t xml:space="preserve"> that the foregoing requirement to obtain ownership of, or a fully sublicensable license will not apply to any improvements to the proprietary core or platform technology owned or in-licensed by any such Subcontractor or its Affiliates unless such improvements are necessary or reasonably useful to Research, Develop, Manufacture or Commercialize those Collaboration Compounds, Collaboration Candidates or Licensed Products with respect to which such Subcontractor or its Affiliate conducted its activities under such contract;</w:t>
      </w:r>
    </w:p>
    <w:p>
      <w:pPr>
        <w:spacing w:after="0" w:line="178" w:lineRule="exact"/>
        <w:rPr>
          <w:rFonts w:ascii="Times New Roman" w:cs="Times New Roman" w:eastAsia="Times New Roman" w:hAnsi="Times New Roman"/>
          <w:sz w:val="21"/>
          <w:szCs w:val="21"/>
          <w:color w:val="auto"/>
        </w:rPr>
      </w:pPr>
    </w:p>
    <w:p>
      <w:pPr>
        <w:jc w:val="both"/>
        <w:ind w:firstLine="2254"/>
        <w:spacing w:after="0" w:line="244" w:lineRule="auto"/>
        <w:tabs>
          <w:tab w:leader="none" w:pos="267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this Agreement refers to an action or obligation to be undertaken by Kymera’s Affiliates, Kymera will cause such Affiliates to undertake such obligations or other actions, and Kymera will be responsible and liable for any acts or omissions by its Affiliates;</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not, and will cause its Affiliates and Subcontractors not to, engage directly or indirectly, in any capacity in connection with this Agreement any Person who either has been debarred by the FDA, is the subject of a conviction described in Section 306 of the FD&amp;C Act or is subject to any such similar sanction; and</w:t>
      </w:r>
    </w:p>
    <w:p>
      <w:pPr>
        <w:spacing w:after="0" w:line="17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inform Sanofi in writing promptly if it or any Person engaged by Kymera or any of its Affiliates or Subcontractors who is performing services under this Agreement or any Co-Promotion Agreement or Cost/Profit Sharing Agreement is debarred or is the subject of a conviction described in Section 306 of the FD&amp;C Act, or if any action, suit, claim, investigation or legal or administrative proceeding is pending or, to Kymera’s knowledge,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is threatened, relating to the debarment or conviction of Kymera, any of its Affiliates or any such Person performing services hereunder or thereunder.</w:t>
      </w:r>
    </w:p>
    <w:p>
      <w:pPr>
        <w:spacing w:after="0" w:line="154" w:lineRule="exact"/>
        <w:rPr>
          <w:sz w:val="20"/>
          <w:szCs w:val="20"/>
          <w:color w:val="auto"/>
        </w:rPr>
      </w:pPr>
    </w:p>
    <w:p>
      <w:pPr>
        <w:jc w:val="both"/>
        <w:ind w:left="80" w:firstLine="749"/>
        <w:spacing w:after="0" w:line="245" w:lineRule="auto"/>
        <w:rPr>
          <w:sz w:val="20"/>
          <w:szCs w:val="20"/>
          <w:color w:val="auto"/>
        </w:rPr>
      </w:pPr>
      <w:r>
        <w:rPr>
          <w:rFonts w:ascii="Times New Roman" w:cs="Times New Roman" w:eastAsia="Times New Roman" w:hAnsi="Times New Roman"/>
          <w:sz w:val="21"/>
          <w:szCs w:val="21"/>
          <w:color w:val="auto"/>
        </w:rPr>
        <w:t xml:space="preserve">13.6 </w:t>
      </w:r>
      <w:r>
        <w:rPr>
          <w:rFonts w:ascii="Times New Roman" w:cs="Times New Roman" w:eastAsia="Times New Roman" w:hAnsi="Times New Roman"/>
          <w:sz w:val="21"/>
          <w:szCs w:val="21"/>
          <w:b w:val="1"/>
          <w:bCs w:val="1"/>
          <w:u w:val="single" w:color="auto"/>
          <w:color w:val="auto"/>
        </w:rPr>
        <w:t>Disclaimer</w:t>
      </w:r>
      <w:r>
        <w:rPr>
          <w:rFonts w:ascii="Times New Roman" w:cs="Times New Roman" w:eastAsia="Times New Roman" w:hAnsi="Times New Roman"/>
          <w:sz w:val="21"/>
          <w:szCs w:val="21"/>
          <w:color w:val="auto"/>
        </w:rPr>
        <w:t xml:space="preserve">. WITHOUT LIMITING THE RESPECTIVE RIGHTS AND OBLIGATIONS OF THE PARTIES EXPRESSLY SET FORTH HEREIN, EACH PARTY SPECIFICALLY DISCLAIMS ANY GUARANTEE THAT THE ACTIVITIES CONDUCTED HEREUNDER OR ANY COLLABORATION COMPOUND, COLLABORATION CANDIDATE OR LICENSED PRODUCT WILL BE SUCCESSFUL, IN WHOLE OR IN PART. EXCEPT AS OTHERWISE EXPRESSLY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IN THIS AGREEMENT, NEITHER PARTY MAKES ANY REPRESENTATIONS OR EXTENDS ANY WARRANTY OF ANY KIND, EITHER EXPRESS OR IMPLIED (AND EACH PARTY HEREBY EXPRESSLY DISCLAIMS ANY AND ALL REPRESENTATIONS AND WARRANTIES NOT EXPRESSLY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IN THIS AGREEMENT), INCLUDING WITH RESPECT TO ANY PATENTS OR KNOW-HOW, OR MATERIALS, INCLUDING WARRANTIES OF VALIDITY OR ENFORCEABILITY OF ANY PATENTS, TITLE, QUALITY, COMPLETENESS, ACCURACY, MERCHANTABILITY, FITNESS FOR A PARTICULAR USE OR PURPOSE, PERFORMANCE, AND NONINFRINGEMENT OF ANY THIRD PARTY PATENTS OR OTHER INTELLECTUAL PROPERTY RIGHTS.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INSURANCE; LIMITATIONS</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14.1.1 </w:t>
      </w:r>
      <w:r>
        <w:rPr>
          <w:rFonts w:ascii="Times New Roman" w:cs="Times New Roman" w:eastAsia="Times New Roman" w:hAnsi="Times New Roman"/>
          <w:sz w:val="22"/>
          <w:szCs w:val="22"/>
          <w:b w:val="1"/>
          <w:bCs w:val="1"/>
          <w:u w:val="single" w:color="auto"/>
          <w:color w:val="auto"/>
        </w:rPr>
        <w:t>Indemnification by Sanofi</w:t>
      </w:r>
      <w:r>
        <w:rPr>
          <w:rFonts w:ascii="Times New Roman" w:cs="Times New Roman" w:eastAsia="Times New Roman" w:hAnsi="Times New Roman"/>
          <w:sz w:val="22"/>
          <w:szCs w:val="22"/>
          <w:color w:val="auto"/>
        </w:rPr>
        <w:t>. Sanofi will indemnify, defend and hold harmless Kymera, its Affiliates, and its and its Affiliates’ employees, officers, directors and agents and their respective successors, heirs and assigns (each, a “</w:t>
      </w:r>
      <w:r>
        <w:rPr>
          <w:rFonts w:ascii="Times New Roman" w:cs="Times New Roman" w:eastAsia="Times New Roman" w:hAnsi="Times New Roman"/>
          <w:sz w:val="22"/>
          <w:szCs w:val="22"/>
          <w:b w:val="1"/>
          <w:bCs w:val="1"/>
          <w:color w:val="auto"/>
        </w:rPr>
        <w:t>Kymera Indemnified Party</w:t>
      </w:r>
      <w:r>
        <w:rPr>
          <w:rFonts w:ascii="Times New Roman" w:cs="Times New Roman" w:eastAsia="Times New Roman" w:hAnsi="Times New Roman"/>
          <w:sz w:val="22"/>
          <w:szCs w:val="22"/>
          <w:color w:val="auto"/>
        </w:rPr>
        <w:t>”) from and against any liability, loss, damage or expense (including reasonable attorneys’ fees and expenses) (collectively, “</w:t>
      </w:r>
      <w:r>
        <w:rPr>
          <w:rFonts w:ascii="Times New Roman" w:cs="Times New Roman" w:eastAsia="Times New Roman" w:hAnsi="Times New Roman"/>
          <w:sz w:val="22"/>
          <w:szCs w:val="22"/>
          <w:b w:val="1"/>
          <w:bCs w:val="1"/>
          <w:color w:val="auto"/>
        </w:rPr>
        <w:t>Liability</w:t>
      </w:r>
      <w:r>
        <w:rPr>
          <w:rFonts w:ascii="Times New Roman" w:cs="Times New Roman" w:eastAsia="Times New Roman" w:hAnsi="Times New Roman"/>
          <w:sz w:val="22"/>
          <w:szCs w:val="22"/>
          <w:color w:val="auto"/>
        </w:rPr>
        <w:t>”) arising out of any Third Party suit, investigation, claim or demand in connection with:</w:t>
      </w:r>
    </w:p>
    <w:p>
      <w:pPr>
        <w:spacing w:after="0" w:line="181" w:lineRule="exact"/>
        <w:rPr>
          <w:sz w:val="20"/>
          <w:szCs w:val="20"/>
          <w:color w:val="auto"/>
        </w:rPr>
      </w:pPr>
    </w:p>
    <w:p>
      <w:pPr>
        <w:ind w:right="20" w:firstLine="2254"/>
        <w:spacing w:after="0" w:line="244" w:lineRule="auto"/>
        <w:tabs>
          <w:tab w:leader="none" w:pos="267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Research, Development, Manufacture, Commercialization or use of any Collaboration Compound, Collaboration Candidate or Licensed Product by, on behalf of, or under the authority of, Sanofi or any of its Affiliates (other than by a Kymera Indemnified Party);</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by Sanofi of any of its representations, warranties or covenants set forth in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or</w:t>
      </w:r>
    </w:p>
    <w:p>
      <w:pPr>
        <w:spacing w:after="0" w:line="182"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negligence, recklessness or willful misconduct of Sanofi or any Sanofi Indemnified Party in connection with the performance of its obligations hereunder; and except, in each case ((a)–(c)), to the extent such claims fall within the scope of Kymera’s indemnification obligations under </w:t>
      </w:r>
      <w:r>
        <w:rPr>
          <w:rFonts w:ascii="Times New Roman" w:cs="Times New Roman" w:eastAsia="Times New Roman" w:hAnsi="Times New Roman"/>
          <w:sz w:val="22"/>
          <w:szCs w:val="22"/>
          <w:u w:val="single" w:color="auto"/>
          <w:color w:val="auto"/>
        </w:rPr>
        <w:t>Section 14.1.2</w:t>
      </w:r>
      <w:r>
        <w:rPr>
          <w:rFonts w:ascii="Times New Roman" w:cs="Times New Roman" w:eastAsia="Times New Roman" w:hAnsi="Times New Roman"/>
          <w:sz w:val="22"/>
          <w:szCs w:val="22"/>
          <w:color w:val="auto"/>
        </w:rPr>
        <w:t xml:space="preserve"> (or would have had the Third Party claim been made against Sanofi under this Agreement) as to which Liability each Party will indemnify the other to the extent of their respective liability.</w:t>
      </w:r>
    </w:p>
    <w:p>
      <w:pPr>
        <w:spacing w:after="0" w:line="173" w:lineRule="exact"/>
        <w:rPr>
          <w:sz w:val="20"/>
          <w:szCs w:val="20"/>
          <w:color w:val="auto"/>
        </w:rPr>
      </w:pPr>
    </w:p>
    <w:p>
      <w:pPr>
        <w:ind w:left="48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14.1.2 </w:t>
      </w:r>
      <w:r>
        <w:rPr>
          <w:rFonts w:ascii="Times New Roman" w:cs="Times New Roman" w:eastAsia="Times New Roman" w:hAnsi="Times New Roman"/>
          <w:sz w:val="22"/>
          <w:szCs w:val="22"/>
          <w:b w:val="1"/>
          <w:bCs w:val="1"/>
          <w:u w:val="single" w:color="auto"/>
          <w:color w:val="auto"/>
        </w:rPr>
        <w:t>Indemnification by Kymera</w:t>
      </w:r>
      <w:r>
        <w:rPr>
          <w:rFonts w:ascii="Times New Roman" w:cs="Times New Roman" w:eastAsia="Times New Roman" w:hAnsi="Times New Roman"/>
          <w:sz w:val="22"/>
          <w:szCs w:val="22"/>
          <w:color w:val="auto"/>
        </w:rPr>
        <w:t>. Kymera will indemnify, defend and hold harmless Sanofi, its Affiliates and its and its Affiliates’ employees, officers, directors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95" w:name="page296"/>
    <w:bookmarkEnd w:id="295"/>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and agents and their respective successors, heirs and assigns (each, a “</w:t>
      </w:r>
      <w:r>
        <w:rPr>
          <w:rFonts w:ascii="Times New Roman" w:cs="Times New Roman" w:eastAsia="Times New Roman" w:hAnsi="Times New Roman"/>
          <w:sz w:val="22"/>
          <w:szCs w:val="22"/>
          <w:b w:val="1"/>
          <w:bCs w:val="1"/>
          <w:color w:val="auto"/>
        </w:rPr>
        <w:t>Sanofi Indemnified Party</w:t>
      </w:r>
      <w:r>
        <w:rPr>
          <w:rFonts w:ascii="Times New Roman" w:cs="Times New Roman" w:eastAsia="Times New Roman" w:hAnsi="Times New Roman"/>
          <w:sz w:val="22"/>
          <w:szCs w:val="22"/>
          <w:color w:val="auto"/>
        </w:rPr>
        <w:t>”) from and against any</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Liability arising out of any Third Party suit, investigation, claim or demand in connection with:</w:t>
      </w:r>
    </w:p>
    <w:p>
      <w:pPr>
        <w:spacing w:after="0" w:line="182" w:lineRule="exact"/>
        <w:rPr>
          <w:sz w:val="20"/>
          <w:szCs w:val="20"/>
          <w:color w:val="auto"/>
        </w:rPr>
      </w:pPr>
    </w:p>
    <w:p>
      <w:pPr>
        <w:jc w:val="both"/>
        <w:ind w:right="20" w:firstLine="2254"/>
        <w:spacing w:after="0" w:line="244" w:lineRule="auto"/>
        <w:tabs>
          <w:tab w:leader="none" w:pos="267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Research, Development, Manufacture or Commercialization of any Collaboration Compound, Collaboration Candidate or Licensed Product by, on behalf of, or under the authority of, Kymera or any of its Affiliates (other than by a Sanofi Indemnified Party);</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by Kymera of any of its representations, warranties or covenants set forth in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82"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negligence, recklessness or willful misconduct of Kymera or any Kymera Indemnified Party in connection with the performance of its obligations hereunder;</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or</w:t>
      </w:r>
    </w:p>
    <w:p>
      <w:pPr>
        <w:spacing w:after="0" w:line="206"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grant of the license set forth in </w:t>
      </w:r>
      <w:r>
        <w:rPr>
          <w:rFonts w:ascii="Times New Roman" w:cs="Times New Roman" w:eastAsia="Times New Roman" w:hAnsi="Times New Roman"/>
          <w:sz w:val="22"/>
          <w:szCs w:val="22"/>
          <w:u w:val="single" w:color="auto"/>
          <w:color w:val="auto"/>
        </w:rPr>
        <w:t>Section 15.3.2(f)(i)</w:t>
      </w:r>
      <w:r>
        <w:rPr>
          <w:rFonts w:ascii="Times New Roman" w:cs="Times New Roman" w:eastAsia="Times New Roman" w:hAnsi="Times New Roman"/>
          <w:sz w:val="22"/>
          <w:szCs w:val="22"/>
          <w:color w:val="auto"/>
        </w:rPr>
        <w:t xml:space="preserve">, the research, development, manufacture, and commercialization by or on behalf of Kymera or its Affiliates, sublicensees, subcontractors, agents or consultants of any (i) Terminated Product and (ii) Degrader that constitutes an improvement, modification or derivative of such Terminated Product, in each case Covered by such license; and except, in each case ((a)–(c)), to the extent such claims fall within the scope of Sanofi’s indemnification obligations under </w:t>
      </w:r>
      <w:r>
        <w:rPr>
          <w:rFonts w:ascii="Times New Roman" w:cs="Times New Roman" w:eastAsia="Times New Roman" w:hAnsi="Times New Roman"/>
          <w:sz w:val="22"/>
          <w:szCs w:val="22"/>
          <w:u w:val="single" w:color="auto"/>
          <w:color w:val="auto"/>
        </w:rPr>
        <w:t>Section 14.1.1</w:t>
      </w:r>
      <w:r>
        <w:rPr>
          <w:rFonts w:ascii="Times New Roman" w:cs="Times New Roman" w:eastAsia="Times New Roman" w:hAnsi="Times New Roman"/>
          <w:sz w:val="22"/>
          <w:szCs w:val="22"/>
          <w:color w:val="auto"/>
        </w:rPr>
        <w:t xml:space="preserve"> (or would have had the Third Party claim been made against Kymera under this Agreement) as to which Liability each Party will indemnify the other to the extent of their respective liability.</w:t>
      </w:r>
    </w:p>
    <w:p>
      <w:pPr>
        <w:spacing w:after="0" w:line="179" w:lineRule="exact"/>
        <w:rPr>
          <w:sz w:val="20"/>
          <w:szCs w:val="20"/>
          <w:color w:val="auto"/>
        </w:rPr>
      </w:pPr>
    </w:p>
    <w:p>
      <w:pPr>
        <w:jc w:val="both"/>
        <w:ind w:left="480" w:firstLine="1497"/>
        <w:spacing w:after="0" w:line="244" w:lineRule="auto"/>
        <w:rPr>
          <w:sz w:val="20"/>
          <w:szCs w:val="20"/>
          <w:color w:val="auto"/>
        </w:rPr>
      </w:pPr>
      <w:r>
        <w:rPr>
          <w:rFonts w:ascii="Times New Roman" w:cs="Times New Roman" w:eastAsia="Times New Roman" w:hAnsi="Times New Roman"/>
          <w:sz w:val="21"/>
          <w:szCs w:val="21"/>
          <w:color w:val="auto"/>
        </w:rPr>
        <w:t xml:space="preserve">14.1.3 </w:t>
      </w:r>
      <w:r>
        <w:rPr>
          <w:rFonts w:ascii="Times New Roman" w:cs="Times New Roman" w:eastAsia="Times New Roman" w:hAnsi="Times New Roman"/>
          <w:sz w:val="21"/>
          <w:szCs w:val="21"/>
          <w:b w:val="1"/>
          <w:bCs w:val="1"/>
          <w:u w:val="single" w:color="auto"/>
          <w:color w:val="auto"/>
        </w:rPr>
        <w:t>Procedure</w:t>
      </w:r>
      <w:r>
        <w:rPr>
          <w:rFonts w:ascii="Times New Roman" w:cs="Times New Roman" w:eastAsia="Times New Roman" w:hAnsi="Times New Roman"/>
          <w:sz w:val="21"/>
          <w:szCs w:val="21"/>
          <w:color w:val="auto"/>
        </w:rPr>
        <w:t xml:space="preserve">. Each Party will notify the other Party in writing if it becomes aware of a claim for which such Party may seek indemnification hereunder. If any Proceeding (including any governmental investigation) is instituted against a Party with respect to which indemnity may be sought pursuant to </w:t>
      </w:r>
      <w:r>
        <w:rPr>
          <w:rFonts w:ascii="Times New Roman" w:cs="Times New Roman" w:eastAsia="Times New Roman" w:hAnsi="Times New Roman"/>
          <w:sz w:val="21"/>
          <w:szCs w:val="21"/>
          <w:u w:val="single" w:color="auto"/>
          <w:color w:val="auto"/>
        </w:rPr>
        <w:t>Section 14.1.1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14.1.2</w:t>
      </w:r>
      <w:r>
        <w:rPr>
          <w:rFonts w:ascii="Times New Roman" w:cs="Times New Roman" w:eastAsia="Times New Roman" w:hAnsi="Times New Roman"/>
          <w:sz w:val="21"/>
          <w:szCs w:val="21"/>
          <w:color w:val="auto"/>
        </w:rPr>
        <w:t>, as applicable, such Party (the “</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will give prompt written notice of the indemnity claim to the other Party (the “</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xml:space="preserve">”) and provide the Indemnifying Party with a copy of any complaint, summons or other written notice that the Indemnified Party receives in connection with any such claim. An Indemnified Party’s failure to deliver such written notice will relieve the Indemnifying Party of liability to the Indemnified Party under </w:t>
      </w:r>
      <w:r>
        <w:rPr>
          <w:rFonts w:ascii="Times New Roman" w:cs="Times New Roman" w:eastAsia="Times New Roman" w:hAnsi="Times New Roman"/>
          <w:sz w:val="21"/>
          <w:szCs w:val="21"/>
          <w:u w:val="single" w:color="auto"/>
          <w:color w:val="auto"/>
        </w:rPr>
        <w:t>Section 14.1.1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14.1.2</w:t>
      </w:r>
      <w:r>
        <w:rPr>
          <w:rFonts w:ascii="Times New Roman" w:cs="Times New Roman" w:eastAsia="Times New Roman" w:hAnsi="Times New Roman"/>
          <w:sz w:val="21"/>
          <w:szCs w:val="21"/>
          <w:color w:val="auto"/>
        </w:rPr>
        <w:t xml:space="preserve">, as applicable, only to the extent such delay is prejudicial to the Indemnifying Party’s ability to defend such claim and allow the Indemnifying Party to assume the defense of claim.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the Indemnifying Party is not contesting the indemnity obligation, the Indemnified Party will permit the Indemnifying Party to control any litigation relating to such claim and the disposition of such claim by negotiated settlement or otherwise (subject to this </w:t>
      </w:r>
      <w:r>
        <w:rPr>
          <w:rFonts w:ascii="Times New Roman" w:cs="Times New Roman" w:eastAsia="Times New Roman" w:hAnsi="Times New Roman"/>
          <w:sz w:val="21"/>
          <w:szCs w:val="21"/>
          <w:u w:val="single" w:color="auto"/>
          <w:color w:val="auto"/>
        </w:rPr>
        <w:t>Section 14.1</w:t>
      </w:r>
      <w:r>
        <w:rPr>
          <w:rFonts w:ascii="Times New Roman" w:cs="Times New Roman" w:eastAsia="Times New Roman" w:hAnsi="Times New Roman"/>
          <w:sz w:val="21"/>
          <w:szCs w:val="21"/>
          <w:color w:val="auto"/>
        </w:rPr>
        <w:t xml:space="preserve">) and any failure to contest such obligation prior to assuming control will be deemed to be an admission of the obligation to indemnify. The Indemnifying Party will act reasonably and in good faith with respect to all matters relating to such claim and will not settle or otherwise resolve such claim without the Indemnified Party’s prior written consent, which will not be unreasonably withheld, conditioned or delayed;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consent will not be required with respect to any settlement involving only the payment of monetary awards for which the Indemnifying Party will be fully responsible. The Indemnified Party will cooperate with the Indemnifying Party in the Indemnifying Party’s defense of any claim</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 which indemnity is sought under this Agreement, at the Indemnifying Party’s cost and expense.</w:t>
      </w:r>
    </w:p>
    <w:p>
      <w:pPr>
        <w:spacing w:after="0" w:line="202" w:lineRule="exact"/>
        <w:rPr>
          <w:sz w:val="20"/>
          <w:szCs w:val="20"/>
          <w:color w:val="auto"/>
        </w:rPr>
      </w:pPr>
    </w:p>
    <w:p>
      <w:pPr>
        <w:jc w:val="both"/>
        <w:ind w:left="80" w:firstLine="749"/>
        <w:spacing w:after="0" w:line="238"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Kymera and Sanofi will respectively, at their own cost and expense, obtain and maintain commercially reasonable insurance coverage from insurance carriers licensed to do business under the laws of the country, state, commonwealth, province, or territory in which such Party’s obligations are provided, with insurers that carry a rating of at least an A- VII or better from A.M. Best. Each Party will furnish to the other Party evidence of such insurance upon request. Notwithstanding the foregoing, Sanofi may self-insure to the extent that it self-insures other activities.</w:t>
      </w:r>
    </w:p>
    <w:p>
      <w:pPr>
        <w:spacing w:after="0" w:line="177" w:lineRule="exact"/>
        <w:rPr>
          <w:sz w:val="20"/>
          <w:szCs w:val="20"/>
          <w:color w:val="auto"/>
        </w:rPr>
      </w:pPr>
    </w:p>
    <w:p>
      <w:pPr>
        <w:jc w:val="both"/>
        <w:ind w:left="80" w:firstLine="749"/>
        <w:spacing w:after="0" w:line="248" w:lineRule="auto"/>
        <w:rPr>
          <w:sz w:val="20"/>
          <w:szCs w:val="20"/>
          <w:color w:val="auto"/>
        </w:rPr>
      </w:pPr>
      <w:r>
        <w:rPr>
          <w:rFonts w:ascii="Times New Roman" w:cs="Times New Roman" w:eastAsia="Times New Roman" w:hAnsi="Times New Roman"/>
          <w:sz w:val="21"/>
          <w:szCs w:val="21"/>
          <w:color w:val="auto"/>
        </w:rPr>
        <w:t xml:space="preserve">14.3 </w:t>
      </w:r>
      <w:r>
        <w:rPr>
          <w:rFonts w:ascii="Times New Roman" w:cs="Times New Roman" w:eastAsia="Times New Roman" w:hAnsi="Times New Roman"/>
          <w:sz w:val="21"/>
          <w:szCs w:val="21"/>
          <w:b w:val="1"/>
          <w:bCs w:val="1"/>
          <w:u w:val="single" w:color="auto"/>
          <w:color w:val="auto"/>
        </w:rPr>
        <w:t>Limitation of Consequential Damages</w:t>
      </w:r>
      <w:r>
        <w:rPr>
          <w:rFonts w:ascii="Times New Roman" w:cs="Times New Roman" w:eastAsia="Times New Roman" w:hAnsi="Times New Roman"/>
          <w:sz w:val="21"/>
          <w:szCs w:val="21"/>
          <w:color w:val="auto"/>
        </w:rPr>
        <w:t xml:space="preserve">. Except for (a) claims of a Third Party that are subject to indemnification under this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xml:space="preserve">, (b) claims arising out of a Party’s fraud or willful misconduct or (c) a Party’s breach of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10.7</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10.8</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16</w:t>
      </w:r>
      <w:r>
        <w:rPr>
          <w:rFonts w:ascii="Times New Roman" w:cs="Times New Roman" w:eastAsia="Times New Roman" w:hAnsi="Times New Roman"/>
          <w:sz w:val="21"/>
          <w:szCs w:val="21"/>
          <w:color w:val="auto"/>
        </w:rPr>
        <w:t>, neither Party nor any of its Affiliates will be liable to the other Party or its Affiliates for any incidental, special, punitive or other indirect damages or lost or imputed profits or royalties, lost data or cost of procurement of substitute goods or services, which are not probable and reasonably foreseeable,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TERMINATION</w:t>
      </w:r>
    </w:p>
    <w:p>
      <w:pPr>
        <w:spacing w:after="0" w:line="178" w:lineRule="exact"/>
        <w:rPr>
          <w:sz w:val="20"/>
          <w:szCs w:val="20"/>
          <w:color w:val="auto"/>
        </w:rPr>
      </w:pPr>
    </w:p>
    <w:p>
      <w:pPr>
        <w:jc w:val="both"/>
        <w:ind w:left="80" w:firstLine="749"/>
        <w:spacing w:after="0" w:line="246"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b w:val="1"/>
          <w:bCs w:val="1"/>
          <w:u w:val="single" w:color="auto"/>
          <w:color w:val="auto"/>
        </w:rPr>
        <w:t>Term; Expiration</w:t>
      </w:r>
      <w:r>
        <w:rPr>
          <w:rFonts w:ascii="Times New Roman" w:cs="Times New Roman" w:eastAsia="Times New Roman" w:hAnsi="Times New Roman"/>
          <w:sz w:val="22"/>
          <w:szCs w:val="22"/>
          <w:color w:val="auto"/>
        </w:rPr>
        <w:t xml:space="preserve">. Subject to the Closing as set forth in </w:t>
      </w:r>
      <w:r>
        <w:rPr>
          <w:rFonts w:ascii="Times New Roman" w:cs="Times New Roman" w:eastAsia="Times New Roman" w:hAnsi="Times New Roman"/>
          <w:sz w:val="22"/>
          <w:szCs w:val="22"/>
          <w:u w:val="single" w:color="auto"/>
          <w:color w:val="auto"/>
        </w:rPr>
        <w:t>Section 17.2</w:t>
      </w:r>
      <w:r>
        <w:rPr>
          <w:rFonts w:ascii="Times New Roman" w:cs="Times New Roman" w:eastAsia="Times New Roman" w:hAnsi="Times New Roman"/>
          <w:sz w:val="22"/>
          <w:szCs w:val="22"/>
          <w:color w:val="auto"/>
        </w:rPr>
        <w:t xml:space="preserve">, the term of this Agreement will begin as of the Original Agreement Effective Date and, unless earlier terminated pursuant to the other provisions of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will expire on the latest of (such period,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ind w:right="20" w:firstLine="2254"/>
        <w:spacing w:after="0" w:line="258" w:lineRule="auto"/>
        <w:tabs>
          <w:tab w:leader="none" w:pos="267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Opt-In Product-by-Opt-In Product basis, the date on which neither Party is Developing or Commercializing such Opt-In Product in the U.S.;</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Licensed Product that is not an Opt-In Product, on a country-by-country and Licensed Product-by-Licensed Product basis, on the date of expiration of all payment obligations under this Agreement with respect to such Licensed Product in such country; and</w:t>
      </w:r>
    </w:p>
    <w:p>
      <w:pPr>
        <w:spacing w:after="0" w:line="173"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its entirety upon the expiration of all payment obligations under this Agreement with respect to all Licensed Products in all countries pursuant to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b w:val="1"/>
          <w:bCs w:val="1"/>
          <w:u w:val="single" w:color="auto"/>
          <w:color w:val="auto"/>
        </w:rPr>
        <w:t>Termination of the 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15.2.1 </w:t>
      </w:r>
      <w:r>
        <w:rPr>
          <w:rFonts w:ascii="Times New Roman" w:cs="Times New Roman" w:eastAsia="Times New Roman" w:hAnsi="Times New Roman"/>
          <w:sz w:val="22"/>
          <w:szCs w:val="22"/>
          <w:b w:val="1"/>
          <w:bCs w:val="1"/>
          <w:u w:val="single" w:color="auto"/>
          <w:color w:val="auto"/>
        </w:rPr>
        <w:t>Automatic Termination of Collaboration Target</w:t>
      </w:r>
      <w:r>
        <w:rPr>
          <w:rFonts w:ascii="Times New Roman" w:cs="Times New Roman" w:eastAsia="Times New Roman" w:hAnsi="Times New Roman"/>
          <w:sz w:val="22"/>
          <w:szCs w:val="22"/>
          <w:color w:val="auto"/>
        </w:rPr>
        <w:t xml:space="preserve">. If Sanofi fails to timely exercise the Sanofi Participation Election Right with respect to a Collaboration Target in accordance with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prior to the applicable Sanofi Participation Election Deadline, this Agreement will automatically terminate with respect to such Collaboration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97" w:name="page298"/>
    <w:bookmarkEnd w:id="297"/>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Target, and, for clarity, such Collaboration Target will become a Terminated Target, with no further action by the Parties.</w:t>
      </w:r>
    </w:p>
    <w:p>
      <w:pPr>
        <w:spacing w:after="0" w:line="202"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15.2.2 </w:t>
      </w:r>
      <w:r>
        <w:rPr>
          <w:rFonts w:ascii="Times New Roman" w:cs="Times New Roman" w:eastAsia="Times New Roman" w:hAnsi="Times New Roman"/>
          <w:sz w:val="22"/>
          <w:szCs w:val="22"/>
          <w:b w:val="1"/>
          <w:bCs w:val="1"/>
          <w:u w:val="single" w:color="auto"/>
          <w:color w:val="auto"/>
        </w:rPr>
        <w:t>Sanofi’s Termination for Convenience</w:t>
      </w:r>
      <w:r>
        <w:rPr>
          <w:rFonts w:ascii="Times New Roman" w:cs="Times New Roman" w:eastAsia="Times New Roman" w:hAnsi="Times New Roman"/>
          <w:sz w:val="22"/>
          <w:szCs w:val="22"/>
          <w:color w:val="auto"/>
        </w:rPr>
        <w:t>. Sanofi may terminate this Agreement, either (i) in its entirety, or (ii) on a Collaboration Target-by-Collaboration Target basis, in each case ((i)-(ii)), for convenience by providing written notice of its intent to terminate to Kymera, in which case, such termination will be effective [***] after Kymera’s receipt of such written notice, and, for clarity, any such Collaboration Target, or each Collaboration Target to the extent this Agreement is terminated in its entirety, will become a Terminated Target.</w:t>
      </w:r>
    </w:p>
    <w:p>
      <w:pPr>
        <w:spacing w:after="0" w:line="177"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15.2.3</w:t>
      </w:r>
      <w:r>
        <w:rPr>
          <w:sz w:val="20"/>
          <w:szCs w:val="20"/>
          <w:color w:val="auto"/>
        </w:rPr>
        <w:tab/>
      </w:r>
      <w:r>
        <w:rPr>
          <w:rFonts w:ascii="Times New Roman" w:cs="Times New Roman" w:eastAsia="Times New Roman" w:hAnsi="Times New Roman"/>
          <w:sz w:val="21"/>
          <w:szCs w:val="21"/>
          <w:b w:val="1"/>
          <w:bCs w:val="1"/>
          <w:u w:val="single" w:color="auto"/>
          <w:color w:val="auto"/>
        </w:rPr>
        <w:t>Termination under Certain Circumstances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680" w:hanging="426"/>
        <w:spacing w:after="0"/>
        <w:tabs>
          <w:tab w:leader="none" w:pos="2680"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Sanofi’s Right to Terminate for Material Breach</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3003"/>
        <w:spacing w:after="0" w:line="244" w:lineRule="auto"/>
        <w:tabs>
          <w:tab w:leader="none" w:pos="3427" w:val="left"/>
        </w:tabs>
        <w:numPr>
          <w:ilvl w:val="2"/>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15.2.3(a)(ii)</w:t>
      </w:r>
      <w:r>
        <w:rPr>
          <w:rFonts w:ascii="Times New Roman" w:cs="Times New Roman" w:eastAsia="Times New Roman" w:hAnsi="Times New Roman"/>
          <w:sz w:val="21"/>
          <w:szCs w:val="21"/>
          <w:color w:val="auto"/>
        </w:rPr>
        <w:t xml:space="preserve"> below, if Sanofi believes that Kymera is in material breach of this Agreement, Sanofi may deliver written notice of such material breach to Kymera. If the breach is curable, Kymera will have [***] following its receipt of such written notice to cure such breach (except to the extent such breach involves the failure to make a payment when due, which breach must be cured within [***] following its receipt of such written notice). If Kymera fails to cure, or fails to dispute, such breach within such [***] period or [***] period, as applicable, or the breach is not subject to cure, Sanofi may terminate this Agreement in its entirety or with respect to the particular Collaboration Target to which the breach relates by providing written notice to Kymera, in which case, this Agreement will terminate in its entirety or with respect to such Collaboration Target, as applicable, on the date on which Kymera receives such written notice;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w:t>
      </w:r>
    </w:p>
    <w:p>
      <w:pPr>
        <w:spacing w:after="0" w:line="3" w:lineRule="exact"/>
        <w:rPr>
          <w:rFonts w:ascii="Times New Roman" w:cs="Times New Roman" w:eastAsia="Times New Roman" w:hAnsi="Times New Roman"/>
          <w:sz w:val="21"/>
          <w:szCs w:val="21"/>
          <w:color w:val="auto"/>
        </w:rPr>
      </w:pPr>
    </w:p>
    <w:p>
      <w:pPr>
        <w:jc w:val="both"/>
        <w:ind w:firstLine="8"/>
        <w:spacing w:after="0" w:line="234" w:lineRule="auto"/>
        <w:tabs>
          <w:tab w:leader="none" w:pos="36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relevant breach is curable, but not reasonably curable within [***], and (B) Kymera is making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Sanofi’s right to terminate this Agreement on account of such breach will be suspended for so long as Kymera is continuing to make such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and if such breach is successfully cured, Sanofi will no longer have the right to terminate this Agreement on account of such breach.</w:t>
      </w:r>
    </w:p>
    <w:p>
      <w:pPr>
        <w:spacing w:after="0" w:line="177" w:lineRule="exact"/>
        <w:rPr>
          <w:rFonts w:ascii="Times New Roman" w:cs="Times New Roman" w:eastAsia="Times New Roman" w:hAnsi="Times New Roman"/>
          <w:sz w:val="22"/>
          <w:szCs w:val="22"/>
          <w:color w:val="auto"/>
        </w:rPr>
      </w:pPr>
    </w:p>
    <w:p>
      <w:pPr>
        <w:jc w:val="both"/>
        <w:ind w:firstLine="3003"/>
        <w:spacing w:after="0" w:line="236" w:lineRule="auto"/>
        <w:tabs>
          <w:tab w:leader="none" w:pos="3427"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Sanofi believes that Kymera is in material breach of this Agreement and such breach constitutes a Step-In Trigger, as defined in </w:t>
      </w:r>
      <w:r>
        <w:rPr>
          <w:rFonts w:ascii="Times New Roman" w:cs="Times New Roman" w:eastAsia="Times New Roman" w:hAnsi="Times New Roman"/>
          <w:sz w:val="22"/>
          <w:szCs w:val="22"/>
          <w:u w:val="single" w:color="auto"/>
          <w:color w:val="auto"/>
        </w:rPr>
        <w:t>Section 15.2.4</w:t>
      </w:r>
      <w:r>
        <w:rPr>
          <w:rFonts w:ascii="Times New Roman" w:cs="Times New Roman" w:eastAsia="Times New Roman" w:hAnsi="Times New Roman"/>
          <w:sz w:val="22"/>
          <w:szCs w:val="22"/>
          <w:color w:val="auto"/>
        </w:rPr>
        <w:t xml:space="preserve">, Sanofi may deliver written notice of such material breach to Kymera. If the breach is curable, Kymera will have [***] following its receipt of such written notice to cure such breach. If Kymera fails to cure, or fails to dispute, such breach within such [***] period, or the breach is not subject to cure, Sanofi may elect to exercise the alternate remedy provision set forth in </w:t>
      </w:r>
      <w:r>
        <w:rPr>
          <w:rFonts w:ascii="Times New Roman" w:cs="Times New Roman" w:eastAsia="Times New Roman" w:hAnsi="Times New Roman"/>
          <w:sz w:val="22"/>
          <w:szCs w:val="22"/>
          <w:u w:val="single" w:color="auto"/>
          <w:color w:val="auto"/>
        </w:rPr>
        <w:t>Section 15.2.4</w:t>
      </w:r>
      <w:r>
        <w:rPr>
          <w:rFonts w:ascii="Times New Roman" w:cs="Times New Roman" w:eastAsia="Times New Roman" w:hAnsi="Times New Roman"/>
          <w:sz w:val="22"/>
          <w:szCs w:val="22"/>
          <w:color w:val="auto"/>
        </w:rPr>
        <w:t>. If Sanofi does not exercise the alternate remedy provision, this Agreement will terminate [***] after the date on which Kymera received written notice of the material breach.</w:t>
      </w:r>
    </w:p>
    <w:p>
      <w:pPr>
        <w:spacing w:after="0" w:line="177"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Sanofi’s Right to Terminate for Material Safety Event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a Material Safety Event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occurred and notice has been provided pursuant to </w:t>
      </w:r>
      <w:r>
        <w:rPr>
          <w:rFonts w:ascii="Times New Roman" w:cs="Times New Roman" w:eastAsia="Times New Roman" w:hAnsi="Times New Roman"/>
          <w:sz w:val="22"/>
          <w:szCs w:val="22"/>
          <w:u w:val="single" w:color="auto"/>
          <w:color w:val="auto"/>
        </w:rPr>
        <w:t>Section 7.6.2</w:t>
      </w:r>
      <w:r>
        <w:rPr>
          <w:rFonts w:ascii="Times New Roman" w:cs="Times New Roman" w:eastAsia="Times New Roman" w:hAnsi="Times New Roman"/>
          <w:sz w:val="22"/>
          <w:szCs w:val="22"/>
          <w:color w:val="auto"/>
        </w:rPr>
        <w:t>, Sanofi may: (i) in the event of a Sanofi Material Safety Event Notice or a Kymera Material Safety Event Notice issued by Sanofi, include in such notice (or within [***] after the date of such Sanofi Material Safety Event Notice or Kymera Material Safety Event Notice, as applicable) a written notice of termination of this Agreement, or (ii) in the event of a Kymera Material Safety Event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Notice, provide Kymera a written notice of termination of this Agreement within [***] after the date of such Kymera Material Safety Event Notice (a “</w:t>
      </w:r>
      <w:r>
        <w:rPr>
          <w:rFonts w:ascii="Times New Roman" w:cs="Times New Roman" w:eastAsia="Times New Roman" w:hAnsi="Times New Roman"/>
          <w:sz w:val="22"/>
          <w:szCs w:val="22"/>
          <w:b w:val="1"/>
          <w:bCs w:val="1"/>
          <w:color w:val="auto"/>
        </w:rPr>
        <w:t>Safety Termination</w:t>
      </w:r>
      <w:r>
        <w:rPr>
          <w:rFonts w:ascii="Times New Roman" w:cs="Times New Roman" w:eastAsia="Times New Roman" w:hAnsi="Times New Roman"/>
          <w:sz w:val="22"/>
          <w:szCs w:val="22"/>
          <w:color w:val="auto"/>
        </w:rPr>
        <w:t>”), which termination notice will be effective as of the date of its issuance.</w:t>
      </w:r>
    </w:p>
    <w:p>
      <w:pPr>
        <w:spacing w:after="0" w:line="154" w:lineRule="exact"/>
        <w:rPr>
          <w:sz w:val="20"/>
          <w:szCs w:val="20"/>
          <w:color w:val="auto"/>
        </w:rPr>
      </w:pPr>
    </w:p>
    <w:p>
      <w:pPr>
        <w:jc w:val="both"/>
        <w:ind w:firstLine="2254"/>
        <w:spacing w:after="0" w:line="233" w:lineRule="auto"/>
        <w:tabs>
          <w:tab w:leader="none" w:pos="267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Kymera’s Right to Terminate for Material Breach</w:t>
      </w:r>
      <w:r>
        <w:rPr>
          <w:rFonts w:ascii="Times New Roman" w:cs="Times New Roman" w:eastAsia="Times New Roman" w:hAnsi="Times New Roman"/>
          <w:sz w:val="22"/>
          <w:szCs w:val="22"/>
          <w:color w:val="auto"/>
        </w:rPr>
        <w:t>. If Kymera believes that Sanofi is in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breach of this Agreement, Kymera may deliver written notice of such material breach to Sanofi. If the breach is curable, Sanofi will have [***] following its receipt of such written notice to cure such breach (except to the extent such breach involves the failure to make a payment when due, which breach must be cured within [***] following its receipt of such written notice). If Sanofi fails to cure, or fails to dispute, such breach within such [***] period or [***] period, as applicable, or the breach is not subject to cure, Kymera may terminate this Agreement in its entirety or solely with respect to the particular Collaboration Target to which the breach relates, by providing written notice to Sanofi, in which case, this Agreement will terminate in its entirety or with respect to such Collaboration Target, as applicable, on the date on which Sanofi receives such written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 the relevant breach (1) does not involve Sanofi’s failure to make a payment when due and (2) is curable, but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not reasonably curable within [***], and (B) Sanofi is making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Kymera’s right to terminate this Agreement on account of such breach will be suspended for so long as Sanofi is continuing to make such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effort to cure such breach and if such breach is successfully cured, Kymera will no longer have the right to terminate this Agreement on account of such breach.</w:t>
      </w:r>
    </w:p>
    <w:p>
      <w:pPr>
        <w:spacing w:after="0" w:line="182" w:lineRule="exact"/>
        <w:rPr>
          <w:rFonts w:ascii="Times New Roman" w:cs="Times New Roman" w:eastAsia="Times New Roman" w:hAnsi="Times New Roman"/>
          <w:sz w:val="22"/>
          <w:szCs w:val="22"/>
          <w:color w:val="auto"/>
        </w:rPr>
      </w:pPr>
    </w:p>
    <w:p>
      <w:pPr>
        <w:jc w:val="both"/>
        <w:ind w:firstLine="2254"/>
        <w:spacing w:after="0" w:line="232" w:lineRule="auto"/>
        <w:tabs>
          <w:tab w:leader="none" w:pos="271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Each Party’s Right to Terminate for a Patent Challenge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 Party or its Affiliates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commences or actively and voluntarily participates in any legal action or administrative proceeding (including any patent opposition or re-examination proceeding) challenging or denying the validity or enforceability of any claim of any Patent that is licensed to it by the other Party under this Agreement, or (B) actively and voluntarily assists, or directs or supports any other Person in bringing or prosecuting any legal action or administrative proceeding (including any patent opposition or re-examination proceeding) challenging or denying the validity or enforceability of any claim of any Patent that is licensed to it by the other Party under this Agreement (each of (A) and (B), a “</w:t>
      </w:r>
      <w:r>
        <w:rPr>
          <w:rFonts w:ascii="Times New Roman" w:cs="Times New Roman" w:eastAsia="Times New Roman" w:hAnsi="Times New Roman"/>
          <w:sz w:val="22"/>
          <w:szCs w:val="22"/>
          <w:b w:val="1"/>
          <w:bCs w:val="1"/>
          <w:color w:val="auto"/>
        </w:rPr>
        <w:t>Patent Challenge</w:t>
      </w:r>
      <w:r>
        <w:rPr>
          <w:rFonts w:ascii="Times New Roman" w:cs="Times New Roman" w:eastAsia="Times New Roman" w:hAnsi="Times New Roman"/>
          <w:sz w:val="22"/>
          <w:szCs w:val="22"/>
          <w:color w:val="auto"/>
        </w:rPr>
        <w:t xml:space="preserve">”), then, to the extent permitted by Applicable Law, the challenged Party will have the right, in its sole discretion, to terminate this Agreement with respect to any Collaboration Target to which such Patent relates, upon written notice to the challenging Party, [***] following such notice, and, unless the challenging Party withdraws or causes to be withdrawn all such challenge(s) (or in the case of </w:t>
      </w:r>
      <w:r>
        <w:rPr>
          <w:rFonts w:ascii="Times New Roman" w:cs="Times New Roman" w:eastAsia="Times New Roman" w:hAnsi="Times New Roman"/>
          <w:sz w:val="22"/>
          <w:szCs w:val="22"/>
          <w:i w:val="1"/>
          <w:iCs w:val="1"/>
          <w:color w:val="auto"/>
        </w:rPr>
        <w:t>ex-parte</w:t>
      </w:r>
      <w:r>
        <w:rPr>
          <w:rFonts w:ascii="Times New Roman" w:cs="Times New Roman" w:eastAsia="Times New Roman" w:hAnsi="Times New Roman"/>
          <w:sz w:val="22"/>
          <w:szCs w:val="22"/>
          <w:color w:val="auto"/>
        </w:rPr>
        <w:t xml:space="preserve"> proceedings, multi-party proceedings, or other Patent Challenges that the challenging Party does not have the power to unilaterally withdraw or cause to be withdrawn, the challenging Party ceases assisting any other party to such Patent Challenge and, to the extent the challenging Party is a party to such Patent Challenge, it withdraws from such Patent Challenge within such [***] period), this Agreement will automatically terminate with respect to any Collaboration Target to which such Patent relates. Notwithstanding the foregoing, (a) the challenged Party will not have the right to terminate this Agreement under this </w:t>
      </w:r>
      <w:r>
        <w:rPr>
          <w:rFonts w:ascii="Times New Roman" w:cs="Times New Roman" w:eastAsia="Times New Roman" w:hAnsi="Times New Roman"/>
          <w:sz w:val="22"/>
          <w:szCs w:val="22"/>
          <w:u w:val="single" w:color="auto"/>
          <w:color w:val="auto"/>
        </w:rPr>
        <w:t>Section 15.2.3(d)</w:t>
      </w:r>
      <w:r>
        <w:rPr>
          <w:rFonts w:ascii="Times New Roman" w:cs="Times New Roman" w:eastAsia="Times New Roman" w:hAnsi="Times New Roman"/>
          <w:sz w:val="22"/>
          <w:szCs w:val="22"/>
          <w:color w:val="auto"/>
        </w:rPr>
        <w:t xml:space="preserve"> if the challenging Party challenges the validity of any Patents of the challenged Party licensed to such challenging Party under this Agreement in defense of claims of patent infringement filed by the challenged Party against such Party or its Affiliate, as the case may be, and (b) the termination provisions under this </w:t>
      </w:r>
      <w:r>
        <w:rPr>
          <w:rFonts w:ascii="Times New Roman" w:cs="Times New Roman" w:eastAsia="Times New Roman" w:hAnsi="Times New Roman"/>
          <w:sz w:val="22"/>
          <w:szCs w:val="22"/>
          <w:u w:val="single" w:color="auto"/>
          <w:color w:val="auto"/>
        </w:rPr>
        <w:t>Section 15.2.3(d)</w:t>
      </w:r>
      <w:r>
        <w:rPr>
          <w:rFonts w:ascii="Times New Roman" w:cs="Times New Roman" w:eastAsia="Times New Roman" w:hAnsi="Times New Roman"/>
          <w:sz w:val="22"/>
          <w:szCs w:val="22"/>
          <w:color w:val="auto"/>
        </w:rPr>
        <w:t xml:space="preserve"> will not apply with respect to any administrative proceeding that is filed, after consultation with the challenged Party, in a good-faith effort to correct, reinforce the patentability, validity or enforceability of, or expand the claim scope of, a challenged licensed Patent</w:t>
      </w:r>
      <w:r>
        <w:rPr>
          <w:rFonts w:ascii="Times New Roman" w:cs="Times New Roman" w:eastAsia="Times New Roman" w:hAnsi="Times New Roman"/>
          <w:sz w:val="22"/>
          <w:szCs w:val="22"/>
          <w:b w:val="1"/>
          <w:bCs w:val="1"/>
          <w:i w:val="1"/>
          <w:iCs w:val="1"/>
          <w:color w:val="auto"/>
        </w:rPr>
        <w: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ind w:left="2680" w:hanging="426"/>
        <w:spacing w:after="0"/>
        <w:tabs>
          <w:tab w:leader="none" w:pos="268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Kymera’s Right to Terminate for Shelving</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firstLine="3003"/>
        <w:spacing w:after="0" w:line="235" w:lineRule="auto"/>
        <w:tabs>
          <w:tab w:leader="none" w:pos="3427"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Collaboration Target-by-Collaboration Target basis, following the Sanofi Participation Election Exercise, if Sanofi and its Affiliates and Sublicensees cease all Research, Development, Manufacturing and Commercialization activities with respect to Collaboration Compounds, Collaboration Candidates and Licensed Products Directed Against such Collaboration Target for a period of not less than [***], and such cessation is not due to a requirement of a Regulatory Authority, a Force Majeure, a delay by a supplier or other vendor or any similar event outside of Sanofi’s or its Affiliates’ or Sublicensees’ reasonable control, Kymera will have the right to terminate this Agreement with respect to such Collaboration Target upon [***] written notice thereof to Sanofi.</w:t>
      </w:r>
    </w:p>
    <w:p>
      <w:pPr>
        <w:spacing w:after="0" w:line="183" w:lineRule="exact"/>
        <w:rPr>
          <w:rFonts w:ascii="Times New Roman" w:cs="Times New Roman" w:eastAsia="Times New Roman" w:hAnsi="Times New Roman"/>
          <w:sz w:val="22"/>
          <w:szCs w:val="22"/>
          <w:color w:val="auto"/>
        </w:rPr>
      </w:pPr>
    </w:p>
    <w:p>
      <w:pPr>
        <w:jc w:val="both"/>
        <w:ind w:firstLine="3003"/>
        <w:spacing w:after="0" w:line="238" w:lineRule="auto"/>
        <w:tabs>
          <w:tab w:leader="none" w:pos="3427"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clause (i), in the event Kymera terminates this Agreement under this </w:t>
      </w:r>
      <w:r>
        <w:rPr>
          <w:rFonts w:ascii="Times New Roman" w:cs="Times New Roman" w:eastAsia="Times New Roman" w:hAnsi="Times New Roman"/>
          <w:sz w:val="22"/>
          <w:szCs w:val="22"/>
          <w:u w:val="single" w:color="auto"/>
          <w:color w:val="auto"/>
        </w:rPr>
        <w:t>Section 15.2.3(e)</w:t>
      </w:r>
      <w:r>
        <w:rPr>
          <w:rFonts w:ascii="Times New Roman" w:cs="Times New Roman" w:eastAsia="Times New Roman" w:hAnsi="Times New Roman"/>
          <w:sz w:val="22"/>
          <w:szCs w:val="22"/>
          <w:color w:val="auto"/>
        </w:rPr>
        <w:t xml:space="preserve"> with respect to a given Collaboration Target after completion of all Backup Research in accordance with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if [***], then for a period of [***] following the effective date of termination of this Agreement with respect to such Collaboration Target, Kymera will not, and will cause its Affiliates not to,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will not prohibit Kymera or its Affiliates from [***].</w:t>
      </w:r>
    </w:p>
    <w:p>
      <w:pPr>
        <w:spacing w:after="0" w:line="176" w:lineRule="exact"/>
        <w:rPr>
          <w:rFonts w:ascii="Times New Roman" w:cs="Times New Roman" w:eastAsia="Times New Roman" w:hAnsi="Times New Roman"/>
          <w:sz w:val="22"/>
          <w:szCs w:val="22"/>
          <w:color w:val="auto"/>
        </w:rPr>
      </w:pPr>
    </w:p>
    <w:p>
      <w:pPr>
        <w:jc w:val="both"/>
        <w:ind w:firstLine="3003"/>
        <w:spacing w:after="0" w:line="244" w:lineRule="auto"/>
        <w:tabs>
          <w:tab w:leader="none" w:pos="3427"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 Collaboration Target by Collaboration Target basis, if (a) Kymera terminates this Agreement pursuant to </w:t>
      </w:r>
      <w:r>
        <w:rPr>
          <w:rFonts w:ascii="Times New Roman" w:cs="Times New Roman" w:eastAsia="Times New Roman" w:hAnsi="Times New Roman"/>
          <w:sz w:val="22"/>
          <w:szCs w:val="22"/>
          <w:u w:val="single" w:color="auto"/>
          <w:color w:val="auto"/>
        </w:rPr>
        <w:t>Section 15.2.3(e)(i)</w:t>
      </w:r>
      <w:r>
        <w:rPr>
          <w:rFonts w:ascii="Times New Roman" w:cs="Times New Roman" w:eastAsia="Times New Roman" w:hAnsi="Times New Roman"/>
          <w:sz w:val="22"/>
          <w:szCs w:val="22"/>
          <w:color w:val="auto"/>
        </w:rPr>
        <w:t xml:space="preserve"> with respect to such Collaboration Target, (b) the provisions of </w:t>
      </w:r>
      <w:r>
        <w:rPr>
          <w:rFonts w:ascii="Times New Roman" w:cs="Times New Roman" w:eastAsia="Times New Roman" w:hAnsi="Times New Roman"/>
          <w:sz w:val="22"/>
          <w:szCs w:val="22"/>
          <w:u w:val="single" w:color="auto"/>
          <w:color w:val="auto"/>
        </w:rPr>
        <w:t>Section 15.2.3(e)(ii)</w:t>
      </w:r>
      <w:r>
        <w:rPr>
          <w:rFonts w:ascii="Times New Roman" w:cs="Times New Roman" w:eastAsia="Times New Roman" w:hAnsi="Times New Roman"/>
          <w:sz w:val="22"/>
          <w:szCs w:val="22"/>
          <w:color w:val="auto"/>
        </w:rPr>
        <w:t xml:space="preserve"> apply, and (c) prior to the [***].</w:t>
      </w:r>
    </w:p>
    <w:p>
      <w:pPr>
        <w:spacing w:after="0" w:line="173"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(Y) Sanofi does not provide a [***] within such [***] period, or (Z) [***], then,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each case ((Y) and (Z)), [***].</w:t>
      </w:r>
    </w:p>
    <w:p>
      <w:pPr>
        <w:spacing w:after="0" w:line="178" w:lineRule="exact"/>
        <w:rPr>
          <w:rFonts w:ascii="Times New Roman" w:cs="Times New Roman" w:eastAsia="Times New Roman" w:hAnsi="Times New Roman"/>
          <w:sz w:val="21"/>
          <w:szCs w:val="21"/>
          <w:color w:val="auto"/>
        </w:rPr>
      </w:pPr>
    </w:p>
    <w:p>
      <w:pPr>
        <w:jc w:val="both"/>
        <w:ind w:firstLine="2254"/>
        <w:spacing w:after="0" w:line="237" w:lineRule="auto"/>
        <w:tabs>
          <w:tab w:leader="none" w:pos="269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Sanofi’s Right to Terminate the SAD for Convenience</w:t>
      </w:r>
      <w:r>
        <w:rPr>
          <w:rFonts w:ascii="Times New Roman" w:cs="Times New Roman" w:eastAsia="Times New Roman" w:hAnsi="Times New Roman"/>
          <w:sz w:val="22"/>
          <w:szCs w:val="22"/>
          <w:color w:val="auto"/>
        </w:rPr>
        <w:t>. Sanofi may terminate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with respect to the Second Additional Degraders (such termination, the “</w:t>
      </w:r>
      <w:r>
        <w:rPr>
          <w:rFonts w:ascii="Times New Roman" w:cs="Times New Roman" w:eastAsia="Times New Roman" w:hAnsi="Times New Roman"/>
          <w:sz w:val="22"/>
          <w:szCs w:val="22"/>
          <w:b w:val="1"/>
          <w:bCs w:val="1"/>
          <w:color w:val="auto"/>
        </w:rPr>
        <w:t>SAD Termination</w:t>
      </w:r>
      <w:r>
        <w:rPr>
          <w:rFonts w:ascii="Times New Roman" w:cs="Times New Roman" w:eastAsia="Times New Roman" w:hAnsi="Times New Roman"/>
          <w:sz w:val="22"/>
          <w:szCs w:val="22"/>
          <w:color w:val="auto"/>
        </w:rPr>
        <w:t xml:space="preserve">” and such terminated Second Additional Degraders, the “ </w:t>
      </w:r>
      <w:r>
        <w:rPr>
          <w:rFonts w:ascii="Times New Roman" w:cs="Times New Roman" w:eastAsia="Times New Roman" w:hAnsi="Times New Roman"/>
          <w:sz w:val="22"/>
          <w:szCs w:val="22"/>
          <w:b w:val="1"/>
          <w:bCs w:val="1"/>
          <w:color w:val="auto"/>
        </w:rPr>
        <w:t>Terminated Degraders</w:t>
      </w:r>
      <w:r>
        <w:rPr>
          <w:rFonts w:ascii="Times New Roman" w:cs="Times New Roman" w:eastAsia="Times New Roman" w:hAnsi="Times New Roman"/>
          <w:sz w:val="22"/>
          <w:szCs w:val="22"/>
          <w:color w:val="auto"/>
        </w:rPr>
        <w:t>”), for convenience by providing written notice of its intent to terminate to Kymera, in which case, such termination will be effective (i) [***] after Kymera’s receipt of such written notice, if such notice is provided during the Second Additional Degrader Research Term, or (ii) [***] after Kymera’s receipt of such written notice, if such notice is provided after expiration of the Second Additional Degrader Research Term.</w:t>
      </w:r>
    </w:p>
    <w:p>
      <w:pPr>
        <w:spacing w:after="0" w:line="175" w:lineRule="exact"/>
        <w:rPr>
          <w:sz w:val="20"/>
          <w:szCs w:val="20"/>
          <w:color w:val="auto"/>
        </w:rPr>
      </w:pPr>
    </w:p>
    <w:p>
      <w:pPr>
        <w:jc w:val="both"/>
        <w:ind w:left="48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15.2.4 </w:t>
      </w:r>
      <w:r>
        <w:rPr>
          <w:rFonts w:ascii="Times New Roman" w:cs="Times New Roman" w:eastAsia="Times New Roman" w:hAnsi="Times New Roman"/>
          <w:sz w:val="22"/>
          <w:szCs w:val="22"/>
          <w:b w:val="1"/>
          <w:bCs w:val="1"/>
          <w:u w:val="single" w:color="auto"/>
          <w:color w:val="auto"/>
        </w:rPr>
        <w:t>Remedy in Lieu of Termination</w:t>
      </w:r>
      <w:r>
        <w:rPr>
          <w:rFonts w:ascii="Times New Roman" w:cs="Times New Roman" w:eastAsia="Times New Roman" w:hAnsi="Times New Roman"/>
          <w:sz w:val="22"/>
          <w:szCs w:val="22"/>
          <w:color w:val="auto"/>
        </w:rPr>
        <w:t xml:space="preserve">. In the event that [***], in lieu of terminating this Agreement pursuant to </w:t>
      </w:r>
      <w:r>
        <w:rPr>
          <w:rFonts w:ascii="Times New Roman" w:cs="Times New Roman" w:eastAsia="Times New Roman" w:hAnsi="Times New Roman"/>
          <w:sz w:val="22"/>
          <w:szCs w:val="22"/>
          <w:u w:val="single" w:color="auto"/>
          <w:color w:val="auto"/>
        </w:rPr>
        <w:t>Section 15.2.3(a)</w:t>
      </w:r>
      <w:r>
        <w:rPr>
          <w:rFonts w:ascii="Times New Roman" w:cs="Times New Roman" w:eastAsia="Times New Roman" w:hAnsi="Times New Roman"/>
          <w:sz w:val="22"/>
          <w:szCs w:val="22"/>
          <w:color w:val="auto"/>
        </w:rPr>
        <w:t xml:space="preserve">, Sanofi may elect by written notice to Kymera, at Sanofi’s cost, to [***], in which case [***]. For clarity, [***]. In the event that Sanofi elects [***] pursuant to this </w:t>
      </w:r>
      <w:r>
        <w:rPr>
          <w:rFonts w:ascii="Times New Roman" w:cs="Times New Roman" w:eastAsia="Times New Roman" w:hAnsi="Times New Roman"/>
          <w:sz w:val="22"/>
          <w:szCs w:val="22"/>
          <w:u w:val="single" w:color="auto"/>
          <w:color w:val="auto"/>
        </w:rPr>
        <w:t>Section 15.2.4</w:t>
      </w:r>
      <w:r>
        <w:rPr>
          <w:rFonts w:ascii="Times New Roman" w:cs="Times New Roman" w:eastAsia="Times New Roman" w:hAnsi="Times New Roman"/>
          <w:sz w:val="22"/>
          <w:szCs w:val="22"/>
          <w:color w:val="auto"/>
        </w:rPr>
        <w:t>, then [***].</w:t>
      </w:r>
    </w:p>
    <w:p>
      <w:pPr>
        <w:spacing w:after="0" w:line="167" w:lineRule="exact"/>
        <w:rPr>
          <w:sz w:val="20"/>
          <w:szCs w:val="20"/>
          <w:color w:val="auto"/>
        </w:rPr>
      </w:pPr>
    </w:p>
    <w:p>
      <w:pPr>
        <w:jc w:val="both"/>
        <w:ind w:left="480"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15.2.5 </w:t>
      </w:r>
      <w:r>
        <w:rPr>
          <w:rFonts w:ascii="Times New Roman" w:cs="Times New Roman" w:eastAsia="Times New Roman" w:hAnsi="Times New Roman"/>
          <w:sz w:val="22"/>
          <w:szCs w:val="22"/>
          <w:b w:val="1"/>
          <w:bCs w:val="1"/>
          <w:u w:val="single" w:color="auto"/>
          <w:color w:val="auto"/>
        </w:rPr>
        <w:t>Disputes Regarding Material Breach</w:t>
      </w:r>
      <w:r>
        <w:rPr>
          <w:rFonts w:ascii="Times New Roman" w:cs="Times New Roman" w:eastAsia="Times New Roman" w:hAnsi="Times New Roman"/>
          <w:sz w:val="22"/>
          <w:szCs w:val="22"/>
          <w:color w:val="auto"/>
        </w:rPr>
        <w:t xml:space="preserve">. Notwithstanding the foregoing, if the Breaching Party in </w:t>
      </w:r>
      <w:r>
        <w:rPr>
          <w:rFonts w:ascii="Times New Roman" w:cs="Times New Roman" w:eastAsia="Times New Roman" w:hAnsi="Times New Roman"/>
          <w:sz w:val="22"/>
          <w:szCs w:val="22"/>
          <w:u w:val="single" w:color="auto"/>
          <w:color w:val="auto"/>
        </w:rPr>
        <w:t>Section 15.2.3</w:t>
      </w:r>
      <w:r>
        <w:rPr>
          <w:rFonts w:ascii="Times New Roman" w:cs="Times New Roman" w:eastAsia="Times New Roman" w:hAnsi="Times New Roman"/>
          <w:sz w:val="22"/>
          <w:szCs w:val="22"/>
          <w:color w:val="auto"/>
        </w:rPr>
        <w:t xml:space="preserve"> disputes in good faith the existence, materiality, or failure to cure of any breach, and provides written notice to the Non-Breaching Party of such dispute within the relevant cure period, the Non-Breaching Party will not have the right to terminate this Agreement in accordance with </w:t>
      </w:r>
      <w:r>
        <w:rPr>
          <w:rFonts w:ascii="Times New Roman" w:cs="Times New Roman" w:eastAsia="Times New Roman" w:hAnsi="Times New Roman"/>
          <w:sz w:val="22"/>
          <w:szCs w:val="22"/>
          <w:u w:val="single" w:color="auto"/>
          <w:color w:val="auto"/>
        </w:rPr>
        <w:t>Section 15.2.3</w:t>
      </w:r>
      <w:r>
        <w:rPr>
          <w:rFonts w:ascii="Times New Roman" w:cs="Times New Roman" w:eastAsia="Times New Roman" w:hAnsi="Times New Roman"/>
          <w:sz w:val="22"/>
          <w:szCs w:val="22"/>
          <w:color w:val="auto"/>
        </w:rPr>
        <w:t xml:space="preserve">, or the right to exercise the alternative remedy provision of </w:t>
      </w:r>
      <w:r>
        <w:rPr>
          <w:rFonts w:ascii="Times New Roman" w:cs="Times New Roman" w:eastAsia="Times New Roman" w:hAnsi="Times New Roman"/>
          <w:sz w:val="22"/>
          <w:szCs w:val="22"/>
          <w:u w:val="single" w:color="auto"/>
          <w:color w:val="auto"/>
        </w:rPr>
        <w:t>Section 15.2.4</w:t>
      </w:r>
      <w:r>
        <w:rPr>
          <w:rFonts w:ascii="Times New Roman" w:cs="Times New Roman" w:eastAsia="Times New Roman" w:hAnsi="Times New Roman"/>
          <w:sz w:val="22"/>
          <w:szCs w:val="22"/>
          <w:color w:val="auto"/>
        </w:rPr>
        <w:t xml:space="preserve">, as applicable, unless and until the relevant dispute has been resolved pursuant to the dispute resolution provisions in </w:t>
      </w:r>
      <w:r>
        <w:rPr>
          <w:rFonts w:ascii="Times New Roman" w:cs="Times New Roman" w:eastAsia="Times New Roman" w:hAnsi="Times New Roman"/>
          <w:sz w:val="22"/>
          <w:szCs w:val="22"/>
          <w:u w:val="single" w:color="auto"/>
          <w:color w:val="auto"/>
        </w:rPr>
        <w:t>Section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00" w:name="page301"/>
    <w:bookmarkEnd w:id="300"/>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left="480"/>
        <w:spacing w:after="0" w:line="258" w:lineRule="auto"/>
        <w:rPr>
          <w:sz w:val="20"/>
          <w:szCs w:val="20"/>
          <w:color w:val="auto"/>
        </w:rPr>
      </w:pPr>
      <w:r>
        <w:rPr>
          <w:rFonts w:ascii="Times New Roman" w:cs="Times New Roman" w:eastAsia="Times New Roman" w:hAnsi="Times New Roman"/>
          <w:sz w:val="22"/>
          <w:szCs w:val="22"/>
          <w:u w:val="single" w:color="auto"/>
          <w:color w:val="auto"/>
        </w:rPr>
        <w:t>18.12</w:t>
      </w:r>
      <w:r>
        <w:rPr>
          <w:rFonts w:ascii="Times New Roman" w:cs="Times New Roman" w:eastAsia="Times New Roman" w:hAnsi="Times New Roman"/>
          <w:sz w:val="22"/>
          <w:szCs w:val="22"/>
          <w:color w:val="auto"/>
        </w:rPr>
        <w:t>. During the pendency of such dispute, all the terms of this Agreement will remain in effect and the Parties will continue to perform all of their respective obligations hereunder.</w:t>
      </w:r>
    </w:p>
    <w:p>
      <w:pPr>
        <w:spacing w:after="0" w:line="154" w:lineRule="exact"/>
        <w:rPr>
          <w:sz w:val="20"/>
          <w:szCs w:val="20"/>
          <w:color w:val="auto"/>
        </w:rPr>
      </w:pPr>
    </w:p>
    <w:p>
      <w:pPr>
        <w:jc w:val="both"/>
        <w:ind w:left="480" w:firstLine="1497"/>
        <w:spacing w:after="0" w:line="237" w:lineRule="auto"/>
        <w:rPr>
          <w:sz w:val="20"/>
          <w:szCs w:val="20"/>
          <w:color w:val="auto"/>
        </w:rPr>
      </w:pPr>
      <w:r>
        <w:rPr>
          <w:rFonts w:ascii="Times New Roman" w:cs="Times New Roman" w:eastAsia="Times New Roman" w:hAnsi="Times New Roman"/>
          <w:sz w:val="22"/>
          <w:szCs w:val="22"/>
          <w:color w:val="auto"/>
        </w:rPr>
        <w:t xml:space="preserve">15.2.6 </w:t>
      </w:r>
      <w:r>
        <w:rPr>
          <w:rFonts w:ascii="Times New Roman" w:cs="Times New Roman" w:eastAsia="Times New Roman" w:hAnsi="Times New Roman"/>
          <w:sz w:val="22"/>
          <w:szCs w:val="22"/>
          <w:b w:val="1"/>
          <w:bCs w:val="1"/>
          <w:u w:val="single" w:color="auto"/>
          <w:color w:val="auto"/>
        </w:rPr>
        <w:t>Termination for Insolvency</w:t>
      </w:r>
      <w:r>
        <w:rPr>
          <w:rFonts w:ascii="Times New Roman" w:cs="Times New Roman" w:eastAsia="Times New Roman" w:hAnsi="Times New Roman"/>
          <w:sz w:val="22"/>
          <w:szCs w:val="22"/>
          <w:color w:val="auto"/>
        </w:rPr>
        <w:t>. If, at any time during the Term, either Party makes an assignment for the benefit of creditors, appoints or suffers appointment of a receiver or trustee over all or substantially all of its property, files a petition under any bankruptcy or insolvency act or has any such petition filed against it that is not discharged within [***] after the filing thereof (each, an “</w:t>
      </w:r>
      <w:r>
        <w:rPr>
          <w:rFonts w:ascii="Times New Roman" w:cs="Times New Roman" w:eastAsia="Times New Roman" w:hAnsi="Times New Roman"/>
          <w:sz w:val="22"/>
          <w:szCs w:val="22"/>
          <w:b w:val="1"/>
          <w:bCs w:val="1"/>
          <w:color w:val="auto"/>
        </w:rPr>
        <w:t>Insolvency Event</w:t>
      </w:r>
      <w:r>
        <w:rPr>
          <w:rFonts w:ascii="Times New Roman" w:cs="Times New Roman" w:eastAsia="Times New Roman" w:hAnsi="Times New Roman"/>
          <w:sz w:val="22"/>
          <w:szCs w:val="22"/>
          <w:color w:val="auto"/>
        </w:rPr>
        <w:t>”), the other Party may terminate this Agreement in its entirety by providing written notice of its intent to terminate this Agreement to such Party, in which case, this Agreement will terminate on the date on which such Party receives such written notice.</w:t>
      </w:r>
    </w:p>
    <w:p>
      <w:pPr>
        <w:spacing w:after="0" w:line="1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b w:val="1"/>
          <w:bCs w:val="1"/>
          <w:u w:val="single" w:color="auto"/>
          <w:color w:val="auto"/>
        </w:rPr>
        <w:t>Consequences of Expiration or Termination of the 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15.3.1 </w:t>
      </w:r>
      <w:r>
        <w:rPr>
          <w:rFonts w:ascii="Times New Roman" w:cs="Times New Roman" w:eastAsia="Times New Roman" w:hAnsi="Times New Roman"/>
          <w:sz w:val="22"/>
          <w:szCs w:val="22"/>
          <w:b w:val="1"/>
          <w:bCs w:val="1"/>
          <w:u w:val="single" w:color="auto"/>
          <w:color w:val="auto"/>
        </w:rPr>
        <w:t>In General</w:t>
      </w:r>
      <w:r>
        <w:rPr>
          <w:rFonts w:ascii="Times New Roman" w:cs="Times New Roman" w:eastAsia="Times New Roman" w:hAnsi="Times New Roman"/>
          <w:sz w:val="22"/>
          <w:szCs w:val="22"/>
          <w:color w:val="auto"/>
        </w:rPr>
        <w:t xml:space="preserve">. If this Agreement expires or is terminated in its entirety or with respect to one or more Collaboration Targets (or, in the event of a SAD Termination, the Second Additional Degraders) by a Party pursuant to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15.2</w:t>
      </w:r>
      <w:r>
        <w:rPr>
          <w:rFonts w:ascii="Times New Roman" w:cs="Times New Roman" w:eastAsia="Times New Roman" w:hAnsi="Times New Roman"/>
          <w:sz w:val="22"/>
          <w:szCs w:val="22"/>
          <w:color w:val="auto"/>
        </w:rPr>
        <w:t>, the following terms will apply to this Agreement, either in its entirety or, on a Terminated Target-by-Terminated Target basis, with respect to the Terminated Targets (or, if applicable, Second Additional Degraders) that are the subject of such termination, as the case may be:</w:t>
      </w:r>
    </w:p>
    <w:p>
      <w:pPr>
        <w:spacing w:after="0" w:line="181" w:lineRule="exact"/>
        <w:rPr>
          <w:sz w:val="20"/>
          <w:szCs w:val="20"/>
          <w:color w:val="auto"/>
        </w:rPr>
      </w:pPr>
    </w:p>
    <w:p>
      <w:pPr>
        <w:ind w:right="20" w:firstLine="2254"/>
        <w:spacing w:after="0" w:line="258" w:lineRule="auto"/>
        <w:tabs>
          <w:tab w:leader="none" w:pos="267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Kymera for any Confidential Information of Sanofi that is Sanofi Reversion Technology, each Party will take all action required under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2254"/>
        <w:spacing w:after="0" w:line="239" w:lineRule="auto"/>
        <w:tabs>
          <w:tab w:leader="none" w:pos="267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or expiration of this Agreement for any reason will be without prejudice to any rights or financial compensation that will have accrued to the benefit of a Party prior to such expiration or termination. Such expiration or termination will not relieve a Party from obligations that are expressly indicated to survive the termination or expiration of this Agreement;</w:t>
      </w:r>
    </w:p>
    <w:p>
      <w:pPr>
        <w:spacing w:after="0" w:line="180"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Agreement expires or is terminated in its entirety, all Committees will automatically be dissolved as of the effective date of such termination;</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of expiration or termination, as to Prosecution and Maintenance matters:</w:t>
      </w:r>
    </w:p>
    <w:p>
      <w:pPr>
        <w:spacing w:after="0" w:line="206" w:lineRule="exact"/>
        <w:rPr>
          <w:rFonts w:ascii="Times New Roman" w:cs="Times New Roman" w:eastAsia="Times New Roman" w:hAnsi="Times New Roman"/>
          <w:sz w:val="22"/>
          <w:szCs w:val="22"/>
          <w:color w:val="auto"/>
        </w:rPr>
      </w:pPr>
    </w:p>
    <w:p>
      <w:pPr>
        <w:jc w:val="both"/>
        <w:ind w:firstLine="3003"/>
        <w:spacing w:after="0" w:line="236" w:lineRule="auto"/>
        <w:tabs>
          <w:tab w:leader="none" w:pos="3427"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control, be responsible for, and have the sole right (but not the obligation) for, at its own expense, all aspects of the Prosecution and Maintenance of all (i) Kymera Background Patents solely applicable to the Terminated Target, and (ii) all Kymera Foreground Patents solely applicable to the Terminated Target. For clarity, in the event that this Agreement is terminated in its entirety, Kymera will control, be responsible for, and have the sole right (but not the obligation) for, at its own expense, all aspects of the Prosecution and Maintenance of all Kymera Background Patents and all Kymera Foreground Patents;</w:t>
      </w:r>
    </w:p>
    <w:p>
      <w:pPr>
        <w:spacing w:after="0" w:line="181" w:lineRule="exact"/>
        <w:rPr>
          <w:rFonts w:ascii="Times New Roman" w:cs="Times New Roman" w:eastAsia="Times New Roman" w:hAnsi="Times New Roman"/>
          <w:sz w:val="22"/>
          <w:szCs w:val="22"/>
          <w:color w:val="auto"/>
        </w:rPr>
      </w:pPr>
    </w:p>
    <w:p>
      <w:pPr>
        <w:jc w:val="both"/>
        <w:ind w:firstLine="3003"/>
        <w:spacing w:after="0" w:line="244" w:lineRule="auto"/>
        <w:tabs>
          <w:tab w:leader="none" w:pos="3427"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Sanofi backup rights described in </w:t>
      </w:r>
      <w:r>
        <w:rPr>
          <w:rFonts w:ascii="Times New Roman" w:cs="Times New Roman" w:eastAsia="Times New Roman" w:hAnsi="Times New Roman"/>
          <w:sz w:val="22"/>
          <w:szCs w:val="22"/>
          <w:u w:val="single" w:color="auto"/>
          <w:color w:val="auto"/>
        </w:rPr>
        <w:t>Section 12.2.9(c)</w:t>
      </w:r>
      <w:r>
        <w:rPr>
          <w:rFonts w:ascii="Times New Roman" w:cs="Times New Roman" w:eastAsia="Times New Roman" w:hAnsi="Times New Roman"/>
          <w:sz w:val="22"/>
          <w:szCs w:val="22"/>
          <w:color w:val="auto"/>
        </w:rPr>
        <w:t>, Kymera will control, be responsible for, and have the sole right (but not the obligation) for, at its own expense, all aspects of the Prosecution and Maintenance of (i) all Joint Foreground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01" w:name="page302"/>
    <w:bookmarkEnd w:id="301"/>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Patents solely applicable to the Terminated Target, and (ii) all Joint Foreground Patents applicable to both the Terminated Target and another Target that is not a Collaboration Target. Notwithstanding the foregoing, in each case ((i) and (ii)), (x) Sanofi will have the right to review and comment on the Prosecution and Maintenance of each such Joint Foreground Patent, and (y) Kymera will incorporate all reasonable comments from Sanofi in respect thereof, and (z) if the Parties cannot agree on a particular action with respect to the Prosecution and Maintenance of such Joint Foreground Patent, then either Party may refer such dispute to an Independent Third Party Patent Counsel for resolution in accordance with the Patent Resolution Procedures. [***]; and</w:t>
      </w:r>
    </w:p>
    <w:p>
      <w:pPr>
        <w:spacing w:after="0" w:line="171" w:lineRule="exact"/>
        <w:rPr>
          <w:sz w:val="20"/>
          <w:szCs w:val="20"/>
          <w:color w:val="auto"/>
        </w:rPr>
      </w:pPr>
    </w:p>
    <w:p>
      <w:pPr>
        <w:ind w:left="3440" w:hanging="437"/>
        <w:spacing w:after="0"/>
        <w:tabs>
          <w:tab w:leader="none" w:pos="344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Joint Foreground Patent that is applicable to both a Terminated Target and a</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Collaboration Target, </w:t>
      </w:r>
      <w:r>
        <w:rPr>
          <w:rFonts w:ascii="Times New Roman" w:cs="Times New Roman" w:eastAsia="Times New Roman" w:hAnsi="Times New Roman"/>
          <w:sz w:val="22"/>
          <w:szCs w:val="22"/>
          <w:u w:val="single" w:color="auto"/>
          <w:color w:val="auto"/>
        </w:rPr>
        <w:t>Section 12.2.7</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as to such Collaboration Target;</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of expiration or termination, as to Patent enforcement matters:</w:t>
      </w:r>
    </w:p>
    <w:p>
      <w:pPr>
        <w:spacing w:after="0" w:line="206" w:lineRule="exact"/>
        <w:rPr>
          <w:rFonts w:ascii="Times New Roman" w:cs="Times New Roman" w:eastAsia="Times New Roman" w:hAnsi="Times New Roman"/>
          <w:sz w:val="22"/>
          <w:szCs w:val="22"/>
          <w:color w:val="auto"/>
        </w:rPr>
      </w:pPr>
    </w:p>
    <w:p>
      <w:pPr>
        <w:jc w:val="both"/>
        <w:ind w:firstLine="3003"/>
        <w:spacing w:after="0" w:line="235" w:lineRule="auto"/>
        <w:tabs>
          <w:tab w:leader="none" w:pos="3427"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will control, be responsible for, and have the sole right (but not the obligation) for, at its own expense, enforcing (1) all Kymera Background Patents solely applicable to the Terminated Target, and (2) all Kymera Foreground Patents solely applicable to the Terminated Target, and in each case ((1) and (2)), Kymera will retain all recoveries associated therewith. For clarity, in the event that this Agreement is terminated in its entirety, Kymera will control, be responsible for, and have the sole right (but not the obligation) for, at its own expense, enforcing (x) all Kymera Background Patents, and (y) all Kymera Foreground Patents, and in each case ((x) and (y)), Kymera will retain all recoveries associated therewith;</w:t>
      </w:r>
    </w:p>
    <w:p>
      <w:pPr>
        <w:spacing w:after="0" w:line="179" w:lineRule="exact"/>
        <w:rPr>
          <w:sz w:val="20"/>
          <w:szCs w:val="20"/>
          <w:color w:val="auto"/>
        </w:rPr>
      </w:pPr>
    </w:p>
    <w:p>
      <w:pPr>
        <w:jc w:val="both"/>
        <w:ind w:firstLine="3003"/>
        <w:spacing w:after="0" w:line="238" w:lineRule="auto"/>
        <w:tabs>
          <w:tab w:leader="none" w:pos="3427"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Competitive Infringement (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with respect to a particular Terminated Product against any Joint Foreground Patent that is (i) solely applicable to the Terminated Target or (ii) applicable to both the Terminated Target and another Target that is not a Collaboration Target, </w:t>
      </w:r>
      <w:r>
        <w:rPr>
          <w:rFonts w:ascii="Times New Roman" w:cs="Times New Roman" w:eastAsia="Times New Roman" w:hAnsi="Times New Roman"/>
          <w:sz w:val="22"/>
          <w:szCs w:val="22"/>
          <w:u w:val="single" w:color="auto"/>
          <w:color w:val="auto"/>
        </w:rPr>
        <w:t>Section 12.4.5</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For any other infringement against such Joint Foreground Patent that is not a Competitive Infringement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with respect to a particular Terminated Product, </w:t>
      </w:r>
      <w:r>
        <w:rPr>
          <w:rFonts w:ascii="Times New Roman" w:cs="Times New Roman" w:eastAsia="Times New Roman" w:hAnsi="Times New Roman"/>
          <w:sz w:val="22"/>
          <w:szCs w:val="22"/>
          <w:u w:val="single" w:color="auto"/>
          <w:color w:val="auto"/>
        </w:rPr>
        <w:t>Section 12.5.1</w:t>
      </w:r>
      <w:r>
        <w:rPr>
          <w:rFonts w:ascii="Times New Roman" w:cs="Times New Roman" w:eastAsia="Times New Roman" w:hAnsi="Times New Roman"/>
          <w:sz w:val="22"/>
          <w:szCs w:val="22"/>
          <w:color w:val="auto"/>
        </w:rPr>
        <w:t xml:space="preserve"> shall apply;</w:t>
      </w:r>
    </w:p>
    <w:p>
      <w:pPr>
        <w:spacing w:after="0" w:line="180" w:lineRule="exact"/>
        <w:rPr>
          <w:rFonts w:ascii="Times New Roman" w:cs="Times New Roman" w:eastAsia="Times New Roman" w:hAnsi="Times New Roman"/>
          <w:sz w:val="22"/>
          <w:szCs w:val="22"/>
          <w:color w:val="auto"/>
        </w:rPr>
      </w:pPr>
    </w:p>
    <w:p>
      <w:pPr>
        <w:ind w:right="60" w:firstLine="3003"/>
        <w:spacing w:after="0" w:line="258" w:lineRule="auto"/>
        <w:tabs>
          <w:tab w:leader="none" w:pos="3427"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infringement of any Joint Foreground Patent that is applicable to both the Terminated Target and a Collaboration Target, </w:t>
      </w:r>
      <w:r>
        <w:rPr>
          <w:rFonts w:ascii="Times New Roman" w:cs="Times New Roman" w:eastAsia="Times New Roman" w:hAnsi="Times New Roman"/>
          <w:sz w:val="22"/>
          <w:szCs w:val="22"/>
          <w:u w:val="single" w:color="auto"/>
          <w:color w:val="auto"/>
        </w:rPr>
        <w:t>Sections 12.4.5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12.5.1</w:t>
      </w:r>
      <w:r>
        <w:rPr>
          <w:rFonts w:ascii="Times New Roman" w:cs="Times New Roman" w:eastAsia="Times New Roman" w:hAnsi="Times New Roman"/>
          <w:sz w:val="22"/>
          <w:szCs w:val="22"/>
          <w:color w:val="auto"/>
        </w:rPr>
        <w:t xml:space="preserve"> shall apply;</w:t>
      </w:r>
    </w:p>
    <w:p>
      <w:pPr>
        <w:spacing w:after="0" w:line="158" w:lineRule="exact"/>
        <w:rPr>
          <w:rFonts w:ascii="Times New Roman" w:cs="Times New Roman" w:eastAsia="Times New Roman" w:hAnsi="Times New Roman"/>
          <w:sz w:val="22"/>
          <w:szCs w:val="22"/>
          <w:color w:val="auto"/>
        </w:rPr>
      </w:pPr>
    </w:p>
    <w:p>
      <w:pPr>
        <w:ind w:firstLine="3003"/>
        <w:spacing w:after="0" w:line="258" w:lineRule="auto"/>
        <w:tabs>
          <w:tab w:leader="none" w:pos="3427"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12.4.8</w:t>
      </w:r>
      <w:r>
        <w:rPr>
          <w:rFonts w:ascii="Times New Roman" w:cs="Times New Roman" w:eastAsia="Times New Roman" w:hAnsi="Times New Roman"/>
          <w:sz w:val="22"/>
          <w:szCs w:val="22"/>
          <w:color w:val="auto"/>
        </w:rPr>
        <w:t xml:space="preserve"> shall apply in respect of any damages or other monetary awards recovered with respect to any Proceeding governed by this </w:t>
      </w:r>
      <w:r>
        <w:rPr>
          <w:rFonts w:ascii="Times New Roman" w:cs="Times New Roman" w:eastAsia="Times New Roman" w:hAnsi="Times New Roman"/>
          <w:sz w:val="22"/>
          <w:szCs w:val="22"/>
          <w:u w:val="single" w:color="auto"/>
          <w:color w:val="auto"/>
        </w:rPr>
        <w:t>Section 15.3.1(e)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ind w:left="3480" w:hanging="477"/>
        <w:spacing w:after="0"/>
        <w:tabs>
          <w:tab w:leader="none" w:pos="348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12.4.9</w:t>
      </w:r>
      <w:r>
        <w:rPr>
          <w:rFonts w:ascii="Times New Roman" w:cs="Times New Roman" w:eastAsia="Times New Roman" w:hAnsi="Times New Roman"/>
          <w:sz w:val="22"/>
          <w:szCs w:val="22"/>
          <w:color w:val="auto"/>
        </w:rPr>
        <w:t xml:space="preserve"> shall apply in respect of any settlement, consent judgment or other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voluntary final disposition of any Proceeding governed by this </w:t>
      </w:r>
      <w:r>
        <w:rPr>
          <w:rFonts w:ascii="Times New Roman" w:cs="Times New Roman" w:eastAsia="Times New Roman" w:hAnsi="Times New Roman"/>
          <w:sz w:val="22"/>
          <w:szCs w:val="22"/>
          <w:u w:val="single" w:color="auto"/>
          <w:color w:val="auto"/>
        </w:rPr>
        <w:t>Section 15.3.1(e)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Kymera and Sanofi will respectively, at their own cost and expense, continue to maintain commercially reasonable insurance coverage from insurance carriers licensed to do business under the laws of the country, state, commonwealth, province, or territory in which</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02" w:name="page303"/>
    <w:bookmarkEnd w:id="302"/>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such Party’s obligations are provided, with insurers that carry a rating of at least an A- VII or better from A.M. Best, for a period of [***] after the termination or expiration of this Agreement in the entirety;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Kymera clinically Develops or Commercializes a Terminated Product, it shall continue to maintain such insurance coverage until the date [***]. Each Party will furnish to the other Party evidence of such insurance upon request. Notwithstanding the foregoing, Sanofi may self-insure to the extent that it self-insures other activities; and</w:t>
      </w:r>
    </w:p>
    <w:p>
      <w:pPr>
        <w:spacing w:after="0" w:line="177" w:lineRule="exact"/>
        <w:rPr>
          <w:sz w:val="20"/>
          <w:szCs w:val="20"/>
          <w:color w:val="auto"/>
        </w:rPr>
      </w:pPr>
    </w:p>
    <w:p>
      <w:pPr>
        <w:jc w:val="both"/>
        <w:ind w:firstLine="2254"/>
        <w:spacing w:after="0" w:line="238" w:lineRule="auto"/>
        <w:tabs>
          <w:tab w:leader="none" w:pos="267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provisions of this Agreement will survive the expiration or termination of this Agreement: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2.9.2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3.5.4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3.5.5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5.6.6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18.13</w:t>
      </w:r>
      <w:r>
        <w:rPr>
          <w:rFonts w:ascii="Times New Roman" w:cs="Times New Roman" w:eastAsia="Times New Roman" w:hAnsi="Times New Roman"/>
          <w:sz w:val="22"/>
          <w:szCs w:val="22"/>
          <w:color w:val="auto"/>
        </w:rPr>
        <w: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18.14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18.16</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48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15.3.2 </w:t>
      </w:r>
      <w:r>
        <w:rPr>
          <w:rFonts w:ascii="Times New Roman" w:cs="Times New Roman" w:eastAsia="Times New Roman" w:hAnsi="Times New Roman"/>
          <w:sz w:val="22"/>
          <w:szCs w:val="22"/>
          <w:b w:val="1"/>
          <w:bCs w:val="1"/>
          <w:u w:val="single" w:color="auto"/>
          <w:color w:val="auto"/>
        </w:rPr>
        <w:t>Effects of Termination for Automatic Termination, by Sanofi for Convenience, or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Kymera for Material Breach, Patent Challenge, Shelving or Insolvency</w:t>
      </w:r>
      <w:r>
        <w:rPr>
          <w:rFonts w:ascii="Times New Roman" w:cs="Times New Roman" w:eastAsia="Times New Roman" w:hAnsi="Times New Roman"/>
          <w:sz w:val="22"/>
          <w:szCs w:val="22"/>
          <w:color w:val="auto"/>
        </w:rPr>
        <w:t>. If this Agreement is terminated in its entirety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with respect to one or more Collaboration Targets pursuant to </w:t>
      </w:r>
      <w:r>
        <w:rPr>
          <w:rFonts w:ascii="Times New Roman" w:cs="Times New Roman" w:eastAsia="Times New Roman" w:hAnsi="Times New Roman"/>
          <w:sz w:val="22"/>
          <w:szCs w:val="22"/>
          <w:u w:val="single" w:color="auto"/>
          <w:color w:val="auto"/>
        </w:rPr>
        <w:t>Section 15.2.1</w:t>
      </w:r>
      <w:r>
        <w:rPr>
          <w:rFonts w:ascii="Times New Roman" w:cs="Times New Roman" w:eastAsia="Times New Roman" w:hAnsi="Times New Roman"/>
          <w:sz w:val="22"/>
          <w:szCs w:val="22"/>
          <w:color w:val="auto"/>
        </w:rPr>
        <w:t xml:space="preserve"> (Automatic Termination), by Sanofi pursuant to </w:t>
      </w:r>
      <w:r>
        <w:rPr>
          <w:rFonts w:ascii="Times New Roman" w:cs="Times New Roman" w:eastAsia="Times New Roman" w:hAnsi="Times New Roman"/>
          <w:sz w:val="22"/>
          <w:szCs w:val="22"/>
          <w:u w:val="single" w:color="auto"/>
          <w:color w:val="auto"/>
        </w:rPr>
        <w:t>Section 15.2.2</w:t>
      </w:r>
      <w:r>
        <w:rPr>
          <w:rFonts w:ascii="Times New Roman" w:cs="Times New Roman" w:eastAsia="Times New Roman" w:hAnsi="Times New Roman"/>
          <w:sz w:val="22"/>
          <w:szCs w:val="22"/>
          <w:color w:val="auto"/>
        </w:rPr>
        <w:t xml:space="preserve"> (Convenience) or by Kymera pursuant to </w:t>
      </w:r>
      <w:r>
        <w:rPr>
          <w:rFonts w:ascii="Times New Roman" w:cs="Times New Roman" w:eastAsia="Times New Roman" w:hAnsi="Times New Roman"/>
          <w:sz w:val="22"/>
          <w:szCs w:val="22"/>
          <w:u w:val="single" w:color="auto"/>
          <w:color w:val="auto"/>
        </w:rPr>
        <w:t>Section 15.2.3(c)</w:t>
      </w:r>
      <w:r>
        <w:rPr>
          <w:rFonts w:ascii="Times New Roman" w:cs="Times New Roman" w:eastAsia="Times New Roman" w:hAnsi="Times New Roman"/>
          <w:sz w:val="22"/>
          <w:szCs w:val="22"/>
          <w:color w:val="auto"/>
        </w:rPr>
        <w:t xml:space="preserve"> (Material Breach), </w:t>
      </w:r>
      <w:r>
        <w:rPr>
          <w:rFonts w:ascii="Times New Roman" w:cs="Times New Roman" w:eastAsia="Times New Roman" w:hAnsi="Times New Roman"/>
          <w:sz w:val="22"/>
          <w:szCs w:val="22"/>
          <w:u w:val="single" w:color="auto"/>
          <w:color w:val="auto"/>
        </w:rPr>
        <w:t>15.2.3(d)</w:t>
      </w:r>
      <w:r>
        <w:rPr>
          <w:rFonts w:ascii="Times New Roman" w:cs="Times New Roman" w:eastAsia="Times New Roman" w:hAnsi="Times New Roman"/>
          <w:sz w:val="22"/>
          <w:szCs w:val="22"/>
          <w:color w:val="auto"/>
        </w:rPr>
        <w:t xml:space="preserve"> (Patent Challenge), </w:t>
      </w:r>
      <w:r>
        <w:rPr>
          <w:rFonts w:ascii="Times New Roman" w:cs="Times New Roman" w:eastAsia="Times New Roman" w:hAnsi="Times New Roman"/>
          <w:sz w:val="22"/>
          <w:szCs w:val="22"/>
          <w:u w:val="single" w:color="auto"/>
          <w:color w:val="auto"/>
        </w:rPr>
        <w:t>15.2.3(e)</w:t>
      </w:r>
      <w:r>
        <w:rPr>
          <w:rFonts w:ascii="Times New Roman" w:cs="Times New Roman" w:eastAsia="Times New Roman" w:hAnsi="Times New Roman"/>
          <w:sz w:val="22"/>
          <w:szCs w:val="22"/>
          <w:color w:val="auto"/>
        </w:rPr>
        <w:t xml:space="preserve"> (Shelving) or </w:t>
      </w:r>
      <w:r>
        <w:rPr>
          <w:rFonts w:ascii="Times New Roman" w:cs="Times New Roman" w:eastAsia="Times New Roman" w:hAnsi="Times New Roman"/>
          <w:sz w:val="22"/>
          <w:szCs w:val="22"/>
          <w:u w:val="single" w:color="auto"/>
          <w:color w:val="auto"/>
        </w:rPr>
        <w:t>15.2.6</w:t>
      </w:r>
      <w:r>
        <w:rPr>
          <w:rFonts w:ascii="Times New Roman" w:cs="Times New Roman" w:eastAsia="Times New Roman" w:hAnsi="Times New Roman"/>
          <w:sz w:val="22"/>
          <w:szCs w:val="22"/>
          <w:color w:val="auto"/>
        </w:rPr>
        <w:t xml:space="preserve"> (Insolvency), or if a Collaboration Target otherwise becomes a Terminated Target, the following terms will apply with respect to any Collaboration Candidates or Collaboration Targets that are the subject of such termination, as the case may be:</w:t>
      </w:r>
    </w:p>
    <w:p>
      <w:pPr>
        <w:spacing w:after="0" w:line="180" w:lineRule="exact"/>
        <w:rPr>
          <w:sz w:val="20"/>
          <w:szCs w:val="20"/>
          <w:color w:val="auto"/>
        </w:rPr>
      </w:pPr>
    </w:p>
    <w:p>
      <w:pPr>
        <w:ind w:right="20" w:firstLine="2254"/>
        <w:spacing w:after="0" w:line="258" w:lineRule="auto"/>
        <w:tabs>
          <w:tab w:leader="none" w:pos="267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termination occurs prior to exercise of the Sanofi Participation Election Right, such Sanofi Participation Election Right with respect to the Terminated Target(s) will terminate;</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this </w:t>
      </w:r>
      <w:r>
        <w:rPr>
          <w:rFonts w:ascii="Times New Roman" w:cs="Times New Roman" w:eastAsia="Times New Roman" w:hAnsi="Times New Roman"/>
          <w:sz w:val="22"/>
          <w:szCs w:val="22"/>
          <w:u w:val="single" w:color="auto"/>
          <w:color w:val="auto"/>
        </w:rPr>
        <w:t>Section 15.3</w:t>
      </w:r>
      <w:r>
        <w:rPr>
          <w:rFonts w:ascii="Times New Roman" w:cs="Times New Roman" w:eastAsia="Times New Roman" w:hAnsi="Times New Roman"/>
          <w:sz w:val="22"/>
          <w:szCs w:val="22"/>
          <w:color w:val="auto"/>
        </w:rPr>
        <w:t>, the licenses and rights granted to Sanofi under this Agreement with respect to all Collaboration Compounds, Collaboration Candidates and Licensed Products Directed Against the Terminated Target(s) will terminate;</w:t>
      </w:r>
    </w:p>
    <w:p>
      <w:pPr>
        <w:spacing w:after="0" w:line="173"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this </w:t>
      </w:r>
      <w:r>
        <w:rPr>
          <w:rFonts w:ascii="Times New Roman" w:cs="Times New Roman" w:eastAsia="Times New Roman" w:hAnsi="Times New Roman"/>
          <w:sz w:val="22"/>
          <w:szCs w:val="22"/>
          <w:u w:val="single" w:color="auto"/>
          <w:color w:val="auto"/>
        </w:rPr>
        <w:t>Section 15.3</w:t>
      </w:r>
      <w:r>
        <w:rPr>
          <w:rFonts w:ascii="Times New Roman" w:cs="Times New Roman" w:eastAsia="Times New Roman" w:hAnsi="Times New Roman"/>
          <w:sz w:val="22"/>
          <w:szCs w:val="22"/>
          <w:color w:val="auto"/>
        </w:rPr>
        <w:t>, each Parties’ rights and obligations under this Agreement with respect to the Terminated Target(s) will automatically cease;</w:t>
      </w:r>
    </w:p>
    <w:p>
      <w:pPr>
        <w:spacing w:after="0" w:line="158" w:lineRule="exact"/>
        <w:rPr>
          <w:rFonts w:ascii="Times New Roman" w:cs="Times New Roman" w:eastAsia="Times New Roman" w:hAnsi="Times New Roman"/>
          <w:sz w:val="22"/>
          <w:szCs w:val="22"/>
          <w:color w:val="auto"/>
        </w:rPr>
      </w:pPr>
    </w:p>
    <w:p>
      <w:pPr>
        <w:ind w:firstLine="2254"/>
        <w:spacing w:after="0" w:line="234" w:lineRule="auto"/>
        <w:tabs>
          <w:tab w:leader="none" w:pos="267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permitted Sublicense of Sanofi with respect to the Terminated Targets will, at the Sublicensee’s option, survive such termination on the condition that the relevant Sublicensee is not in material breach of any of its obligations under such Sublicense. In order to effect this provision, at the request of the Sublicensee, Kymera will enter into a direct license with the Sublicensee on terms that are substantially the same terms as the applicable terms (including economic terms)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Kymera will not be required to undertake obligations in addition to those required by this Agreement, (ii) Kymera’s right under such direct license will be consistent with its rights under this Agreement, taking into account the scope of the license granted under such direct license, (iii) the license grant by Kymera to such Sublicensee will only include the Licensed Technology in existence as of the effective date of termination and subject to </w:t>
      </w:r>
      <w:r>
        <w:rPr>
          <w:rFonts w:ascii="Times New Roman" w:cs="Times New Roman" w:eastAsia="Times New Roman" w:hAnsi="Times New Roman"/>
          <w:sz w:val="22"/>
          <w:szCs w:val="22"/>
          <w:u w:val="single" w:color="auto"/>
          <w:color w:val="auto"/>
        </w:rPr>
        <w:t>Section 15.3.2(f)</w:t>
      </w:r>
      <w:r>
        <w:rPr>
          <w:rFonts w:ascii="Times New Roman" w:cs="Times New Roman" w:eastAsia="Times New Roman" w:hAnsi="Times New Roman"/>
          <w:sz w:val="22"/>
          <w:szCs w:val="22"/>
          <w:color w:val="auto"/>
        </w:rPr>
        <w:t>, Sanofi Reversion Technology with respect to</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Terminated Products Directed Against a Terminated Target (as applicable) and (iv) Kymera will not be required to grant to such Sublicensee any then-unexercised rights granted to Sanofi, including under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40" w:firstLine="2254"/>
        <w:spacing w:after="0" w:line="258" w:lineRule="auto"/>
        <w:tabs>
          <w:tab w:leader="none" w:pos="267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patient safety and other ethical considerations, Sanofi will wind-down any ongoing Clinical Trials for any Licensed Product Directed Against the Terminated Target(s) in accordance with Applicable Law:</w:t>
      </w:r>
    </w:p>
    <w:p>
      <w:pPr>
        <w:spacing w:after="0" w:line="158"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Kymera terminated this Agreement, all such wind-down costs will be borne by Sanofi;</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otherwise</w:t>
      </w:r>
    </w:p>
    <w:p>
      <w:pPr>
        <w:spacing w:after="0" w:line="182" w:lineRule="exact"/>
        <w:rPr>
          <w:rFonts w:ascii="Times New Roman" w:cs="Times New Roman" w:eastAsia="Times New Roman" w:hAnsi="Times New Roman"/>
          <w:sz w:val="21"/>
          <w:szCs w:val="21"/>
          <w:color w:val="auto"/>
        </w:rPr>
      </w:pPr>
    </w:p>
    <w:p>
      <w:pPr>
        <w:ind w:right="20" w:firstLine="3003"/>
        <w:spacing w:after="0" w:line="258" w:lineRule="auto"/>
        <w:tabs>
          <w:tab w:leader="none" w:pos="3427"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such wind-down costs will be allocated between the Parties’ in accordance with the then-applicable terms of this Agreement with respect to Development cost sharing;</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in the event that Kymera provides Sanofi with written notice within [***] following the effective date of such termination that Kymera desires to receive a license under the Sanofi Reversion Technology, then effective as of the date of Sanofi’s receipt of such notice:</w:t>
      </w:r>
    </w:p>
    <w:p>
      <w:pPr>
        <w:spacing w:after="0" w:line="173" w:lineRule="exact"/>
        <w:rPr>
          <w:rFonts w:ascii="Times New Roman" w:cs="Times New Roman" w:eastAsia="Times New Roman" w:hAnsi="Times New Roman"/>
          <w:sz w:val="22"/>
          <w:szCs w:val="22"/>
          <w:color w:val="auto"/>
        </w:rPr>
      </w:pPr>
    </w:p>
    <w:p>
      <w:pPr>
        <w:jc w:val="both"/>
        <w:ind w:firstLine="3003"/>
        <w:spacing w:after="0" w:line="236" w:lineRule="auto"/>
        <w:tabs>
          <w:tab w:leader="none" w:pos="3427"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hereby grants to Kymera [***], and (B) if the grant of such license to Kymera with respect to any Know-How or Patent included in the Sanofi Reversion Technology or Kymera’s exercise of such license would trigger a royalty or other payment to a Third Party or would require compliance with any provision of any license between Sanofi and a Third Party, Sanofi will so notify Kymera in writing and such Know-How or Patent will only be included in the foregoing license if, following receipt of such notice, Kymera agrees in writing to reimburse Sanofi for all such payments to such Third Party and comply with any such provision;</w:t>
      </w:r>
    </w:p>
    <w:p>
      <w:pPr>
        <w:spacing w:after="0" w:line="181" w:lineRule="exact"/>
        <w:rPr>
          <w:rFonts w:ascii="Times New Roman" w:cs="Times New Roman" w:eastAsia="Times New Roman" w:hAnsi="Times New Roman"/>
          <w:sz w:val="22"/>
          <w:szCs w:val="22"/>
          <w:color w:val="auto"/>
        </w:rPr>
      </w:pPr>
    </w:p>
    <w:p>
      <w:pPr>
        <w:ind w:firstLine="3003"/>
        <w:spacing w:after="0" w:line="239" w:lineRule="auto"/>
        <w:tabs>
          <w:tab w:leader="none" w:pos="3427"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Terminated Target-by-Terminated Target, Terminated Product-by-Terminated Product and country-by-country basis, Kymera will pay Sanofi royalties based on the [***] at the rates set forth in the table below, with the stage of development determined as of the effective date of termination with respect to the relevant Terminated Product. The obligation to pay royalties will be imposed only once with respect to the same unit of a Terminated Product:</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818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for Terminated Products Directed Against the relevant Terminated Target</w:t>
            </w:r>
          </w:p>
        </w:tc>
        <w:tc>
          <w:tcPr>
            <w:tcW w:w="306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Applicable Royalty Rates</w:t>
            </w:r>
          </w:p>
        </w:tc>
      </w:tr>
      <w:tr>
        <w:trPr>
          <w:trHeight w:val="213"/>
        </w:trPr>
        <w:tc>
          <w:tcPr>
            <w:tcW w:w="818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306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62"/>
        </w:trPr>
        <w:tc>
          <w:tcPr>
            <w:tcW w:w="8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200"/>
        </w:trPr>
        <w:tc>
          <w:tcPr>
            <w:tcW w:w="8180" w:type="dxa"/>
            <w:vAlign w:val="bottom"/>
            <w:tcBorders>
              <w:bottom w:val="single" w:sz="8" w:color="auto"/>
              <w:right w:val="single" w:sz="8" w:color="auto"/>
            </w:tcBorders>
          </w:tcPr>
          <w:p>
            <w:pPr>
              <w:spacing w:after="0"/>
              <w:rPr>
                <w:sz w:val="17"/>
                <w:szCs w:val="17"/>
                <w:color w:val="auto"/>
              </w:rPr>
            </w:pPr>
          </w:p>
        </w:tc>
        <w:tc>
          <w:tcPr>
            <w:tcW w:w="3060" w:type="dxa"/>
            <w:vAlign w:val="bottom"/>
            <w:tcBorders>
              <w:bottom w:val="single" w:sz="8" w:color="auto"/>
              <w:right w:val="single" w:sz="8" w:color="auto"/>
            </w:tcBorders>
          </w:tcPr>
          <w:p>
            <w:pPr>
              <w:spacing w:after="0"/>
              <w:rPr>
                <w:sz w:val="17"/>
                <w:szCs w:val="17"/>
                <w:color w:val="auto"/>
              </w:rPr>
            </w:pPr>
          </w:p>
        </w:tc>
      </w:tr>
      <w:tr>
        <w:trPr>
          <w:trHeight w:val="276"/>
        </w:trPr>
        <w:tc>
          <w:tcPr>
            <w:tcW w:w="8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204"/>
        </w:trPr>
        <w:tc>
          <w:tcPr>
            <w:tcW w:w="8180" w:type="dxa"/>
            <w:vAlign w:val="bottom"/>
            <w:tcBorders>
              <w:bottom w:val="single" w:sz="8" w:color="auto"/>
              <w:right w:val="single" w:sz="8" w:color="auto"/>
            </w:tcBorders>
          </w:tcPr>
          <w:p>
            <w:pPr>
              <w:spacing w:after="0"/>
              <w:rPr>
                <w:sz w:val="17"/>
                <w:szCs w:val="17"/>
                <w:color w:val="auto"/>
              </w:rPr>
            </w:pPr>
          </w:p>
        </w:tc>
        <w:tc>
          <w:tcPr>
            <w:tcW w:w="3060" w:type="dxa"/>
            <w:vAlign w:val="bottom"/>
            <w:tcBorders>
              <w:bottom w:val="single" w:sz="8" w:color="auto"/>
              <w:right w:val="single" w:sz="8" w:color="auto"/>
            </w:tcBorders>
          </w:tcPr>
          <w:p>
            <w:pPr>
              <w:spacing w:after="0"/>
              <w:rPr>
                <w:sz w:val="17"/>
                <w:szCs w:val="17"/>
                <w:color w:val="auto"/>
              </w:rPr>
            </w:pPr>
          </w:p>
        </w:tc>
      </w:tr>
      <w:tr>
        <w:trPr>
          <w:trHeight w:val="276"/>
        </w:trPr>
        <w:tc>
          <w:tcPr>
            <w:tcW w:w="8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3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p>
        </w:tc>
      </w:tr>
      <w:tr>
        <w:trPr>
          <w:trHeight w:val="204"/>
        </w:trPr>
        <w:tc>
          <w:tcPr>
            <w:tcW w:w="8180" w:type="dxa"/>
            <w:vAlign w:val="bottom"/>
            <w:tcBorders>
              <w:bottom w:val="single" w:sz="8" w:color="auto"/>
              <w:right w:val="single" w:sz="8" w:color="auto"/>
            </w:tcBorders>
          </w:tcPr>
          <w:p>
            <w:pPr>
              <w:spacing w:after="0"/>
              <w:rPr>
                <w:sz w:val="17"/>
                <w:szCs w:val="17"/>
                <w:color w:val="auto"/>
              </w:rPr>
            </w:pPr>
          </w:p>
        </w:tc>
        <w:tc>
          <w:tcPr>
            <w:tcW w:w="306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The terms of </w:t>
      </w:r>
      <w:r>
        <w:rPr>
          <w:rFonts w:ascii="Times New Roman" w:cs="Times New Roman" w:eastAsia="Times New Roman" w:hAnsi="Times New Roman"/>
          <w:sz w:val="22"/>
          <w:szCs w:val="22"/>
          <w:u w:val="single" w:color="auto"/>
          <w:color w:val="auto"/>
        </w:rPr>
        <w:t>Sections 11.3.2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11.3.6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11.3.8</w:t>
      </w:r>
      <w:r>
        <w:rPr>
          <w:rFonts w:ascii="Times New Roman" w:cs="Times New Roman" w:eastAsia="Times New Roman" w:hAnsi="Times New Roman"/>
          <w:sz w:val="22"/>
          <w:szCs w:val="22"/>
          <w:color w:val="auto"/>
        </w:rPr>
        <w:t xml:space="preserve"> will apply with respect to Kymera’s payment of such royalty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04" w:name="page305"/>
    <w:bookmarkEnd w:id="304"/>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3440" w:hanging="437"/>
        <w:spacing w:after="0"/>
        <w:tabs>
          <w:tab w:leader="none" w:pos="3440" w:val="left"/>
        </w:tabs>
        <w:numPr>
          <w:ilvl w:val="2"/>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will, as promptly as practicable:</w:t>
      </w:r>
    </w:p>
    <w:p>
      <w:pPr>
        <w:spacing w:after="0" w:line="206" w:lineRule="exact"/>
        <w:rPr>
          <w:rFonts w:ascii="Times New Roman" w:cs="Times New Roman" w:eastAsia="Times New Roman" w:hAnsi="Times New Roman"/>
          <w:sz w:val="22"/>
          <w:szCs w:val="22"/>
          <w:color w:val="auto"/>
        </w:rPr>
      </w:pPr>
    </w:p>
    <w:p>
      <w:pPr>
        <w:jc w:val="both"/>
        <w:ind w:firstLine="3752"/>
        <w:spacing w:after="0" w:line="234" w:lineRule="auto"/>
        <w:tabs>
          <w:tab w:leader="none" w:pos="4176" w:val="left"/>
        </w:tabs>
        <w:numPr>
          <w:ilvl w:val="3"/>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later than [***] (or such other period as may be agreed by the Parties) following such termination, transfer to Kymera or its designee (A) a copy of any Know-How that constitutes Sanofi Reversion Technology and is included in Sanofi’s submissions or filings with Regulatory Authorities, including any documentation (whether held in paper or electronic format) or similar removable media (including e-mails, documents, spreadsheets, copies of standard operating procedures or technical specifications), in Sanofi’s possession or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Sanofi shall have no obligation to transfer to Kymera any such Know-How to the extent (x) Kymera already is in possession or control of such Know-How, or (y) Sanofi previously transferred such Know-How to Kymera prior to the effective date of termination, and (B) any Materials transferred by Kymera to Sanofi in accordance with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that relate to such Terminated Target, to the extent in Sanofi’s possession or control;</w:t>
      </w:r>
    </w:p>
    <w:p>
      <w:pPr>
        <w:spacing w:after="0" w:line="183" w:lineRule="exact"/>
        <w:rPr>
          <w:rFonts w:ascii="Times New Roman" w:cs="Times New Roman" w:eastAsia="Times New Roman" w:hAnsi="Times New Roman"/>
          <w:sz w:val="22"/>
          <w:szCs w:val="22"/>
          <w:color w:val="auto"/>
        </w:rPr>
      </w:pPr>
    </w:p>
    <w:p>
      <w:pPr>
        <w:jc w:val="both"/>
        <w:ind w:firstLine="3752"/>
        <w:spacing w:after="0" w:line="239" w:lineRule="auto"/>
        <w:tabs>
          <w:tab w:leader="none" w:pos="4176" w:val="left"/>
        </w:tabs>
        <w:numPr>
          <w:ilvl w:val="3"/>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transfer and assign to Kymera all of Sanofi’s and its Affiliates’ rights, title, and interests in and to any trademarks (if any) exclusively used in connection with the Terminated Products (but not any Sanofi house marks or any trademark containing the word “Sanofi”) owned by Sanofi and used for the Terminated Products in the Territory, if applicable;</w:t>
      </w:r>
    </w:p>
    <w:p>
      <w:pPr>
        <w:spacing w:after="0" w:line="180" w:lineRule="exact"/>
        <w:rPr>
          <w:rFonts w:ascii="Times New Roman" w:cs="Times New Roman" w:eastAsia="Times New Roman" w:hAnsi="Times New Roman"/>
          <w:sz w:val="22"/>
          <w:szCs w:val="22"/>
          <w:color w:val="auto"/>
        </w:rPr>
      </w:pPr>
    </w:p>
    <w:p>
      <w:pPr>
        <w:jc w:val="both"/>
        <w:ind w:firstLine="3752"/>
        <w:spacing w:after="0" w:line="238" w:lineRule="auto"/>
        <w:tabs>
          <w:tab w:leader="none" w:pos="4176" w:val="left"/>
        </w:tabs>
        <w:numPr>
          <w:ilvl w:val="3"/>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Sanofi or its Affiliate or Sublicensee is the sole source Manufacturer of finished product with respect to Terminated Products on the effective date of termination of this Agreement, then at Kymera’s reasonable request, Sanofi or its Affiliate will, and Sanofi will use Commercially Reasonable Efforts to cause its Sublicensee to</w:t>
      </w:r>
    </w:p>
    <w:p>
      <w:pPr>
        <w:jc w:val="both"/>
        <w:ind w:firstLine="8"/>
        <w:spacing w:after="0" w:line="232" w:lineRule="auto"/>
        <w:tabs>
          <w:tab w:leader="none" w:pos="364"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negotiate in good faith to enter into a commercially reasonable supply agreement pursuant to which Sanofi or such Affiliate or Sublicensee would supply such finished product to Kymera for a reasonable period of time, not to exceed [***], at a price equal to [***] of Sanofi’s (or Affiliate’s) cost for such Terminated Product, on customary supply terms to be negotiated by Kymera and Sanofi and (B) at Kymera’s sole cost and expense and for a period not to exceed [***], conduct a technology transfer to enable Kymera or the applicable Third Parties designated by Kymera to Manufacture the Terminated Products and, if Clinical Trials for such Terminated Product(s) have begun, such transferred Manufacturing process shall be in accordance with GMP and comparable under Applicable Law to the Manufacturing process used by Sanofi as of the effective date of termination; and</w:t>
      </w:r>
    </w:p>
    <w:p>
      <w:pPr>
        <w:spacing w:after="0" w:line="179" w:lineRule="exact"/>
        <w:rPr>
          <w:rFonts w:ascii="Times New Roman" w:cs="Times New Roman" w:eastAsia="Times New Roman" w:hAnsi="Times New Roman"/>
          <w:sz w:val="22"/>
          <w:szCs w:val="22"/>
          <w:color w:val="auto"/>
        </w:rPr>
      </w:pPr>
    </w:p>
    <w:p>
      <w:pPr>
        <w:jc w:val="both"/>
        <w:ind w:firstLine="3752"/>
        <w:spacing w:after="0" w:line="239" w:lineRule="auto"/>
        <w:tabs>
          <w:tab w:leader="none" w:pos="4176" w:val="left"/>
        </w:tabs>
        <w:numPr>
          <w:ilvl w:val="3"/>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to Kymera any inventory (including materials and work-in-progress) of the Terminated Products (if any) in the possession or control of Sanofi or its Affiliates as of the effective date of termination, at Kymera’s cost for both the transport of the same and reimbursement of [***] of Sanofi’s (or Affiliate’s or Sublicensee’s) Manufacturing Cost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for such inventory;</w:t>
      </w:r>
    </w:p>
    <w:p>
      <w:pPr>
        <w:spacing w:after="0" w:line="180"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will, as promptly as practicable:</w:t>
      </w:r>
    </w:p>
    <w:p>
      <w:pPr>
        <w:spacing w:after="0" w:line="206" w:lineRule="exact"/>
        <w:rPr>
          <w:rFonts w:ascii="Times New Roman" w:cs="Times New Roman" w:eastAsia="Times New Roman" w:hAnsi="Times New Roman"/>
          <w:sz w:val="22"/>
          <w:szCs w:val="22"/>
          <w:color w:val="auto"/>
        </w:rPr>
      </w:pPr>
    </w:p>
    <w:p>
      <w:pPr>
        <w:jc w:val="both"/>
        <w:ind w:right="20" w:firstLine="3003"/>
        <w:spacing w:after="0" w:line="244" w:lineRule="auto"/>
        <w:tabs>
          <w:tab w:leader="none" w:pos="3427" w:val="left"/>
        </w:tabs>
        <w:numPr>
          <w:ilvl w:val="2"/>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 and transfer to Kymera or its designee ownership of all Marketing Approvals, Regulatory Filings and Price Approvals solely relating to the Research, Development, Manufacture or Commercialization of any Terminated Product;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05" w:name="page306"/>
    <w:bookmarkEnd w:id="305"/>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ind w:firstLine="3003"/>
        <w:spacing w:after="0" w:line="247" w:lineRule="auto"/>
        <w:tabs>
          <w:tab w:leader="none" w:pos="3427" w:val="left"/>
        </w:tabs>
        <w:numPr>
          <w:ilvl w:val="2"/>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transfer to Kymera or its designee copies of all material correspondence and conversation logs with Regulatory Authorities in Sanofi’s possession or control related to any Terminated Product in the Territory and all material data, reports, records and other sales and marketing related information in Sanofi’s possession or control that relate solely to the Research, Development, Manufacture, Commercialization of the Terminated Products in the Territory,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 w:lineRule="exact"/>
        <w:rPr>
          <w:rFonts w:ascii="Times New Roman" w:cs="Times New Roman" w:eastAsia="Times New Roman" w:hAnsi="Times New Roman"/>
          <w:sz w:val="21"/>
          <w:szCs w:val="21"/>
          <w:color w:val="auto"/>
        </w:rPr>
      </w:pPr>
    </w:p>
    <w:p>
      <w:pPr>
        <w:jc w:val="both"/>
        <w:ind w:firstLine="8"/>
        <w:spacing w:after="0" w:line="235" w:lineRule="auto"/>
        <w:tabs>
          <w:tab w:leader="none" w:pos="53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shall have no obligation to transfer to Kymera any such materials to the extent (x) Kymera already is in possession or control of such Know-How, or (y) Sanofi previously transferred such materials to Kymera prior to the effective date of termination;</w:t>
      </w:r>
    </w:p>
    <w:p>
      <w:pPr>
        <w:spacing w:after="0" w:line="177" w:lineRule="exact"/>
        <w:rPr>
          <w:rFonts w:ascii="Times New Roman" w:cs="Times New Roman" w:eastAsia="Times New Roman" w:hAnsi="Times New Roman"/>
          <w:sz w:val="22"/>
          <w:szCs w:val="22"/>
          <w:color w:val="auto"/>
        </w:rPr>
      </w:pPr>
    </w:p>
    <w:p>
      <w:pPr>
        <w:jc w:val="both"/>
        <w:ind w:firstLine="3003"/>
        <w:spacing w:after="0" w:line="238" w:lineRule="auto"/>
        <w:tabs>
          <w:tab w:leader="none" w:pos="3427" w:val="left"/>
        </w:tabs>
        <w:numPr>
          <w:ilvl w:val="2"/>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Kymera’s request, appoint Kymera as Sanofi’s or Sanofi’s Affiliates’ or Sublicensees’ agent for all Terminated Product related matters in the Territory involving Regulatory Authorities until all Marketing Approvals, Regulatory Filings and Price Approvals in the Territory have been assigned to Kymera or its designee and in the event of a failure to obtain assignment, Sanofi will consent and grant Kymera the right to access and reference (without any further action on the part of Sanofi) any Marketing Approvals, Regulatory Filings or Price Approvals;</w:t>
      </w:r>
    </w:p>
    <w:p>
      <w:pPr>
        <w:spacing w:after="0" w:line="176" w:lineRule="exact"/>
        <w:rPr>
          <w:rFonts w:ascii="Times New Roman" w:cs="Times New Roman" w:eastAsia="Times New Roman" w:hAnsi="Times New Roman"/>
          <w:sz w:val="22"/>
          <w:szCs w:val="22"/>
          <w:color w:val="auto"/>
        </w:rPr>
      </w:pPr>
    </w:p>
    <w:p>
      <w:pPr>
        <w:jc w:val="both"/>
        <w:ind w:firstLine="3003"/>
        <w:spacing w:after="0" w:line="238" w:lineRule="auto"/>
        <w:tabs>
          <w:tab w:leader="none" w:pos="3427" w:val="left"/>
        </w:tabs>
        <w:numPr>
          <w:ilvl w:val="2"/>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effective date of termination is after the First Commercial Sale of a Terminated Product, then at Kymera’s request, to the extent permitted by Applicable Law, Sanofi or its Affiliate will, and Sanofi will use Commercially Reasonable Efforts to cause its Sublicensee, if applicable, to, appoint Kymera as its exclusive distributor of such Terminated Product in the Territory and grant Kymera the right to appoint sub-distributors, until such time as all Regulatory Filings, Marketing Approvals and Price Approvals in the Territory have been transferred to Kymera or its designee;</w:t>
      </w:r>
    </w:p>
    <w:p>
      <w:pPr>
        <w:spacing w:after="0" w:line="176" w:lineRule="exact"/>
        <w:rPr>
          <w:rFonts w:ascii="Times New Roman" w:cs="Times New Roman" w:eastAsia="Times New Roman" w:hAnsi="Times New Roman"/>
          <w:sz w:val="22"/>
          <w:szCs w:val="22"/>
          <w:color w:val="auto"/>
        </w:rPr>
      </w:pPr>
    </w:p>
    <w:p>
      <w:pPr>
        <w:jc w:val="both"/>
        <w:ind w:firstLine="3003"/>
        <w:spacing w:after="0" w:line="238" w:lineRule="auto"/>
        <w:tabs>
          <w:tab w:leader="none" w:pos="3427" w:val="left"/>
        </w:tabs>
        <w:numPr>
          <w:ilvl w:val="2"/>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Kymera’s reasonable request, use Commercially Reasonable Efforts to facilitate the establishment of a business relationship between Kymera and any Third Party Subcontractor that Sanofi has engaged in the Research, Development, Manufacture or Commercialization of a Terminated Product, including by facilitating introductions with such Subcontractors, and use Commercially Reasonable Efforts to assign to Kymera any agreements with any such Third Party Subcontractor that are exclusively related to a Terminated Product; and</w:t>
      </w:r>
    </w:p>
    <w:p>
      <w:pPr>
        <w:spacing w:after="0" w:line="176" w:lineRule="exact"/>
        <w:rPr>
          <w:rFonts w:ascii="Times New Roman" w:cs="Times New Roman" w:eastAsia="Times New Roman" w:hAnsi="Times New Roman"/>
          <w:sz w:val="22"/>
          <w:szCs w:val="22"/>
          <w:color w:val="auto"/>
        </w:rPr>
      </w:pPr>
    </w:p>
    <w:p>
      <w:pPr>
        <w:jc w:val="both"/>
        <w:ind w:right="20" w:firstLine="3003"/>
        <w:spacing w:after="0" w:line="244" w:lineRule="auto"/>
        <w:tabs>
          <w:tab w:leader="none" w:pos="3427" w:val="left"/>
        </w:tabs>
        <w:numPr>
          <w:ilvl w:val="2"/>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Kymera does not elect to receive a license under the Sanofi Reversion Technology pursuant to </w:t>
      </w:r>
      <w:r>
        <w:rPr>
          <w:rFonts w:ascii="Times New Roman" w:cs="Times New Roman" w:eastAsia="Times New Roman" w:hAnsi="Times New Roman"/>
          <w:sz w:val="22"/>
          <w:szCs w:val="22"/>
          <w:u w:val="single" w:color="auto"/>
          <w:color w:val="auto"/>
        </w:rPr>
        <w:t>Section 15.3.2(f)</w:t>
      </w:r>
      <w:r>
        <w:rPr>
          <w:rFonts w:ascii="Times New Roman" w:cs="Times New Roman" w:eastAsia="Times New Roman" w:hAnsi="Times New Roman"/>
          <w:sz w:val="22"/>
          <w:szCs w:val="22"/>
          <w:color w:val="auto"/>
        </w:rPr>
        <w:t>, Sanofi will destroy any inventory (including materials and work-in-progress) of the Terminated Products (if any) in the possession or control of Sanofi or its Affiliates as of the effective date of termination;</w:t>
      </w:r>
    </w:p>
    <w:p>
      <w:pPr>
        <w:spacing w:after="0" w:line="173"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above in this </w:t>
      </w:r>
      <w:r>
        <w:rPr>
          <w:rFonts w:ascii="Times New Roman" w:cs="Times New Roman" w:eastAsia="Times New Roman" w:hAnsi="Times New Roman"/>
          <w:sz w:val="22"/>
          <w:szCs w:val="22"/>
          <w:u w:val="single" w:color="auto"/>
          <w:color w:val="auto"/>
        </w:rPr>
        <w:t>Section 15.3.2</w:t>
      </w:r>
      <w:r>
        <w:rPr>
          <w:rFonts w:ascii="Times New Roman" w:cs="Times New Roman" w:eastAsia="Times New Roman" w:hAnsi="Times New Roman"/>
          <w:sz w:val="22"/>
          <w:szCs w:val="22"/>
          <w:color w:val="auto"/>
        </w:rPr>
        <w:t xml:space="preserve"> (including, for the avoidance of doubt, clauses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15.3.2(g)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15.3.2(f)(iii)</w:t>
      </w:r>
      <w:r>
        <w:rPr>
          <w:rFonts w:ascii="Times New Roman" w:cs="Times New Roman" w:eastAsia="Times New Roman" w:hAnsi="Times New Roman"/>
          <w:sz w:val="22"/>
          <w:szCs w:val="22"/>
          <w:color w:val="auto"/>
        </w:rPr>
        <w:t>), Sanofi will:</w:t>
      </w:r>
    </w:p>
    <w:p>
      <w:pPr>
        <w:spacing w:after="0" w:line="158"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2"/>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06" w:name="page307"/>
    <w:bookmarkEnd w:id="306"/>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jc w:val="both"/>
        <w:ind w:left="48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15.3.3 </w:t>
      </w:r>
      <w:r>
        <w:rPr>
          <w:rFonts w:ascii="Times New Roman" w:cs="Times New Roman" w:eastAsia="Times New Roman" w:hAnsi="Times New Roman"/>
          <w:sz w:val="22"/>
          <w:szCs w:val="22"/>
          <w:b w:val="1"/>
          <w:bCs w:val="1"/>
          <w:u w:val="single" w:color="auto"/>
          <w:color w:val="auto"/>
        </w:rPr>
        <w:t>Effects of Termination for SAD Termination</w:t>
      </w:r>
      <w:r>
        <w:rPr>
          <w:rFonts w:ascii="Times New Roman" w:cs="Times New Roman" w:eastAsia="Times New Roman" w:hAnsi="Times New Roman"/>
          <w:sz w:val="22"/>
          <w:szCs w:val="22"/>
          <w:color w:val="auto"/>
        </w:rPr>
        <w:t xml:space="preserve">. If this Agreement is terminated by Sanofi with respect to the Second Additional Degraders pursuant to </w:t>
      </w:r>
      <w:r>
        <w:rPr>
          <w:rFonts w:ascii="Times New Roman" w:cs="Times New Roman" w:eastAsia="Times New Roman" w:hAnsi="Times New Roman"/>
          <w:sz w:val="22"/>
          <w:szCs w:val="22"/>
          <w:u w:val="single" w:color="auto"/>
          <w:color w:val="auto"/>
        </w:rPr>
        <w:t>Section 15.2.3(f)</w:t>
      </w:r>
      <w:r>
        <w:rPr>
          <w:rFonts w:ascii="Times New Roman" w:cs="Times New Roman" w:eastAsia="Times New Roman" w:hAnsi="Times New Roman"/>
          <w:sz w:val="22"/>
          <w:szCs w:val="22"/>
          <w:color w:val="auto"/>
        </w:rPr>
        <w:t>, the following terms will apply with respect to the Terminated Degraders:</w:t>
      </w:r>
    </w:p>
    <w:p>
      <w:pPr>
        <w:spacing w:after="0" w:line="167" w:lineRule="exact"/>
        <w:rPr>
          <w:sz w:val="20"/>
          <w:szCs w:val="20"/>
          <w:color w:val="auto"/>
        </w:rPr>
      </w:pPr>
    </w:p>
    <w:p>
      <w:pPr>
        <w:jc w:val="both"/>
        <w:ind w:firstLine="2254"/>
        <w:spacing w:after="0" w:line="241" w:lineRule="auto"/>
        <w:tabs>
          <w:tab w:leader="none" w:pos="274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15.3.2</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all references to “Collaboration Compounds, Collaboration Candidates and Licensed Products Directed Against the Terminated Targets” will be deemed references to “Terminated Degraders”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and (ii) all wind-down costs incurred pursuant to </w:t>
      </w:r>
      <w:r>
        <w:rPr>
          <w:rFonts w:ascii="Times New Roman" w:cs="Times New Roman" w:eastAsia="Times New Roman" w:hAnsi="Times New Roman"/>
          <w:sz w:val="22"/>
          <w:szCs w:val="22"/>
          <w:u w:val="single" w:color="auto"/>
          <w:color w:val="auto"/>
        </w:rPr>
        <w:t>Section 15.3.2(e)</w:t>
      </w:r>
      <w:r>
        <w:rPr>
          <w:rFonts w:ascii="Times New Roman" w:cs="Times New Roman" w:eastAsia="Times New Roman" w:hAnsi="Times New Roman"/>
          <w:sz w:val="22"/>
          <w:szCs w:val="22"/>
          <w:color w:val="auto"/>
        </w:rPr>
        <w:t xml:space="preserve"> will be borne by Sanofi; and</w:t>
      </w:r>
    </w:p>
    <w:p>
      <w:pPr>
        <w:spacing w:after="0" w:line="175"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Sanofi shall remain subject to the exclusivity covenants of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in respect of the Terminated Degraders and shall not, during the Term of this Agreement, Research, Develop, Manufacture or Commercialize the Terminated Degraders in violation of the restrictions set forth in </w:t>
      </w:r>
      <w:r>
        <w:rPr>
          <w:rFonts w:ascii="Times New Roman" w:cs="Times New Roman" w:eastAsia="Times New Roman" w:hAnsi="Times New Roman"/>
          <w:sz w:val="22"/>
          <w:szCs w:val="22"/>
          <w:u w:val="single" w:color="auto"/>
          <w:color w:val="auto"/>
        </w:rPr>
        <w:t>Section 10.6.1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left="480" w:firstLine="1497"/>
        <w:spacing w:after="0" w:line="238" w:lineRule="auto"/>
        <w:rPr>
          <w:sz w:val="20"/>
          <w:szCs w:val="20"/>
          <w:color w:val="auto"/>
        </w:rPr>
      </w:pPr>
      <w:r>
        <w:rPr>
          <w:rFonts w:ascii="Times New Roman" w:cs="Times New Roman" w:eastAsia="Times New Roman" w:hAnsi="Times New Roman"/>
          <w:sz w:val="22"/>
          <w:szCs w:val="22"/>
          <w:color w:val="auto"/>
        </w:rPr>
        <w:t xml:space="preserve">15.3.4 </w:t>
      </w:r>
      <w:r>
        <w:rPr>
          <w:rFonts w:ascii="Times New Roman" w:cs="Times New Roman" w:eastAsia="Times New Roman" w:hAnsi="Times New Roman"/>
          <w:sz w:val="22"/>
          <w:szCs w:val="22"/>
          <w:b w:val="1"/>
          <w:bCs w:val="1"/>
          <w:u w:val="single" w:color="auto"/>
          <w:color w:val="auto"/>
        </w:rPr>
        <w:t>Effects of Termination due to Kymera’s Breach, Patent Challenge or Insolvency</w:t>
      </w:r>
      <w:r>
        <w:rPr>
          <w:rFonts w:ascii="Times New Roman" w:cs="Times New Roman" w:eastAsia="Times New Roman" w:hAnsi="Times New Roman"/>
          <w:sz w:val="22"/>
          <w:szCs w:val="22"/>
          <w:color w:val="auto"/>
        </w:rPr>
        <w:t xml:space="preserve">. If this Agreement is terminated in its entirety or with respect to one or more Collaboration Targets by Sanofi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15.2.3(a)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15.2.3(d)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15.2.6</w:t>
      </w:r>
      <w:r>
        <w:rPr>
          <w:rFonts w:ascii="Times New Roman" w:cs="Times New Roman" w:eastAsia="Times New Roman" w:hAnsi="Times New Roman"/>
          <w:sz w:val="22"/>
          <w:szCs w:val="22"/>
          <w:color w:val="auto"/>
        </w:rPr>
        <w:t>, the following terms will apply with respect to any Collaboration Candidates or Licensed Products Directed Against such Collaboration Targets that are the subject of such termination, as the case may be:</w:t>
      </w:r>
    </w:p>
    <w:p>
      <w:pPr>
        <w:spacing w:after="0" w:line="177" w:lineRule="exact"/>
        <w:rPr>
          <w:sz w:val="20"/>
          <w:szCs w:val="20"/>
          <w:color w:val="auto"/>
        </w:rPr>
      </w:pPr>
    </w:p>
    <w:p>
      <w:pPr>
        <w:ind w:left="2680" w:hanging="426"/>
        <w:spacing w:after="0"/>
        <w:tabs>
          <w:tab w:leader="none" w:pos="268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Sections 15.3.2(a)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15.3.2(b)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15.3.2(c)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15.3.2(h)</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2720" w:hanging="466"/>
        <w:spacing w:after="0"/>
        <w:tabs>
          <w:tab w:leader="none" w:pos="272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Sections 15.3.2(g)(i)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15.3.2(g)(ii), 15.3.2(g)(iv)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15.3.2(g)(v)</w:t>
      </w:r>
      <w:r>
        <w:rPr>
          <w:rFonts w:ascii="Times New Roman" w:cs="Times New Roman" w:eastAsia="Times New Roman" w:hAnsi="Times New Roman"/>
          <w:sz w:val="22"/>
          <w:szCs w:val="22"/>
          <w:color w:val="auto"/>
        </w:rPr>
        <w:t xml:space="preserve"> (each at Kymera’s cost)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2260"/>
        <w:spacing w:after="0"/>
        <w:tabs>
          <w:tab w:leader="none" w:pos="27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Section 15.3.2(f)(iii)(3)</w:t>
      </w:r>
      <w:r>
        <w:rPr>
          <w:rFonts w:ascii="Times New Roman" w:cs="Times New Roman" w:eastAsia="Times New Roman" w:hAnsi="Times New Roman"/>
          <w:sz w:val="22"/>
          <w:szCs w:val="22"/>
          <w:color w:val="auto"/>
        </w:rPr>
        <w:t xml:space="preserve"> shall apply in Sanofi’s sole discretion and at Kymera’s cost (</w:t>
      </w:r>
      <w:r>
        <w:rPr>
          <w:rFonts w:ascii="Times New Roman" w:cs="Times New Roman" w:eastAsia="Times New Roman" w:hAnsi="Times New Roman"/>
          <w:sz w:val="22"/>
          <w:szCs w:val="22"/>
          <w:i w:val="1"/>
          <w:iCs w:val="1"/>
          <w:color w:val="auto"/>
        </w:rPr>
        <w:t>mutatis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2254"/>
        <w:spacing w:after="0" w:line="244" w:lineRule="auto"/>
        <w:tabs>
          <w:tab w:leader="none" w:pos="267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patient safety and other ethical considerations, Sanofi will wind-down any ongoing Clinical Trials for any Licensed Product Directed Against the Terminated Target(s) in accordance with Applicable Law and such wind-down costs will be borne by Kymera; and</w:t>
      </w:r>
    </w:p>
    <w:p>
      <w:pPr>
        <w:spacing w:after="0" w:line="173" w:lineRule="exact"/>
        <w:rPr>
          <w:rFonts w:ascii="Times New Roman" w:cs="Times New Roman" w:eastAsia="Times New Roman" w:hAnsi="Times New Roman"/>
          <w:sz w:val="22"/>
          <w:szCs w:val="22"/>
          <w:color w:val="auto"/>
        </w:rPr>
      </w:pPr>
    </w:p>
    <w:p>
      <w:pPr>
        <w:jc w:val="both"/>
        <w:ind w:right="20" w:firstLine="2254"/>
        <w:spacing w:after="0" w:line="244" w:lineRule="auto"/>
        <w:tabs>
          <w:tab w:leader="none" w:pos="267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Kymera, Sanofi will transfer to Kymera any inventory of the Terminated Products (if any) in the possession or control of Sanofi or its Affiliates as of the effective date of termination, at Kymera’s cost for both the transport of the same and reimbursement of Sanofi’s (or Affiliate’s or Sublicensee’s) Manufacturing Costs.</w:t>
      </w:r>
    </w:p>
    <w:p>
      <w:pPr>
        <w:spacing w:after="0" w:line="169" w:lineRule="exact"/>
        <w:rPr>
          <w:sz w:val="20"/>
          <w:szCs w:val="20"/>
          <w:color w:val="auto"/>
        </w:rPr>
      </w:pPr>
    </w:p>
    <w:p>
      <w:pPr>
        <w:jc w:val="both"/>
        <w:ind w:left="480" w:firstLine="1497"/>
        <w:spacing w:after="0" w:line="241" w:lineRule="auto"/>
        <w:rPr>
          <w:sz w:val="20"/>
          <w:szCs w:val="20"/>
          <w:color w:val="auto"/>
        </w:rPr>
      </w:pPr>
      <w:r>
        <w:rPr>
          <w:rFonts w:ascii="Times New Roman" w:cs="Times New Roman" w:eastAsia="Times New Roman" w:hAnsi="Times New Roman"/>
          <w:sz w:val="22"/>
          <w:szCs w:val="22"/>
          <w:color w:val="auto"/>
        </w:rPr>
        <w:t xml:space="preserve">15.3.5 </w:t>
      </w:r>
      <w:r>
        <w:rPr>
          <w:rFonts w:ascii="Times New Roman" w:cs="Times New Roman" w:eastAsia="Times New Roman" w:hAnsi="Times New Roman"/>
          <w:sz w:val="22"/>
          <w:szCs w:val="22"/>
          <w:b w:val="1"/>
          <w:bCs w:val="1"/>
          <w:u w:val="single" w:color="auto"/>
          <w:color w:val="auto"/>
        </w:rPr>
        <w:t>Effects of Termination due to a Material Safety Event</w:t>
      </w:r>
      <w:r>
        <w:rPr>
          <w:rFonts w:ascii="Times New Roman" w:cs="Times New Roman" w:eastAsia="Times New Roman" w:hAnsi="Times New Roman"/>
          <w:sz w:val="22"/>
          <w:szCs w:val="22"/>
          <w:color w:val="auto"/>
        </w:rPr>
        <w:t xml:space="preserve">. If this Agreement is terminated in its entirety or with respect to one or more Collaboration Targets by Sanofi pursuant to </w:t>
      </w:r>
      <w:r>
        <w:rPr>
          <w:rFonts w:ascii="Times New Roman" w:cs="Times New Roman" w:eastAsia="Times New Roman" w:hAnsi="Times New Roman"/>
          <w:sz w:val="22"/>
          <w:szCs w:val="22"/>
          <w:u w:val="single" w:color="auto"/>
          <w:color w:val="auto"/>
        </w:rPr>
        <w:t>Section 15.2.3(b)</w:t>
      </w:r>
      <w:r>
        <w:rPr>
          <w:rFonts w:ascii="Times New Roman" w:cs="Times New Roman" w:eastAsia="Times New Roman" w:hAnsi="Times New Roman"/>
          <w:sz w:val="22"/>
          <w:szCs w:val="22"/>
          <w:color w:val="auto"/>
        </w:rPr>
        <w:t>, the following terms will apply with respect to any Collaboration Candidates or Licensed Products Directed Against such Collaboration Targets that are the subject of such termination, as the case may be:</w:t>
      </w:r>
    </w:p>
    <w:p>
      <w:pPr>
        <w:spacing w:after="0" w:line="172" w:lineRule="exact"/>
        <w:rPr>
          <w:sz w:val="20"/>
          <w:szCs w:val="20"/>
          <w:color w:val="auto"/>
        </w:rPr>
      </w:pPr>
    </w:p>
    <w:p>
      <w:pPr>
        <w:ind w:left="5460" w:right="1200" w:hanging="3206"/>
        <w:spacing w:after="0" w:line="851" w:lineRule="auto"/>
        <w:tabs>
          <w:tab w:leader="none" w:pos="268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Sections 15.3.2(a)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15.3.2(b)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15.3.2(c)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15.3.2(h)</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ind w:left="2260"/>
        <w:spacing w:after="0"/>
        <w:tabs>
          <w:tab w:leader="none" w:pos="268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u w:val="single" w:color="auto"/>
          <w:color w:val="auto"/>
        </w:rPr>
        <w:t>Sections 15.3.2(g)(i)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 xml:space="preserve"> 15.3.2(g)(ii), 15.3.2(g)(iv)</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u w:val="single" w:color="auto"/>
          <w:color w:val="auto"/>
        </w:rPr>
        <w:t xml:space="preserve"> 15.3.2(g)(v)</w:t>
      </w:r>
      <w:r>
        <w:rPr>
          <w:rFonts w:ascii="Times New Roman" w:cs="Times New Roman" w:eastAsia="Times New Roman" w:hAnsi="Times New Roman"/>
          <w:sz w:val="22"/>
          <w:szCs w:val="22"/>
          <w:color w:val="auto"/>
        </w:rPr>
        <w:t>,  (each at Kymera’s cost) shall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2254"/>
        <w:spacing w:after="0" w:line="244" w:lineRule="auto"/>
        <w:tabs>
          <w:tab w:leader="none" w:pos="267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patient safety and other ethical considerations, Sanofi will wind-down any ongoing Clinical Trials for any Licensed Product Directed Against the Terminated Target(s) in accordance with Applicable Law and such wind-down costs will be borne by Sanofi; and</w:t>
      </w:r>
    </w:p>
    <w:p>
      <w:pPr>
        <w:spacing w:after="0" w:line="173" w:lineRule="exact"/>
        <w:rPr>
          <w:rFonts w:ascii="Times New Roman" w:cs="Times New Roman" w:eastAsia="Times New Roman" w:hAnsi="Times New Roman"/>
          <w:sz w:val="22"/>
          <w:szCs w:val="22"/>
          <w:color w:val="auto"/>
        </w:rPr>
      </w:pPr>
    </w:p>
    <w:p>
      <w:pPr>
        <w:ind w:firstLine="2254"/>
        <w:spacing w:after="0" w:line="258" w:lineRule="auto"/>
        <w:tabs>
          <w:tab w:leader="none" w:pos="267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Initiation of a relevant Clinical Trial, Kymera will obtain and maintain, to the extent it does not already, insurance coverage at commercially reasonable levels for the conduct of Clinical Trials.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78" w:lineRule="exact"/>
        <w:rPr>
          <w:sz w:val="20"/>
          <w:szCs w:val="20"/>
          <w:color w:val="auto"/>
        </w:rPr>
      </w:pPr>
    </w:p>
    <w:p>
      <w:pPr>
        <w:jc w:val="both"/>
        <w:ind w:left="80" w:firstLine="749"/>
        <w:spacing w:after="0" w:line="235"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During the Term and for [***] thereafter, each Party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receiving any Confidential Information of the other Party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xml:space="preserve">”) hereunder will: (a) keep the Disclosing Party’s Confidential Information confidential; (b) not publish, or allow to be published, and not otherwise disclose, or permit the disclosure of, the Disclosing Party’s Confidential Information; and (c) not use, or permit to be used, the Disclosing Party’s Confidential Information for any purpose, except, in each case, to the extent expressly permitted under this Agreement or otherwise agreed in writing. Without limiting the generality of the foregoing, to the extent that either Party provides the other Party any Confidential Information owned by any Third Party, the Receiving Party will handle such Confidential Information in accordance with the terms of this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applicable to a Receiving Party.</w:t>
      </w:r>
    </w:p>
    <w:p>
      <w:pPr>
        <w:spacing w:after="0" w:line="178" w:lineRule="exact"/>
        <w:rPr>
          <w:sz w:val="20"/>
          <w:szCs w:val="20"/>
          <w:color w:val="auto"/>
        </w:rPr>
      </w:pPr>
    </w:p>
    <w:p>
      <w:pPr>
        <w:jc w:val="both"/>
        <w:ind w:left="8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u w:val="single" w:color="auto"/>
          <w:color w:val="auto"/>
        </w:rPr>
        <w:t>Authorized Disclosure</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 each Party may disclose the other Party’s Confidential Information to the extent such disclosure is reasonably necessary to:</w:t>
      </w:r>
    </w:p>
    <w:p>
      <w:pPr>
        <w:spacing w:after="0" w:line="154"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16.2.1</w:t>
      </w:r>
      <w:r>
        <w:rPr>
          <w:sz w:val="20"/>
          <w:szCs w:val="20"/>
          <w:color w:val="auto"/>
        </w:rPr>
        <w:tab/>
      </w:r>
      <w:r>
        <w:rPr>
          <w:rFonts w:ascii="Times New Roman" w:cs="Times New Roman" w:eastAsia="Times New Roman" w:hAnsi="Times New Roman"/>
          <w:sz w:val="21"/>
          <w:szCs w:val="21"/>
          <w:color w:val="auto"/>
        </w:rPr>
        <w:t>file or prosecute patent applications as contemplated by this Agreement;</w:t>
      </w:r>
    </w:p>
    <w:p>
      <w:pPr>
        <w:spacing w:after="0" w:line="206" w:lineRule="exact"/>
        <w:rPr>
          <w:sz w:val="20"/>
          <w:szCs w:val="20"/>
          <w:color w:val="auto"/>
        </w:rPr>
      </w:pPr>
    </w:p>
    <w:p>
      <w:pPr>
        <w:ind w:left="1980"/>
        <w:spacing w:after="0"/>
        <w:tabs>
          <w:tab w:leader="none" w:pos="2820" w:val="left"/>
        </w:tabs>
        <w:rPr>
          <w:sz w:val="20"/>
          <w:szCs w:val="20"/>
          <w:color w:val="auto"/>
        </w:rPr>
      </w:pPr>
      <w:r>
        <w:rPr>
          <w:rFonts w:ascii="Times New Roman" w:cs="Times New Roman" w:eastAsia="Times New Roman" w:hAnsi="Times New Roman"/>
          <w:sz w:val="22"/>
          <w:szCs w:val="22"/>
          <w:color w:val="auto"/>
        </w:rPr>
        <w:t>16.2.2</w:t>
      </w:r>
      <w:r>
        <w:rPr>
          <w:sz w:val="20"/>
          <w:szCs w:val="20"/>
          <w:color w:val="auto"/>
        </w:rPr>
        <w:tab/>
      </w:r>
      <w:r>
        <w:rPr>
          <w:rFonts w:ascii="Times New Roman" w:cs="Times New Roman" w:eastAsia="Times New Roman" w:hAnsi="Times New Roman"/>
          <w:sz w:val="21"/>
          <w:szCs w:val="21"/>
          <w:color w:val="auto"/>
        </w:rPr>
        <w:t>prosecute or defend litigation;</w:t>
      </w:r>
    </w:p>
    <w:p>
      <w:pPr>
        <w:spacing w:after="0" w:line="206" w:lineRule="exact"/>
        <w:rPr>
          <w:sz w:val="20"/>
          <w:szCs w:val="20"/>
          <w:color w:val="auto"/>
        </w:rPr>
      </w:pPr>
    </w:p>
    <w:p>
      <w:pPr>
        <w:jc w:val="both"/>
        <w:ind w:left="48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16.2.3 allow its Affiliates and actual or potential Sublicensees and actual or potential Subcontractors, in each case, to exercise its rights or perform its obligations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at least as restrictive as those set forth herein;</w:t>
      </w:r>
    </w:p>
    <w:p>
      <w:pPr>
        <w:spacing w:after="0" w:line="173" w:lineRule="exact"/>
        <w:rPr>
          <w:sz w:val="20"/>
          <w:szCs w:val="20"/>
          <w:color w:val="auto"/>
        </w:rPr>
      </w:pPr>
    </w:p>
    <w:p>
      <w:pPr>
        <w:jc w:val="both"/>
        <w:ind w:left="48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16.2.4 subject to the remainder of this </w:t>
      </w:r>
      <w:r>
        <w:rPr>
          <w:rFonts w:ascii="Times New Roman" w:cs="Times New Roman" w:eastAsia="Times New Roman" w:hAnsi="Times New Roman"/>
          <w:sz w:val="22"/>
          <w:szCs w:val="22"/>
          <w:u w:val="single" w:color="auto"/>
          <w:color w:val="auto"/>
        </w:rPr>
        <w:t>Section 16.2</w:t>
      </w:r>
      <w:r>
        <w:rPr>
          <w:rFonts w:ascii="Times New Roman" w:cs="Times New Roman" w:eastAsia="Times New Roman" w:hAnsi="Times New Roman"/>
          <w:sz w:val="22"/>
          <w:szCs w:val="22"/>
          <w:color w:val="auto"/>
        </w:rPr>
        <w:t xml:space="preserve">, share with its advisors (including financial advisors, attorneys and accountants), actual or potential acquisition partners, financing sources or investors and underwriters on a need to know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disclosure is covered by terms of confidentiality similar to those set forth herein (which may include professional ethical obligations); or</w:t>
      </w:r>
    </w:p>
    <w:p>
      <w:pPr>
        <w:spacing w:after="0" w:line="180" w:lineRule="exact"/>
        <w:rPr>
          <w:sz w:val="20"/>
          <w:szCs w:val="20"/>
          <w:color w:val="auto"/>
        </w:rPr>
      </w:pPr>
    </w:p>
    <w:p>
      <w:pPr>
        <w:ind w:left="480" w:right="6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16.2.5 comply with Applicable Law (including to obtain and maintain Marketing Approvals for a Licensed Product);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w:t>
      </w:r>
      <w:r>
        <w:rPr>
          <w:rFonts w:ascii="Times New Roman" w:cs="Times New Roman" w:eastAsia="Times New Roman" w:hAnsi="Times New Roman"/>
          <w:sz w:val="22"/>
          <w:szCs w:val="22"/>
          <w:u w:val="single" w:color="auto"/>
          <w:color w:val="auto"/>
        </w:rPr>
        <w:t>Sections 16.2.1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80"/>
        <w:spacing w:after="0" w:line="244" w:lineRule="auto"/>
        <w:rPr>
          <w:sz w:val="20"/>
          <w:szCs w:val="20"/>
          <w:color w:val="auto"/>
        </w:rPr>
      </w:pPr>
      <w:r>
        <w:rPr>
          <w:rFonts w:ascii="Times New Roman" w:cs="Times New Roman" w:eastAsia="Times New Roman" w:hAnsi="Times New Roman"/>
          <w:sz w:val="22"/>
          <w:szCs w:val="22"/>
          <w:u w:val="single" w:color="auto"/>
          <w:color w:val="auto"/>
        </w:rPr>
        <w:t>16.2.2</w:t>
      </w:r>
      <w:r>
        <w:rPr>
          <w:rFonts w:ascii="Times New Roman" w:cs="Times New Roman" w:eastAsia="Times New Roman" w:hAnsi="Times New Roman"/>
          <w:sz w:val="22"/>
          <w:szCs w:val="22"/>
          <w:color w:val="auto"/>
        </w:rPr>
        <w:t xml:space="preserve"> or 16.2.4, the Receiving Party will notify the Disclosing Party of the Receiving Party’s intent to make any disclosure pursuant thereto sufficiently prior to making such disclosure so as to allow the Disclosing Party adequate time to take whatever action it may deem appropriate to protect the confidentiality of the information to be disclosed.</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Notwithstanding anything to the contrary contained herein, in no event may Kymera disclose Sanofi’s Confidential Information to any Third Party (including any of Kymera’s investors, collaborators or licensees) engaged in the research, development, manufacture or commercialization of pharmaceutical products, other than to actual or potential Subcontractors. Notwithstanding anything to the contrary contained herein, in no event may Sanofi disclose Kymera’s Confidential Information to any Third Party (including any of Sanofi’s investors, collaborators or licensees) engaged in the research, development, manufacture or commercialization of pharmaceutical products, other than to actual or potential Subcontractors or Sublicensees.</w:t>
      </w:r>
    </w:p>
    <w:p>
      <w:pPr>
        <w:spacing w:after="0" w:line="167" w:lineRule="exact"/>
        <w:rPr>
          <w:sz w:val="20"/>
          <w:szCs w:val="20"/>
          <w:color w:val="auto"/>
        </w:rPr>
      </w:pPr>
    </w:p>
    <w:p>
      <w:pPr>
        <w:jc w:val="both"/>
        <w:ind w:left="80" w:firstLine="749"/>
        <w:spacing w:after="0" w:line="234" w:lineRule="auto"/>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b w:val="1"/>
          <w:bCs w:val="1"/>
          <w:u w:val="single" w:color="auto"/>
          <w:color w:val="auto"/>
        </w:rPr>
        <w:t>Expiration or Termination of this Agreement</w:t>
      </w:r>
      <w:r>
        <w:rPr>
          <w:rFonts w:ascii="Times New Roman" w:cs="Times New Roman" w:eastAsia="Times New Roman" w:hAnsi="Times New Roman"/>
          <w:sz w:val="22"/>
          <w:szCs w:val="22"/>
          <w:color w:val="auto"/>
        </w:rPr>
        <w:t>. Following the expiration or termination of this Agreement, if requested by the Disclosing Party, at the Receiving Party’s election, the Receiving Party will use diligent efforts to return or destroy, all data, files, records and other materials containing or comprising the Disclosing Party’s Confidential Information, except to the extent such Confidential Information is necessary or reasonably useful to conduct surviving obligations or exercise surviving rights. Notwithstanding the foregoing, (a) the Receiving Party will be permitted to retain one copy of such data, files, records, and other materials for archival and legal compliance purposes and (b) the Receiving Party will not be required to return or destroy electronically stored information that is commercially impractical to access, segregate or destroy, including any electronic back-up tapes or other electronic back-up files that have been created solely by the Receiving Party’s automatic or routine archiving and back-up procedures, to the extent created and retained in a manner consistent with its or their standard archiving and back-up procedures.</w:t>
      </w:r>
    </w:p>
    <w:p>
      <w:pPr>
        <w:spacing w:after="0" w:line="179" w:lineRule="exact"/>
        <w:rPr>
          <w:sz w:val="20"/>
          <w:szCs w:val="20"/>
          <w:color w:val="auto"/>
        </w:rPr>
      </w:pPr>
    </w:p>
    <w:p>
      <w:pPr>
        <w:jc w:val="both"/>
        <w:ind w:left="80" w:firstLine="749"/>
        <w:spacing w:after="0" w:line="238"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b w:val="1"/>
          <w:bCs w:val="1"/>
          <w:u w:val="single" w:color="auto"/>
          <w:color w:val="auto"/>
        </w:rPr>
        <w:t>SEC Filings and Other Disclosures</w:t>
      </w:r>
      <w:r>
        <w:rPr>
          <w:rFonts w:ascii="Times New Roman" w:cs="Times New Roman" w:eastAsia="Times New Roman" w:hAnsi="Times New Roman"/>
          <w:sz w:val="22"/>
          <w:szCs w:val="22"/>
          <w:color w:val="auto"/>
        </w:rPr>
        <w:t xml:space="preserve">. Either Party may disclose the terms of this Agreement to the extent required to comply with Applicable Law, including the rules and regulations promulgated by the United States Securities and Exchange Commission or any equivalent governmental agency in any country in the Territory;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such Party will provide the other Party a reasonable opportunity to review such disclosure and reasonably consider the other Party’s comments regarding confidential treatment sought for such disclosure.</w:t>
      </w:r>
    </w:p>
    <w:p>
      <w:pPr>
        <w:spacing w:after="0" w:line="177" w:lineRule="exact"/>
        <w:rPr>
          <w:sz w:val="20"/>
          <w:szCs w:val="20"/>
          <w:color w:val="auto"/>
        </w:rPr>
      </w:pPr>
    </w:p>
    <w:p>
      <w:pPr>
        <w:jc w:val="both"/>
        <w:ind w:left="80" w:firstLine="749"/>
        <w:spacing w:after="0" w:line="235" w:lineRule="auto"/>
        <w:rPr>
          <w:sz w:val="20"/>
          <w:szCs w:val="20"/>
          <w:color w:val="auto"/>
        </w:rPr>
      </w:pPr>
      <w:r>
        <w:rPr>
          <w:rFonts w:ascii="Times New Roman" w:cs="Times New Roman" w:eastAsia="Times New Roman" w:hAnsi="Times New Roman"/>
          <w:sz w:val="22"/>
          <w:szCs w:val="22"/>
          <w:color w:val="auto"/>
        </w:rPr>
        <w:t xml:space="preserve">16.5 </w:t>
      </w:r>
      <w:r>
        <w:rPr>
          <w:rFonts w:ascii="Times New Roman" w:cs="Times New Roman" w:eastAsia="Times New Roman" w:hAnsi="Times New Roman"/>
          <w:sz w:val="22"/>
          <w:szCs w:val="22"/>
          <w:b w:val="1"/>
          <w:bCs w:val="1"/>
          <w:u w:val="single" w:color="auto"/>
          <w:color w:val="auto"/>
        </w:rPr>
        <w:t>Public Announcements</w:t>
      </w:r>
      <w:r>
        <w:rPr>
          <w:rFonts w:ascii="Times New Roman" w:cs="Times New Roman" w:eastAsia="Times New Roman" w:hAnsi="Times New Roman"/>
          <w:sz w:val="22"/>
          <w:szCs w:val="22"/>
          <w:color w:val="auto"/>
        </w:rPr>
        <w:t xml:space="preserve">. On a date to be determined mutually by the Parties, Kymera will issue a press release regarding the signing of this Agreement in substantially the form attached hereto as Exhibit D. Except (a) as set forth in the preceding sentence and (b) as required to comply with Applicable Law (including the rules and regulations promulgated by the United States Securities and Exchange Commission or any equivalent governmental agency in any country in the Territory in accordance with </w:t>
      </w:r>
      <w:r>
        <w:rPr>
          <w:rFonts w:ascii="Times New Roman" w:cs="Times New Roman" w:eastAsia="Times New Roman" w:hAnsi="Times New Roman"/>
          <w:sz w:val="22"/>
          <w:szCs w:val="22"/>
          <w:u w:val="single" w:color="auto"/>
          <w:color w:val="auto"/>
        </w:rPr>
        <w:t>Section 16.4</w:t>
      </w:r>
      <w:r>
        <w:rPr>
          <w:rFonts w:ascii="Times New Roman" w:cs="Times New Roman" w:eastAsia="Times New Roman" w:hAnsi="Times New Roman"/>
          <w:sz w:val="22"/>
          <w:szCs w:val="22"/>
          <w:color w:val="auto"/>
        </w:rPr>
        <w:t xml:space="preserve">), and (c) as may be expressly permitted under </w:t>
      </w:r>
      <w:r>
        <w:rPr>
          <w:rFonts w:ascii="Times New Roman" w:cs="Times New Roman" w:eastAsia="Times New Roman" w:hAnsi="Times New Roman"/>
          <w:sz w:val="22"/>
          <w:szCs w:val="22"/>
          <w:u w:val="single" w:color="auto"/>
          <w:color w:val="auto"/>
        </w:rPr>
        <w:t>Section 16.4</w:t>
      </w:r>
      <w:r>
        <w:rPr>
          <w:rFonts w:ascii="Times New Roman" w:cs="Times New Roman" w:eastAsia="Times New Roman" w:hAnsi="Times New Roman"/>
          <w:sz w:val="22"/>
          <w:szCs w:val="22"/>
          <w:color w:val="auto"/>
        </w:rPr>
        <w:t xml:space="preserve">, neither Party will make any public announcement regarding this Agreement without the prior written approval of the other Party. Notwithstanding the foregoing, subject to </w:t>
      </w:r>
      <w:r>
        <w:rPr>
          <w:rFonts w:ascii="Times New Roman" w:cs="Times New Roman" w:eastAsia="Times New Roman" w:hAnsi="Times New Roman"/>
          <w:sz w:val="22"/>
          <w:szCs w:val="22"/>
          <w:u w:val="single" w:color="auto"/>
          <w:color w:val="auto"/>
        </w:rPr>
        <w:t>Section 16.6</w:t>
      </w:r>
      <w:r>
        <w:rPr>
          <w:rFonts w:ascii="Times New Roman" w:cs="Times New Roman" w:eastAsia="Times New Roman" w:hAnsi="Times New Roman"/>
          <w:sz w:val="22"/>
          <w:szCs w:val="22"/>
          <w:color w:val="auto"/>
        </w:rPr>
        <w:t xml:space="preserve"> and any requirements as a result of Applicable Law or Regulatory Authority, Kymera may make public announcements on or after the Restatement Effective Date with respect to (1) (i) a summary of data and results provided by Kymera in the Pre-Clinical and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09" w:name="page310"/>
    <w:bookmarkEnd w:id="309"/>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SAD/MAD Data Package, the MAD Data Package, the Phase 1 Patient Data Package and the Remaining Patients Data Package of the Kymera Existing Phase 1 Clinical Trial, and (ii) a statement that Sanofi will be conducting Phase 2 Clinical Trials with respect to KT-474 (for clarity, without any other additional details on any such Phase 2 Clinical Trials), (2) Sanofi’s exercise of a Sanofi Participation Election Right, and (3) the receipt of any milestone payments 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case ((1) -</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(3)), prior to making any such public announcement, Kymera will (A) consult with Sanofi with respect to the timing of the relevant announcement, (B) provide Sanofi with a copy of the proposed announcement, and (C) in good faith coordinate the timing of such announcements with Sanofi’s disclosures of the same subject matter.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16.6 </w:t>
      </w:r>
      <w:r>
        <w:rPr>
          <w:rFonts w:ascii="Times New Roman" w:cs="Times New Roman" w:eastAsia="Times New Roman" w:hAnsi="Times New Roman"/>
          <w:sz w:val="22"/>
          <w:szCs w:val="22"/>
          <w:b w:val="1"/>
          <w:bCs w:val="1"/>
          <w:u w:val="single" w:color="auto"/>
          <w:color w:val="auto"/>
        </w:rPr>
        <w:t>Publications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0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16.6.1 </w:t>
      </w:r>
      <w:r>
        <w:rPr>
          <w:rFonts w:ascii="Times New Roman" w:cs="Times New Roman" w:eastAsia="Times New Roman" w:hAnsi="Times New Roman"/>
          <w:sz w:val="22"/>
          <w:szCs w:val="22"/>
          <w:b w:val="1"/>
          <w:bCs w:val="1"/>
          <w:u w:val="single" w:color="auto"/>
          <w:color w:val="auto"/>
        </w:rPr>
        <w:t>Publications Prior to the Sanofi Participation Election Effective Date</w:t>
      </w:r>
      <w:r>
        <w:rPr>
          <w:rFonts w:ascii="Times New Roman" w:cs="Times New Roman" w:eastAsia="Times New Roman" w:hAnsi="Times New Roman"/>
          <w:sz w:val="22"/>
          <w:szCs w:val="22"/>
          <w:color w:val="auto"/>
        </w:rPr>
        <w:t>. During the Term prior to the Sanofi Participation Election Effective Date (if any) with respect to [***]:</w:t>
      </w:r>
    </w:p>
    <w:p>
      <w:pPr>
        <w:spacing w:after="0" w:line="154" w:lineRule="exact"/>
        <w:rPr>
          <w:sz w:val="20"/>
          <w:szCs w:val="20"/>
          <w:color w:val="auto"/>
        </w:rPr>
      </w:pPr>
    </w:p>
    <w:p>
      <w:pPr>
        <w:ind w:left="2600" w:hanging="426"/>
        <w:spacing w:after="0"/>
        <w:tabs>
          <w:tab w:leader="none" w:pos="26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00" w:hanging="426"/>
        <w:spacing w:after="0"/>
        <w:tabs>
          <w:tab w:leader="none" w:pos="26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00" w:hanging="426"/>
        <w:spacing w:after="0"/>
        <w:tabs>
          <w:tab w:leader="none" w:pos="26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400" w:firstLine="1497"/>
        <w:spacing w:after="0" w:line="244" w:lineRule="auto"/>
        <w:rPr>
          <w:sz w:val="20"/>
          <w:szCs w:val="20"/>
          <w:color w:val="auto"/>
        </w:rPr>
      </w:pPr>
      <w:r>
        <w:rPr>
          <w:rFonts w:ascii="Times New Roman" w:cs="Times New Roman" w:eastAsia="Times New Roman" w:hAnsi="Times New Roman"/>
          <w:sz w:val="21"/>
          <w:szCs w:val="21"/>
          <w:color w:val="auto"/>
        </w:rPr>
        <w:t xml:space="preserve">16.6.2 </w:t>
      </w:r>
      <w:r>
        <w:rPr>
          <w:rFonts w:ascii="Times New Roman" w:cs="Times New Roman" w:eastAsia="Times New Roman" w:hAnsi="Times New Roman"/>
          <w:sz w:val="21"/>
          <w:szCs w:val="21"/>
          <w:b w:val="1"/>
          <w:bCs w:val="1"/>
          <w:u w:val="single" w:color="auto"/>
          <w:color w:val="auto"/>
        </w:rPr>
        <w:t>Publications Following Sanofi Participation Election Effective Date</w:t>
      </w:r>
      <w:r>
        <w:rPr>
          <w:rFonts w:ascii="Times New Roman" w:cs="Times New Roman" w:eastAsia="Times New Roman" w:hAnsi="Times New Roman"/>
          <w:sz w:val="21"/>
          <w:szCs w:val="21"/>
          <w:color w:val="auto"/>
        </w:rPr>
        <w:t xml:space="preserve">. During the Term following the Sanofi Participation Election Effective Date (if any) with respect to a Collaboration Candidate, each Disclosing Party will submit to the Non-Disclosing Party for review any proposed academic, scientific or medical publication or academic, scientific and medical public presentation related to such Collaboration Candidate or related Licensed Product Directed Against such Collaboration Target in the applicable Field or any activities conducted pursuant to this Agreement with respect to such Collaboration Candidate or such related Licensed Product;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academic, scientific or medical publication or academic, scientific and medical public presentation will occur without Sanofi’s prior written consent. The Non-Disclosing Party will review such publication or presentation for purposes of (a) determining whether any portion of the proposed publication or presentation contains the Non-Disclosing Party’s Confidential Information, (b) preserving the value of the Licensed Technology and the rights granted to each Party hereunder, or (c) obtaining Patent protection. The Disclosing Party shall give any such comments due consideration and shall not unreasonably reject such comments. Written copies of such proposed publication or presentation will be submitted to the Non-Disclosing Party no later than [***] before submission for publication or presentation. The Non-Disclosing Party will provide its comments with respect to such publications and presentations within [***] after its receipt of such written copy. The review period may be extended for an additional [***] if the Non-Disclosing Party reasonably requests such extension, including requests to permit the Non-Disclosing Party to prepare and file patent applications. The Non-Disclosing Party may require that the other Party redact the Non-Disclosing Party’s Confidential Information from any such proposed publication or presentation. Each Party will comply with standard academic practice regarding authorship</w:t>
      </w:r>
    </w:p>
    <w:p>
      <w:pPr>
        <w:spacing w:after="0" w:line="200" w:lineRule="exact"/>
        <w:rPr>
          <w:sz w:val="20"/>
          <w:szCs w:val="20"/>
          <w:color w:val="auto"/>
        </w:rPr>
      </w:pPr>
    </w:p>
    <w:p>
      <w:pPr>
        <w:spacing w:after="0" w:line="3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22"/>
          <w:szCs w:val="22"/>
          <w:color w:val="auto"/>
        </w:rPr>
        <w:t>of scientific publications and recognition of contribution of other parties in any publication. Disputes concerning publication shall be resolved by the JSC.</w:t>
      </w:r>
    </w:p>
    <w:p>
      <w:pPr>
        <w:spacing w:after="0" w:line="154" w:lineRule="exact"/>
        <w:rPr>
          <w:sz w:val="20"/>
          <w:szCs w:val="20"/>
          <w:color w:val="auto"/>
        </w:rPr>
      </w:pPr>
    </w:p>
    <w:p>
      <w:pPr>
        <w:jc w:val="both"/>
        <w:ind w:left="400" w:firstLine="1497"/>
        <w:spacing w:after="0" w:line="234" w:lineRule="auto"/>
        <w:rPr>
          <w:sz w:val="20"/>
          <w:szCs w:val="20"/>
          <w:color w:val="auto"/>
        </w:rPr>
      </w:pPr>
      <w:r>
        <w:rPr>
          <w:rFonts w:ascii="Times New Roman" w:cs="Times New Roman" w:eastAsia="Times New Roman" w:hAnsi="Times New Roman"/>
          <w:sz w:val="22"/>
          <w:szCs w:val="22"/>
          <w:color w:val="auto"/>
        </w:rPr>
        <w:t xml:space="preserve">16.6.3 </w:t>
      </w:r>
      <w:r>
        <w:rPr>
          <w:rFonts w:ascii="Times New Roman" w:cs="Times New Roman" w:eastAsia="Times New Roman" w:hAnsi="Times New Roman"/>
          <w:sz w:val="22"/>
          <w:szCs w:val="22"/>
          <w:b w:val="1"/>
          <w:bCs w:val="1"/>
          <w:u w:val="single" w:color="auto"/>
          <w:color w:val="auto"/>
        </w:rPr>
        <w:t>Publications Regarding Degrader Platform</w:t>
      </w:r>
      <w:r>
        <w:rPr>
          <w:rFonts w:ascii="Times New Roman" w:cs="Times New Roman" w:eastAsia="Times New Roman" w:hAnsi="Times New Roman"/>
          <w:sz w:val="22"/>
          <w:szCs w:val="22"/>
          <w:color w:val="auto"/>
        </w:rPr>
        <w:t xml:space="preserve">. Notwithstanding anything to the contrary in this </w:t>
      </w:r>
      <w:r>
        <w:rPr>
          <w:rFonts w:ascii="Times New Roman" w:cs="Times New Roman" w:eastAsia="Times New Roman" w:hAnsi="Times New Roman"/>
          <w:sz w:val="22"/>
          <w:szCs w:val="22"/>
          <w:u w:val="single" w:color="auto"/>
          <w:color w:val="auto"/>
        </w:rPr>
        <w:t>Section 16.6.3</w:t>
      </w:r>
      <w:r>
        <w:rPr>
          <w:rFonts w:ascii="Times New Roman" w:cs="Times New Roman" w:eastAsia="Times New Roman" w:hAnsi="Times New Roman"/>
          <w:sz w:val="22"/>
          <w:szCs w:val="22"/>
          <w:color w:val="auto"/>
        </w:rPr>
        <w:t xml:space="preserve">, Kymera may, at any time during the Term, make academic, scientific or medical publications or academic, scientific or medical public presentations specific to the Degrader Platform and containing no information specific to a Collaboration Target, any Collaboration Compound, Collaboration Candidate or Licensed Product Directed Against such Collaboration Target in the applicable Field or any activities conducted pursuant to this Agreement with respect to such Collaboration Target;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publication or presentation could reasonably be expected to adversely impact Sanofi’s ability to Prosecute and Maintain the Sanofi Foreground Patents, then at least [***] prior to any such publication or presentation, Kymera will convene a meeting of the JPC to discuss the matter and implement an appropriate course of action, and upon Sanofi’s request, Kymera will delay such publication or presentation to allow for at least [***] for Sanofi to prepare and file patent applications.</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17</w:t>
      </w:r>
    </w:p>
    <w:p>
      <w:pPr>
        <w:spacing w:after="0" w:line="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GOVERNMENTAL APPROVALS; CLOSING CONDITION</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b w:val="1"/>
          <w:bCs w:val="1"/>
          <w:u w:val="single" w:color="auto"/>
          <w:color w:val="auto"/>
        </w:rPr>
        <w:t>HSR Clearance</w:t>
      </w:r>
      <w:r>
        <w:rPr>
          <w:rFonts w:ascii="Times New Roman" w:cs="Times New Roman" w:eastAsia="Times New Roman" w:hAnsi="Times New Roman"/>
          <w:sz w:val="22"/>
          <w:szCs w:val="22"/>
          <w:color w:val="auto"/>
        </w:rPr>
        <w:t>. The Parties acknowledge and agree that (a) the Parties filed their respective pre-merger notification and report forms with respect to the Original Agreement with the United States Federal Trade Commission and the United States Department of Justice pursuant to the HSR Act, and (b) the waiting period under the HSR Act expired as of 11:59 pm on August 10, 2020.</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b w:val="1"/>
          <w:bCs w:val="1"/>
          <w:u w:val="single" w:color="auto"/>
          <w:color w:val="auto"/>
        </w:rPr>
        <w:t>Closing Condition</w:t>
      </w:r>
      <w:r>
        <w:rPr>
          <w:rFonts w:ascii="Times New Roman" w:cs="Times New Roman" w:eastAsia="Times New Roman" w:hAnsi="Times New Roman"/>
          <w:sz w:val="22"/>
          <w:szCs w:val="22"/>
          <w:color w:val="auto"/>
        </w:rPr>
        <w:t>. Upon the terms and conditions set forth herein, at the Closing, the Original Agreement is amended and restated in its entirety and replaced with, and superseded by, this Agreement; provided that any activities conducted under the Original Agreement shall be deemed to have been conducted under this Agreement. The closing of this Agreement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will take place on the first Business Day after Kymera’s receipt of Sanofi’s Phase 2 Election Notice attached hereto as Exhibit E (such date, the “</w:t>
      </w:r>
      <w:r>
        <w:rPr>
          <w:rFonts w:ascii="Times New Roman" w:cs="Times New Roman" w:eastAsia="Times New Roman" w:hAnsi="Times New Roman"/>
          <w:sz w:val="22"/>
          <w:szCs w:val="22"/>
          <w:b w:val="1"/>
          <w:bCs w:val="1"/>
          <w:color w:val="auto"/>
        </w:rPr>
        <w:t>Restatement Effective Date</w:t>
      </w:r>
      <w:r>
        <w:rPr>
          <w:rFonts w:ascii="Times New Roman" w:cs="Times New Roman" w:eastAsia="Times New Roman" w:hAnsi="Times New Roman"/>
          <w:sz w:val="22"/>
          <w:szCs w:val="22"/>
          <w:color w:val="auto"/>
        </w:rPr>
        <w:t>”). In furtherance of the foregoing, during the period between the Restatement Execution Date and the Restatement Effective Date, the Original Agreement will continue to govern the Parties’ relationship in accordance with its terms. [***]. [***].</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18</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 xml:space="preserve">18.1 </w:t>
      </w: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xml:space="preserve">. This Agreement will not be assignable by either Party to any Third Party without the written consent of the non-assigning Party. Notwithstanding the foregoing, either Party may, subject to the terms of this Agreement (including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xml:space="preserve">), assign this Agreement or its rights and obligations under this Agreement, without the written consent of the other Party, to an Affiliate that agrees in writing to be bound by the terms of this Agreement or to a Third Party that acquires all or substantially all of the business or assets of such Party to which this Agreement relates (whether by merger, reorganization, acquisition, sale or otherwise), and agrees in writing to be bound by the terms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an</w:t>
      </w:r>
    </w:p>
    <w:p>
      <w:pPr>
        <w:spacing w:after="0" w:line="200" w:lineRule="exact"/>
        <w:rPr>
          <w:sz w:val="20"/>
          <w:szCs w:val="20"/>
          <w:color w:val="auto"/>
        </w:rPr>
      </w:pPr>
    </w:p>
    <w:p>
      <w:pPr>
        <w:spacing w:after="0" w:line="3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311" w:name="page312"/>
    <w:bookmarkEnd w:id="311"/>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assignment to an Affiliate, the assigning Party shall remain fully liable for the performance of its obligations under this Agreement by such Affiliate. The assigning Party will promptly notify the other Party in writing of any permitted assignment or transfer under the provisions of this </w:t>
      </w:r>
      <w:r>
        <w:rPr>
          <w:rFonts w:ascii="Times New Roman" w:cs="Times New Roman" w:eastAsia="Times New Roman" w:hAnsi="Times New Roman"/>
          <w:sz w:val="22"/>
          <w:szCs w:val="22"/>
          <w:u w:val="single" w:color="auto"/>
          <w:color w:val="auto"/>
        </w:rPr>
        <w:t>Section 18.1</w:t>
      </w:r>
      <w:r>
        <w:rPr>
          <w:rFonts w:ascii="Times New Roman" w:cs="Times New Roman" w:eastAsia="Times New Roman" w:hAnsi="Times New Roman"/>
          <w:sz w:val="22"/>
          <w:szCs w:val="22"/>
          <w:color w:val="auto"/>
        </w:rPr>
        <w:t xml:space="preserve">.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w:t>
      </w:r>
      <w:r>
        <w:rPr>
          <w:rFonts w:ascii="Times New Roman" w:cs="Times New Roman" w:eastAsia="Times New Roman" w:hAnsi="Times New Roman"/>
          <w:sz w:val="22"/>
          <w:szCs w:val="22"/>
          <w:u w:val="single" w:color="auto"/>
          <w:color w:val="auto"/>
        </w:rPr>
        <w:t>Section 18.1</w:t>
      </w:r>
      <w:r>
        <w:rPr>
          <w:rFonts w:ascii="Times New Roman" w:cs="Times New Roman" w:eastAsia="Times New Roman" w:hAnsi="Times New Roman"/>
          <w:sz w:val="22"/>
          <w:szCs w:val="22"/>
          <w:color w:val="auto"/>
        </w:rPr>
        <w:t xml:space="preserve"> will be null and void.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40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18.2.1 Subject to </w:t>
      </w:r>
      <w:r>
        <w:rPr>
          <w:rFonts w:ascii="Times New Roman" w:cs="Times New Roman" w:eastAsia="Times New Roman" w:hAnsi="Times New Roman"/>
          <w:sz w:val="22"/>
          <w:szCs w:val="22"/>
          <w:u w:val="single" w:color="auto"/>
          <w:color w:val="auto"/>
        </w:rPr>
        <w:t>Section 18.2.2</w:t>
      </w:r>
      <w:r>
        <w:rPr>
          <w:rFonts w:ascii="Times New Roman" w:cs="Times New Roman" w:eastAsia="Times New Roman" w:hAnsi="Times New Roman"/>
          <w:sz w:val="22"/>
          <w:szCs w:val="22"/>
          <w:color w:val="auto"/>
        </w:rPr>
        <w:t>, each Party will be excused from the performance of its obligations under this Agreement to the extent that such performance is prevented by Force Majeure and the nonperforming Party promptly provides written notice of the Force Majeure to the other Party. Such excuse will continue for so long as the condition constituting a Force Majeure continues, on the condition that the nonperforming Party continues to use Commercially Reasonable Efforts to remove or mitigate the Force Majeure and resume performance of its obligations under this Agreement.</w:t>
      </w:r>
    </w:p>
    <w:p>
      <w:pPr>
        <w:spacing w:after="0" w:line="181" w:lineRule="exact"/>
        <w:rPr>
          <w:sz w:val="20"/>
          <w:szCs w:val="20"/>
          <w:color w:val="auto"/>
        </w:rPr>
      </w:pPr>
    </w:p>
    <w:p>
      <w:pPr>
        <w:ind w:left="400" w:right="20" w:firstLine="1497"/>
        <w:spacing w:after="0" w:line="258" w:lineRule="auto"/>
        <w:rPr>
          <w:sz w:val="20"/>
          <w:szCs w:val="20"/>
          <w:color w:val="auto"/>
        </w:rPr>
      </w:pPr>
      <w:r>
        <w:rPr>
          <w:rFonts w:ascii="Times New Roman" w:cs="Times New Roman" w:eastAsia="Times New Roman" w:hAnsi="Times New Roman"/>
          <w:sz w:val="22"/>
          <w:szCs w:val="22"/>
          <w:color w:val="auto"/>
        </w:rPr>
        <w:t>18.2.2 For clarity, Sanofi and Kymera acknowledge and agree that either Party’s ability to perform its obligations under this Agreement may be affected by [***].</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b w:val="1"/>
          <w:bCs w:val="1"/>
          <w:u w:val="single" w:color="auto"/>
          <w:color w:val="auto"/>
        </w:rPr>
        <w:t>Representation by Legal Counsel</w:t>
      </w:r>
      <w:r>
        <w:rPr>
          <w:rFonts w:ascii="Times New Roman" w:cs="Times New Roman" w:eastAsia="Times New Roman" w:hAnsi="Times New Roman"/>
          <w:sz w:val="22"/>
          <w:szCs w:val="22"/>
          <w:color w:val="auto"/>
        </w:rPr>
        <w:t>. Each Party represents that it has been represented by legal counsel in connection with this Agreement and acknowledges that it has participated in the drafting hereof. In interpreting and applying the terms and provisions of this Agreement, no presumption will exist or be implied against the Party that drafted such terms and provisions.</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18.4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written notices which are required or permitted hereunder will be in writing and sufficient if delivered personally or sent by nationally-recognized overnight courier, addressed as follows:</w:t>
      </w:r>
    </w:p>
    <w:p>
      <w:pPr>
        <w:spacing w:after="0" w:line="1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If to Sanofi:</w:t>
      </w:r>
    </w:p>
    <w:p>
      <w:pPr>
        <w:spacing w:after="0" w:line="2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Genzyme Corporation</w:t>
      </w:r>
    </w:p>
    <w:p>
      <w:pPr>
        <w:spacing w:after="0" w:line="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450 Water Street</w:t>
      </w:r>
    </w:p>
    <w:p>
      <w:pPr>
        <w:ind w:left="1420"/>
        <w:spacing w:after="0" w:line="230" w:lineRule="auto"/>
        <w:rPr>
          <w:sz w:val="20"/>
          <w:szCs w:val="20"/>
          <w:color w:val="auto"/>
        </w:rPr>
      </w:pPr>
      <w:r>
        <w:rPr>
          <w:rFonts w:ascii="Times New Roman" w:cs="Times New Roman" w:eastAsia="Times New Roman" w:hAnsi="Times New Roman"/>
          <w:sz w:val="22"/>
          <w:szCs w:val="22"/>
          <w:color w:val="auto"/>
        </w:rPr>
        <w:t>Cambridge, MA 02141</w:t>
      </w:r>
    </w:p>
    <w:p>
      <w:pPr>
        <w:ind w:left="1420"/>
        <w:spacing w:after="0" w:line="231" w:lineRule="auto"/>
        <w:rPr>
          <w:sz w:val="20"/>
          <w:szCs w:val="20"/>
          <w:color w:val="auto"/>
        </w:rPr>
      </w:pPr>
      <w:r>
        <w:rPr>
          <w:rFonts w:ascii="Times New Roman" w:cs="Times New Roman" w:eastAsia="Times New Roman" w:hAnsi="Times New Roman"/>
          <w:sz w:val="22"/>
          <w:szCs w:val="22"/>
          <w:color w:val="auto"/>
        </w:rPr>
        <w:t>Attention: [***], Global Business Development • Sanofi Partnering</w:t>
      </w:r>
    </w:p>
    <w:p>
      <w:pPr>
        <w:ind w:left="1420"/>
        <w:spacing w:after="0"/>
        <w:rPr>
          <w:sz w:val="20"/>
          <w:szCs w:val="20"/>
          <w:color w:val="auto"/>
        </w:rPr>
      </w:pPr>
      <w:r>
        <w:rPr>
          <w:rFonts w:ascii="Times New Roman" w:cs="Times New Roman" w:eastAsia="Times New Roman" w:hAnsi="Times New Roman"/>
          <w:sz w:val="22"/>
          <w:szCs w:val="22"/>
          <w:color w:val="auto"/>
        </w:rPr>
        <w:t>Email: [***]@sanofi.com</w:t>
      </w:r>
    </w:p>
    <w:p>
      <w:pPr>
        <w:spacing w:after="0" w:line="18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450 Water Street</w:t>
      </w:r>
    </w:p>
    <w:p>
      <w:pPr>
        <w:spacing w:after="0" w:line="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Cambridge, MA 02141</w:t>
      </w:r>
    </w:p>
    <w:p>
      <w:pPr>
        <w:ind w:left="1420"/>
        <w:spacing w:after="0" w:line="230" w:lineRule="auto"/>
        <w:rPr>
          <w:sz w:val="20"/>
          <w:szCs w:val="20"/>
          <w:color w:val="auto"/>
        </w:rPr>
      </w:pPr>
      <w:r>
        <w:rPr>
          <w:rFonts w:ascii="Times New Roman" w:cs="Times New Roman" w:eastAsia="Times New Roman" w:hAnsi="Times New Roman"/>
          <w:sz w:val="22"/>
          <w:szCs w:val="22"/>
          <w:color w:val="auto"/>
        </w:rPr>
        <w:t>Attention: [***], Head of Legal Global Functions</w:t>
      </w:r>
    </w:p>
    <w:p>
      <w:pPr>
        <w:ind w:left="1420"/>
        <w:spacing w:after="0" w:line="231" w:lineRule="auto"/>
        <w:rPr>
          <w:sz w:val="20"/>
          <w:szCs w:val="20"/>
          <w:color w:val="auto"/>
        </w:rPr>
      </w:pPr>
      <w:r>
        <w:rPr>
          <w:rFonts w:ascii="Times New Roman" w:cs="Times New Roman" w:eastAsia="Times New Roman" w:hAnsi="Times New Roman"/>
          <w:sz w:val="22"/>
          <w:szCs w:val="22"/>
          <w:color w:val="auto"/>
        </w:rPr>
        <w:t>Email (to each of the following): [***]@sanofi.com;</w:t>
      </w:r>
    </w:p>
    <w:p>
      <w:pPr>
        <w:ind w:left="1420"/>
        <w:spacing w:after="0"/>
        <w:rPr>
          <w:sz w:val="20"/>
          <w:szCs w:val="20"/>
          <w:color w:val="auto"/>
        </w:rPr>
      </w:pPr>
      <w:r>
        <w:rPr>
          <w:rFonts w:ascii="Times New Roman" w:cs="Times New Roman" w:eastAsia="Times New Roman" w:hAnsi="Times New Roman"/>
          <w:sz w:val="22"/>
          <w:szCs w:val="22"/>
          <w:color w:val="auto"/>
        </w:rPr>
        <w:t>[***]@sanofi.com</w:t>
      </w: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312" w:name="page313"/>
    <w:bookmarkEnd w:id="312"/>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to Kymera:</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Kymera Therapeutics,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Attn: Chief Executive Officer</w:t>
      </w:r>
    </w:p>
    <w:p>
      <w:pPr>
        <w:ind w:left="1500"/>
        <w:spacing w:after="0" w:line="230" w:lineRule="auto"/>
        <w:rPr>
          <w:sz w:val="20"/>
          <w:szCs w:val="20"/>
          <w:color w:val="auto"/>
        </w:rPr>
      </w:pPr>
      <w:r>
        <w:rPr>
          <w:rFonts w:ascii="Times New Roman" w:cs="Times New Roman" w:eastAsia="Times New Roman" w:hAnsi="Times New Roman"/>
          <w:sz w:val="22"/>
          <w:szCs w:val="22"/>
          <w:color w:val="auto"/>
        </w:rPr>
        <w:t>200 Arsenal Yards Blvd</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Attn: Sarah Solomon</w:t>
      </w:r>
    </w:p>
    <w:p>
      <w:pPr>
        <w:ind w:left="1500"/>
        <w:spacing w:after="0" w:line="230" w:lineRule="auto"/>
        <w:rPr>
          <w:sz w:val="20"/>
          <w:szCs w:val="20"/>
          <w:color w:val="auto"/>
        </w:rPr>
      </w:pPr>
      <w:r>
        <w:rPr>
          <w:rFonts w:ascii="Times New Roman" w:cs="Times New Roman" w:eastAsia="Times New Roman" w:hAnsi="Times New Roman"/>
          <w:sz w:val="22"/>
          <w:szCs w:val="22"/>
          <w:color w:val="auto"/>
        </w:rPr>
        <w:t>100 Northern Avenue</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Boston, MA 02210</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or to such other address as the Party to whom written notice is to be given may have furnished to the other Party in writing in accordance herewith. In addition, each Party will deliver a courtesy copy to the other Party’s Alliance Manager concurrently with such notice. Any such written notice will be deemed to have been given and received by the other Party: (a) when delivered if personally delivered; or (b) on receipt if sent by overnight courier.</w:t>
      </w:r>
    </w:p>
    <w:p>
      <w:pPr>
        <w:spacing w:after="0" w:line="176" w:lineRule="exact"/>
        <w:rPr>
          <w:sz w:val="20"/>
          <w:szCs w:val="20"/>
          <w:color w:val="auto"/>
        </w:rPr>
      </w:pPr>
    </w:p>
    <w:p>
      <w:pPr>
        <w:jc w:val="both"/>
        <w:ind w:left="80" w:firstLine="749"/>
        <w:spacing w:after="0" w:line="241" w:lineRule="auto"/>
        <w:rPr>
          <w:sz w:val="20"/>
          <w:szCs w:val="20"/>
          <w:color w:val="auto"/>
        </w:rPr>
      </w:pPr>
      <w:r>
        <w:rPr>
          <w:rFonts w:ascii="Times New Roman" w:cs="Times New Roman" w:eastAsia="Times New Roman" w:hAnsi="Times New Roman"/>
          <w:sz w:val="22"/>
          <w:szCs w:val="22"/>
          <w:color w:val="auto"/>
        </w:rPr>
        <w:t xml:space="preserve">18.5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No amendment, modification or supplement of any provision of this Agreement will be valid or effective unless made in writing and signed by a duly authorized officer of each of Sanofi and Kymera. For clarity, references in this Agreement to a “written acknowledgement” will not be deemed to be an amendment, modification or supplement of this Agreement.</w:t>
      </w:r>
    </w:p>
    <w:p>
      <w:pPr>
        <w:spacing w:after="0" w:line="172" w:lineRule="exact"/>
        <w:rPr>
          <w:sz w:val="20"/>
          <w:szCs w:val="20"/>
          <w:color w:val="auto"/>
        </w:rPr>
      </w:pPr>
    </w:p>
    <w:p>
      <w:pPr>
        <w:jc w:val="both"/>
        <w:ind w:left="80" w:firstLine="749"/>
        <w:spacing w:after="0" w:line="241" w:lineRule="auto"/>
        <w:rPr>
          <w:sz w:val="20"/>
          <w:szCs w:val="20"/>
          <w:color w:val="auto"/>
        </w:rPr>
      </w:pPr>
      <w:r>
        <w:rPr>
          <w:rFonts w:ascii="Times New Roman" w:cs="Times New Roman" w:eastAsia="Times New Roman" w:hAnsi="Times New Roman"/>
          <w:sz w:val="22"/>
          <w:szCs w:val="22"/>
          <w:color w:val="auto"/>
        </w:rPr>
        <w:t xml:space="preserve">18.6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 provision of this Agreement will be waived by any act, omission or knowledge of a Party or its agents or employees except by an instrument in writing expressly waiving such provision and signed by a duly authorized officer of the waiving Party. The waiver by either Party of any breach of any provision hereof by the other Party will not be construed to be a waiver of any succeeding breach of such provision or a waiver of the provision itself.</w:t>
      </w:r>
    </w:p>
    <w:p>
      <w:pPr>
        <w:spacing w:after="0" w:line="172" w:lineRule="exact"/>
        <w:rPr>
          <w:sz w:val="20"/>
          <w:szCs w:val="20"/>
          <w:color w:val="auto"/>
        </w:rPr>
      </w:pPr>
    </w:p>
    <w:p>
      <w:pPr>
        <w:jc w:val="both"/>
        <w:ind w:left="80" w:firstLine="749"/>
        <w:spacing w:after="0" w:line="237" w:lineRule="auto"/>
        <w:rPr>
          <w:sz w:val="20"/>
          <w:szCs w:val="20"/>
          <w:color w:val="auto"/>
        </w:rPr>
      </w:pPr>
      <w:r>
        <w:rPr>
          <w:rFonts w:ascii="Times New Roman" w:cs="Times New Roman" w:eastAsia="Times New Roman" w:hAnsi="Times New Roman"/>
          <w:sz w:val="22"/>
          <w:szCs w:val="22"/>
          <w:color w:val="auto"/>
        </w:rPr>
        <w:t xml:space="preserve">18.7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clause or portion thereof in this Agreement is for any reason held to be invalid, illegal or 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of portion thereof had never been contained in this Agreement, and there will be deemed substituted therefor such provision as will most nearly carry out the intent of the Parties as expressed in this Agreement to the fullest extent permitted by Applicable Law.</w:t>
      </w:r>
    </w:p>
    <w:p>
      <w:pPr>
        <w:spacing w:after="0" w:line="175" w:lineRule="exact"/>
        <w:rPr>
          <w:sz w:val="20"/>
          <w:szCs w:val="20"/>
          <w:color w:val="auto"/>
        </w:rPr>
      </w:pPr>
    </w:p>
    <w:p>
      <w:pPr>
        <w:jc w:val="both"/>
        <w:ind w:left="8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18.8 </w:t>
      </w:r>
      <w:r>
        <w:rPr>
          <w:rFonts w:ascii="Times New Roman" w:cs="Times New Roman" w:eastAsia="Times New Roman" w:hAnsi="Times New Roman"/>
          <w:sz w:val="22"/>
          <w:szCs w:val="22"/>
          <w:b w:val="1"/>
          <w:bCs w:val="1"/>
          <w:u w:val="single" w:color="auto"/>
          <w:color w:val="auto"/>
        </w:rPr>
        <w:t>Descriptive Headings</w:t>
      </w:r>
      <w:r>
        <w:rPr>
          <w:rFonts w:ascii="Times New Roman" w:cs="Times New Roman" w:eastAsia="Times New Roman" w:hAnsi="Times New Roman"/>
          <w:sz w:val="22"/>
          <w:szCs w:val="22"/>
          <w:color w:val="auto"/>
        </w:rPr>
        <w:t>. The descriptive headings of this Agreement are for convenience only and will be of no force or effect in construing or interpreting any of the provisions of this Agreement.</w:t>
      </w:r>
    </w:p>
    <w:p>
      <w:pPr>
        <w:spacing w:after="0" w:line="150" w:lineRule="exact"/>
        <w:rPr>
          <w:sz w:val="20"/>
          <w:szCs w:val="20"/>
          <w:color w:val="auto"/>
        </w:rPr>
      </w:pPr>
    </w:p>
    <w:p>
      <w:pPr>
        <w:jc w:val="both"/>
        <w:ind w:left="80" w:firstLine="749"/>
        <w:spacing w:after="0" w:line="246" w:lineRule="auto"/>
        <w:rPr>
          <w:sz w:val="20"/>
          <w:szCs w:val="20"/>
          <w:color w:val="auto"/>
        </w:rPr>
      </w:pPr>
      <w:r>
        <w:rPr>
          <w:rFonts w:ascii="Times New Roman" w:cs="Times New Roman" w:eastAsia="Times New Roman" w:hAnsi="Times New Roman"/>
          <w:sz w:val="22"/>
          <w:szCs w:val="22"/>
          <w:color w:val="auto"/>
        </w:rPr>
        <w:t xml:space="preserve">18.9 </w:t>
      </w:r>
      <w:r>
        <w:rPr>
          <w:rFonts w:ascii="Times New Roman" w:cs="Times New Roman" w:eastAsia="Times New Roman" w:hAnsi="Times New Roman"/>
          <w:sz w:val="22"/>
          <w:szCs w:val="22"/>
          <w:b w:val="1"/>
          <w:bCs w:val="1"/>
          <w:u w:val="single" w:color="auto"/>
          <w:color w:val="auto"/>
        </w:rPr>
        <w:t>Export Control</w:t>
      </w:r>
      <w:r>
        <w:rPr>
          <w:rFonts w:ascii="Times New Roman" w:cs="Times New Roman" w:eastAsia="Times New Roman" w:hAnsi="Times New Roman"/>
          <w:sz w:val="22"/>
          <w:szCs w:val="22"/>
          <w:color w:val="auto"/>
        </w:rPr>
        <w:t>. This Agreement is made subject to any restrictions concerning the export of products or technical information from the United States of America or other countries that may be imposed upon or related to Kymera or Sanofi from time to time. Each Party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Governmental Authority.</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18.10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and all claims arising under or in connection therewith, will be governed by and interpreted in accordance with the substantive laws of The State of New York, without regard to conflict of law principles thereof.</w:t>
      </w:r>
    </w:p>
    <w:p>
      <w:pPr>
        <w:spacing w:after="0" w:line="16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18.11 </w:t>
      </w:r>
      <w:r>
        <w:rPr>
          <w:rFonts w:ascii="Times New Roman" w:cs="Times New Roman" w:eastAsia="Times New Roman" w:hAnsi="Times New Roman"/>
          <w:sz w:val="22"/>
          <w:szCs w:val="22"/>
          <w:b w:val="1"/>
          <w:bCs w:val="1"/>
          <w:u w:val="single" w:color="auto"/>
          <w:color w:val="auto"/>
        </w:rPr>
        <w:t>Jurisdiction; Venue; Service of Process</w:t>
      </w:r>
      <w:r>
        <w:rPr>
          <w:rFonts w:ascii="Times New Roman" w:cs="Times New Roman" w:eastAsia="Times New Roman" w:hAnsi="Times New Roman"/>
          <w:sz w:val="22"/>
          <w:szCs w:val="22"/>
          <w:color w:val="auto"/>
        </w:rPr>
        <w:t xml:space="preserve">. Except as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18.12.3</w:t>
      </w:r>
      <w:r>
        <w:rPr>
          <w:rFonts w:ascii="Times New Roman" w:cs="Times New Roman" w:eastAsia="Times New Roman" w:hAnsi="Times New Roman"/>
          <w:sz w:val="22"/>
          <w:szCs w:val="22"/>
          <w:color w:val="auto"/>
        </w:rPr>
        <w:t>, (a) each Party irrevocably submits to the exclusive jurisdiction of (i) the courts of the State of New York located in New York, NY, or (ii) the United States District Court for the Southern District of New York, for the purposes of any actions, suits and proceedings (collectively, “</w:t>
      </w:r>
      <w:r>
        <w:rPr>
          <w:rFonts w:ascii="Times New Roman" w:cs="Times New Roman" w:eastAsia="Times New Roman" w:hAnsi="Times New Roman"/>
          <w:sz w:val="22"/>
          <w:szCs w:val="22"/>
          <w:b w:val="1"/>
          <w:bCs w:val="1"/>
          <w:color w:val="auto"/>
        </w:rPr>
        <w:t>Actions</w:t>
      </w:r>
      <w:r>
        <w:rPr>
          <w:rFonts w:ascii="Times New Roman" w:cs="Times New Roman" w:eastAsia="Times New Roman" w:hAnsi="Times New Roman"/>
          <w:sz w:val="22"/>
          <w:szCs w:val="22"/>
          <w:color w:val="auto"/>
        </w:rPr>
        <w:t xml:space="preserve">”) arising out of this Agreement (except for government agency actions to adjudicate registered intellectual property rights, e.g., post-grant proceedings at the United States Patent and Trademark Office or other foreign equivalent proceedings), (b) each Party agrees to commence any such Action either in the United States District Court for the Southern District of New York or if such Action may not be brought in such court for jurisdictional reasons, in the courts of the State of New York located in New York, NY, and (c) each Party irrevocably and unconditionally waives any objection to the laying of venue of any Action arising out of this Agreement in (i) the courts of the State of New York located in New York, NY, or (ii) the United States District Court for the Southern District of New York, and hereby and thereby further irrevocably and unconditionally waives and agrees not to plead or claim in any such court that any such Action brought in any such court has been brought in an inconvenient forum. Each of the Parties agrees that process may be served upon it in the manner specified in </w:t>
      </w:r>
      <w:r>
        <w:rPr>
          <w:rFonts w:ascii="Times New Roman" w:cs="Times New Roman" w:eastAsia="Times New Roman" w:hAnsi="Times New Roman"/>
          <w:sz w:val="22"/>
          <w:szCs w:val="22"/>
          <w:u w:val="single" w:color="auto"/>
          <w:color w:val="auto"/>
        </w:rPr>
        <w:t>Section 18.4</w:t>
      </w:r>
      <w:r>
        <w:rPr>
          <w:rFonts w:ascii="Times New Roman" w:cs="Times New Roman" w:eastAsia="Times New Roman" w:hAnsi="Times New Roman"/>
          <w:sz w:val="22"/>
          <w:szCs w:val="22"/>
          <w:color w:val="auto"/>
        </w:rPr>
        <w:t xml:space="preserve"> and irrevocably waives and covenants not to assert or plead any objection which it might otherwise have to such jurisdiction, or to such manner of service of process.</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18.12 </w:t>
      </w:r>
      <w:r>
        <w:rPr>
          <w:rFonts w:ascii="Times New Roman" w:cs="Times New Roman" w:eastAsia="Times New Roman" w:hAnsi="Times New Roman"/>
          <w:sz w:val="22"/>
          <w:szCs w:val="22"/>
          <w:b w:val="1"/>
          <w:bCs w:val="1"/>
          <w:u w:val="single" w:color="auto"/>
          <w:color w:val="auto"/>
        </w:rPr>
        <w:t>Dispute Resolution</w:t>
      </w:r>
      <w:r>
        <w:rPr>
          <w:rFonts w:ascii="Times New Roman" w:cs="Times New Roman" w:eastAsia="Times New Roman" w:hAnsi="Times New Roman"/>
          <w:sz w:val="22"/>
          <w:szCs w:val="22"/>
          <w:color w:val="auto"/>
        </w:rPr>
        <w:t>. If a dispute arises between the Parties in connection with or relating to this Agreement or any document or instrument delivered in connection herewith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xml:space="preserve">”), it will be resolved pursuant to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Section 18.12</w:t>
      </w:r>
      <w:r>
        <w:rPr>
          <w:rFonts w:ascii="Times New Roman" w:cs="Times New Roman" w:eastAsia="Times New Roman" w:hAnsi="Times New Roman"/>
          <w:sz w:val="22"/>
          <w:szCs w:val="22"/>
          <w:color w:val="auto"/>
        </w:rPr>
        <w:t>, as applicable.</w:t>
      </w:r>
    </w:p>
    <w:p>
      <w:pPr>
        <w:spacing w:after="0" w:line="167" w:lineRule="exact"/>
        <w:rPr>
          <w:sz w:val="20"/>
          <w:szCs w:val="20"/>
          <w:color w:val="auto"/>
        </w:rPr>
      </w:pPr>
    </w:p>
    <w:p>
      <w:pPr>
        <w:jc w:val="both"/>
        <w:ind w:left="40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18.12.1 </w:t>
      </w:r>
      <w:r>
        <w:rPr>
          <w:rFonts w:ascii="Times New Roman" w:cs="Times New Roman" w:eastAsia="Times New Roman" w:hAnsi="Times New Roman"/>
          <w:sz w:val="22"/>
          <w:szCs w:val="22"/>
          <w:b w:val="1"/>
          <w:bCs w:val="1"/>
          <w:u w:val="single" w:color="auto"/>
          <w:color w:val="auto"/>
        </w:rPr>
        <w:t>Informal Dispute Resolution; Escalation to Executive Officers</w:t>
      </w:r>
      <w:r>
        <w:rPr>
          <w:rFonts w:ascii="Times New Roman" w:cs="Times New Roman" w:eastAsia="Times New Roman" w:hAnsi="Times New Roman"/>
          <w:sz w:val="22"/>
          <w:szCs w:val="22"/>
          <w:color w:val="auto"/>
        </w:rPr>
        <w:t xml:space="preserve">. In the event of any Dispute, the Parties will first attempt in good faith to resolve such Dispute by negotiation and consultation between themselves. If, after [***] from receipt of the written notice of a Dispute, such Dispute has not been resolved on an informal basis, either Party may refer any Dispute to the Executive Officers of the Parties by delivering written notice to the other Party, who will confer in good faith on the resolution of the issue for a [***] period following receipt of such written notice. If any Dispute is not resolved within such [***] period by the Executive Officers, each Party may, at its sole discretion, seek resolution of such Dispute in accordance with </w:t>
      </w:r>
      <w:r>
        <w:rPr>
          <w:rFonts w:ascii="Times New Roman" w:cs="Times New Roman" w:eastAsia="Times New Roman" w:hAnsi="Times New Roman"/>
          <w:sz w:val="22"/>
          <w:szCs w:val="22"/>
          <w:u w:val="single" w:color="auto"/>
          <w:color w:val="auto"/>
        </w:rPr>
        <w:t>Section 18.12.2</w:t>
      </w:r>
      <w:r>
        <w:rPr>
          <w:rFonts w:ascii="Times New Roman" w:cs="Times New Roman" w:eastAsia="Times New Roman" w:hAnsi="Times New Roman"/>
          <w:sz w:val="22"/>
          <w:szCs w:val="22"/>
          <w:color w:val="auto"/>
        </w:rPr>
        <w:t xml:space="preserve">. Notwithstanding the foregoing, a matter that was subject to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xml:space="preserve"> will not also be subject to this Section but will otherwise be subject to </w:t>
      </w:r>
      <w:r>
        <w:rPr>
          <w:rFonts w:ascii="Times New Roman" w:cs="Times New Roman" w:eastAsia="Times New Roman" w:hAnsi="Times New Roman"/>
          <w:sz w:val="22"/>
          <w:szCs w:val="22"/>
          <w:u w:val="single" w:color="auto"/>
          <w:color w:val="auto"/>
        </w:rPr>
        <w:t>Section 18.11</w:t>
      </w:r>
      <w:r>
        <w:rPr>
          <w:rFonts w:ascii="Times New Roman" w:cs="Times New Roman" w:eastAsia="Times New Roman" w:hAnsi="Times New Roman"/>
          <w:sz w:val="22"/>
          <w:szCs w:val="22"/>
          <w:color w:val="auto"/>
        </w:rPr>
        <w:t xml:space="preserve"> and all other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18.12</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left="400" w:firstLine="1497"/>
        <w:spacing w:after="0" w:line="246" w:lineRule="auto"/>
        <w:rPr>
          <w:sz w:val="20"/>
          <w:szCs w:val="20"/>
          <w:color w:val="auto"/>
        </w:rPr>
      </w:pPr>
      <w:r>
        <w:rPr>
          <w:rFonts w:ascii="Times New Roman" w:cs="Times New Roman" w:eastAsia="Times New Roman" w:hAnsi="Times New Roman"/>
          <w:sz w:val="22"/>
          <w:szCs w:val="22"/>
          <w:color w:val="auto"/>
        </w:rPr>
        <w:t xml:space="preserve">18.12.2 </w:t>
      </w:r>
      <w:r>
        <w:rPr>
          <w:rFonts w:ascii="Times New Roman" w:cs="Times New Roman" w:eastAsia="Times New Roman" w:hAnsi="Times New Roman"/>
          <w:sz w:val="22"/>
          <w:szCs w:val="22"/>
          <w:b w:val="1"/>
          <w:bCs w:val="1"/>
          <w:u w:val="single" w:color="auto"/>
          <w:color w:val="auto"/>
        </w:rPr>
        <w:t>Jury Trial</w:t>
      </w:r>
      <w:r>
        <w:rPr>
          <w:rFonts w:ascii="Times New Roman" w:cs="Times New Roman" w:eastAsia="Times New Roman" w:hAnsi="Times New Roman"/>
          <w:sz w:val="22"/>
          <w:szCs w:val="22"/>
          <w:color w:val="auto"/>
        </w:rPr>
        <w:t>. EXCEPT AS LIMITED BY LAWS, EACH PARTY HEREBY IRREVOCABLY WAIVES ALL RIGHT TO TRIAL BY JURY IN ANY ACTION, PROCEEDING OR COUNTERCLAIM (WHETHER BASED ON CONTRACT,</w:t>
      </w: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1" w:lineRule="exact"/>
        <w:rPr>
          <w:sz w:val="20"/>
          <w:szCs w:val="20"/>
          <w:color w:val="auto"/>
        </w:rPr>
      </w:pPr>
    </w:p>
    <w:p>
      <w:pPr>
        <w:jc w:val="both"/>
        <w:ind w:left="400" w:right="20"/>
        <w:spacing w:after="0" w:line="282" w:lineRule="auto"/>
        <w:rPr>
          <w:sz w:val="20"/>
          <w:szCs w:val="20"/>
          <w:color w:val="auto"/>
        </w:rPr>
      </w:pPr>
      <w:r>
        <w:rPr>
          <w:rFonts w:ascii="Times New Roman" w:cs="Times New Roman" w:eastAsia="Times New Roman" w:hAnsi="Times New Roman"/>
          <w:sz w:val="21"/>
          <w:szCs w:val="21"/>
          <w:color w:val="auto"/>
        </w:rPr>
        <w:t>TORT OR OTHERWISE) ARISING OUT OF OR RELATING TO THIS AGREEMENT OR THE ACTIONS OF ANY PARTY HERETO IN THE NEGOTIATION, ADMINISTRATION, PERFORMANCE AND ENFORCEMENT HEREOF.</w:t>
      </w:r>
    </w:p>
    <w:p>
      <w:pPr>
        <w:spacing w:after="0" w:line="131" w:lineRule="exact"/>
        <w:rPr>
          <w:sz w:val="20"/>
          <w:szCs w:val="20"/>
          <w:color w:val="auto"/>
        </w:rPr>
      </w:pPr>
    </w:p>
    <w:p>
      <w:pPr>
        <w:jc w:val="both"/>
        <w:ind w:left="400" w:firstLine="1497"/>
        <w:spacing w:after="0" w:line="234" w:lineRule="auto"/>
        <w:rPr>
          <w:sz w:val="20"/>
          <w:szCs w:val="20"/>
          <w:color w:val="auto"/>
        </w:rPr>
      </w:pPr>
      <w:r>
        <w:rPr>
          <w:rFonts w:ascii="Times New Roman" w:cs="Times New Roman" w:eastAsia="Times New Roman" w:hAnsi="Times New Roman"/>
          <w:sz w:val="22"/>
          <w:szCs w:val="22"/>
          <w:color w:val="auto"/>
        </w:rPr>
        <w:t xml:space="preserve">18.12.3 </w:t>
      </w:r>
      <w:r>
        <w:rPr>
          <w:rFonts w:ascii="Times New Roman" w:cs="Times New Roman" w:eastAsia="Times New Roman" w:hAnsi="Times New Roman"/>
          <w:sz w:val="22"/>
          <w:szCs w:val="22"/>
          <w:b w:val="1"/>
          <w:bCs w:val="1"/>
          <w:u w:val="single" w:color="auto"/>
          <w:color w:val="auto"/>
        </w:rPr>
        <w:t>Equitable Relief</w:t>
      </w:r>
      <w:r>
        <w:rPr>
          <w:rFonts w:ascii="Times New Roman" w:cs="Times New Roman" w:eastAsia="Times New Roman" w:hAnsi="Times New Roman"/>
          <w:sz w:val="22"/>
          <w:szCs w:val="22"/>
          <w:color w:val="auto"/>
        </w:rPr>
        <w:t xml:space="preserve">. Notwithstanding the foregoing in this </w:t>
      </w:r>
      <w:r>
        <w:rPr>
          <w:rFonts w:ascii="Times New Roman" w:cs="Times New Roman" w:eastAsia="Times New Roman" w:hAnsi="Times New Roman"/>
          <w:sz w:val="22"/>
          <w:szCs w:val="22"/>
          <w:u w:val="single" w:color="auto"/>
          <w:color w:val="auto"/>
        </w:rPr>
        <w:t>Section 18.12</w:t>
      </w:r>
      <w:r>
        <w:rPr>
          <w:rFonts w:ascii="Times New Roman" w:cs="Times New Roman" w:eastAsia="Times New Roman" w:hAnsi="Times New Roman"/>
          <w:sz w:val="22"/>
          <w:szCs w:val="22"/>
          <w:color w:val="auto"/>
        </w:rPr>
        <w:t xml:space="preserve">, nothing contained in this Agreement will in any way limit or preclude a Party from, at any time, seeking or obtaining equitable relief hereunder, whether preliminary or permanent, including a temporary or permanent restraining order, preliminary or permanent injunction, specific performance or any other form of equitable relief, from any United States court of competent jurisdiction if necessary to protect the interests of such Party. Each Party agrees that its unauthorized release of the other Party’s Confidential Information or its breach of </w:t>
      </w:r>
      <w:r>
        <w:rPr>
          <w:rFonts w:ascii="Times New Roman" w:cs="Times New Roman" w:eastAsia="Times New Roman" w:hAnsi="Times New Roman"/>
          <w:sz w:val="22"/>
          <w:szCs w:val="22"/>
          <w:u w:val="single" w:color="auto"/>
          <w:color w:val="auto"/>
        </w:rPr>
        <w:t>Sections 10.6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10.8</w:t>
      </w:r>
      <w:r>
        <w:rPr>
          <w:rFonts w:ascii="Times New Roman" w:cs="Times New Roman" w:eastAsia="Times New Roman" w:hAnsi="Times New Roman"/>
          <w:sz w:val="22"/>
          <w:szCs w:val="22"/>
          <w:color w:val="auto"/>
        </w:rPr>
        <w:t xml:space="preserve"> of this Agreement will cause irreparable damage to the other Party for which recovery of damages would be inadequate, and that such other Party will be entitled to obtain timely injunctive relief with respect to such breach, without the need to show irreparable harm or the inadequacy of monetary damages as a remedy, and without the requirement of having to post bond or other security, as well as any further relief that may be granted by a court of competent jurisdiction.</w:t>
      </w:r>
    </w:p>
    <w:p>
      <w:pPr>
        <w:spacing w:after="0" w:line="179" w:lineRule="exact"/>
        <w:rPr>
          <w:sz w:val="20"/>
          <w:szCs w:val="20"/>
          <w:color w:val="auto"/>
        </w:rPr>
      </w:pPr>
    </w:p>
    <w:p>
      <w:pPr>
        <w:jc w:val="both"/>
        <w:ind w:left="40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18.12.4 </w:t>
      </w:r>
      <w:r>
        <w:rPr>
          <w:rFonts w:ascii="Times New Roman" w:cs="Times New Roman" w:eastAsia="Times New Roman" w:hAnsi="Times New Roman"/>
          <w:sz w:val="22"/>
          <w:szCs w:val="22"/>
          <w:b w:val="1"/>
          <w:bCs w:val="1"/>
          <w:u w:val="single" w:color="auto"/>
          <w:color w:val="auto"/>
        </w:rPr>
        <w:t>Tolling</w:t>
      </w:r>
      <w:r>
        <w:rPr>
          <w:rFonts w:ascii="Times New Roman" w:cs="Times New Roman" w:eastAsia="Times New Roman" w:hAnsi="Times New Roman"/>
          <w:sz w:val="22"/>
          <w:szCs w:val="22"/>
          <w:color w:val="auto"/>
        </w:rPr>
        <w:t xml:space="preserve">. The Parties agree that all applicable statutes of limitation and time-based defenses (such as estoppel and laches), as well as all time periods in which a Party must exercise rights or perform obligation hereunder, will be tolled once the dispute resolution procedures set forth in this </w:t>
      </w:r>
      <w:r>
        <w:rPr>
          <w:rFonts w:ascii="Times New Roman" w:cs="Times New Roman" w:eastAsia="Times New Roman" w:hAnsi="Times New Roman"/>
          <w:sz w:val="22"/>
          <w:szCs w:val="22"/>
          <w:u w:val="single" w:color="auto"/>
          <w:color w:val="auto"/>
        </w:rPr>
        <w:t>Section 18.12</w:t>
      </w:r>
      <w:r>
        <w:rPr>
          <w:rFonts w:ascii="Times New Roman" w:cs="Times New Roman" w:eastAsia="Times New Roman" w:hAnsi="Times New Roman"/>
          <w:sz w:val="22"/>
          <w:szCs w:val="22"/>
          <w:color w:val="auto"/>
        </w:rPr>
        <w:t xml:space="preserve"> have been initiated and for so long as they are pending, and the Parties will cooperate in taking all actions reasonably necessary to achieve such a result. Further, with respect to any time periods that have run during the pendency of the Dispute, the applicable Party will have a reasonable period of time or any specific timeframe established by the tribunal’s decision to exercise any rights or perform any obligations affected by the running of such time periods.</w:t>
      </w:r>
    </w:p>
    <w:p>
      <w:pPr>
        <w:spacing w:after="0" w:line="176" w:lineRule="exact"/>
        <w:rPr>
          <w:sz w:val="20"/>
          <w:szCs w:val="20"/>
          <w:color w:val="auto"/>
        </w:rPr>
      </w:pPr>
    </w:p>
    <w:p>
      <w:pPr>
        <w:jc w:val="both"/>
        <w:ind w:left="40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18.12.5 </w:t>
      </w:r>
      <w:r>
        <w:rPr>
          <w:rFonts w:ascii="Times New Roman" w:cs="Times New Roman" w:eastAsia="Times New Roman" w:hAnsi="Times New Roman"/>
          <w:sz w:val="21"/>
          <w:szCs w:val="21"/>
          <w:b w:val="1"/>
          <w:bCs w:val="1"/>
          <w:u w:val="single" w:color="auto"/>
          <w:color w:val="auto"/>
        </w:rPr>
        <w:t>Certain IP Disputes</w:t>
      </w:r>
      <w:r>
        <w:rPr>
          <w:rFonts w:ascii="Times New Roman" w:cs="Times New Roman" w:eastAsia="Times New Roman" w:hAnsi="Times New Roman"/>
          <w:sz w:val="21"/>
          <w:szCs w:val="21"/>
          <w:color w:val="auto"/>
        </w:rPr>
        <w:t xml:space="preserve">. In the event that a Dispute arises with respect to the validity, scope, enforceability, inventorship or ownership of any Patent, trademark or other intellectual property rights and such Dispute cannot be resolved in accordance with </w:t>
      </w:r>
      <w:r>
        <w:rPr>
          <w:rFonts w:ascii="Times New Roman" w:cs="Times New Roman" w:eastAsia="Times New Roman" w:hAnsi="Times New Roman"/>
          <w:sz w:val="21"/>
          <w:szCs w:val="21"/>
          <w:u w:val="single" w:color="auto"/>
          <w:color w:val="auto"/>
        </w:rPr>
        <w:t>Section 18.12.1</w:t>
      </w:r>
      <w:r>
        <w:rPr>
          <w:rFonts w:ascii="Times New Roman" w:cs="Times New Roman" w:eastAsia="Times New Roman" w:hAnsi="Times New Roman"/>
          <w:sz w:val="21"/>
          <w:szCs w:val="21"/>
          <w:color w:val="auto"/>
        </w:rPr>
        <w:t xml:space="preserve">, unless otherwise agreed by the Parties in writing, either Party may initiate litigation in a court of competent jurisdiction in the relevant jurisdiction, notwithstanding </w:t>
      </w:r>
      <w:r>
        <w:rPr>
          <w:rFonts w:ascii="Times New Roman" w:cs="Times New Roman" w:eastAsia="Times New Roman" w:hAnsi="Times New Roman"/>
          <w:sz w:val="21"/>
          <w:szCs w:val="21"/>
          <w:u w:val="single" w:color="auto"/>
          <w:color w:val="auto"/>
        </w:rPr>
        <w:t>Sections 18.10</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18.11</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jc w:val="both"/>
        <w:ind w:left="400" w:firstLine="1497"/>
        <w:spacing w:after="0" w:line="248" w:lineRule="auto"/>
        <w:rPr>
          <w:sz w:val="20"/>
          <w:szCs w:val="20"/>
          <w:color w:val="auto"/>
        </w:rPr>
      </w:pPr>
      <w:r>
        <w:rPr>
          <w:rFonts w:ascii="Times New Roman" w:cs="Times New Roman" w:eastAsia="Times New Roman" w:hAnsi="Times New Roman"/>
          <w:sz w:val="21"/>
          <w:szCs w:val="21"/>
          <w:color w:val="auto"/>
        </w:rPr>
        <w:t xml:space="preserve">18.12.6 </w:t>
      </w:r>
      <w:r>
        <w:rPr>
          <w:rFonts w:ascii="Times New Roman" w:cs="Times New Roman" w:eastAsia="Times New Roman" w:hAnsi="Times New Roman"/>
          <w:sz w:val="21"/>
          <w:szCs w:val="21"/>
          <w:b w:val="1"/>
          <w:bCs w:val="1"/>
          <w:u w:val="single" w:color="auto"/>
          <w:color w:val="auto"/>
        </w:rPr>
        <w:t>Other Dispute Resolution Mechanisms</w:t>
      </w:r>
      <w:r>
        <w:rPr>
          <w:rFonts w:ascii="Times New Roman" w:cs="Times New Roman" w:eastAsia="Times New Roman" w:hAnsi="Times New Roman"/>
          <w:sz w:val="21"/>
          <w:szCs w:val="21"/>
          <w:color w:val="auto"/>
        </w:rPr>
        <w:t xml:space="preserve">. Notwithstanding anything to the contrary herein, this </w:t>
      </w:r>
      <w:r>
        <w:rPr>
          <w:rFonts w:ascii="Times New Roman" w:cs="Times New Roman" w:eastAsia="Times New Roman" w:hAnsi="Times New Roman"/>
          <w:sz w:val="21"/>
          <w:szCs w:val="21"/>
          <w:u w:val="single" w:color="auto"/>
          <w:color w:val="auto"/>
        </w:rPr>
        <w:t>Section 18.12</w:t>
      </w:r>
      <w:r>
        <w:rPr>
          <w:rFonts w:ascii="Times New Roman" w:cs="Times New Roman" w:eastAsia="Times New Roman" w:hAnsi="Times New Roman"/>
          <w:sz w:val="21"/>
          <w:szCs w:val="21"/>
          <w:color w:val="auto"/>
        </w:rPr>
        <w:t xml:space="preserve"> will not apply with respect to (a) disputes arising under </w:t>
      </w:r>
      <w:r>
        <w:rPr>
          <w:rFonts w:ascii="Times New Roman" w:cs="Times New Roman" w:eastAsia="Times New Roman" w:hAnsi="Times New Roman"/>
          <w:sz w:val="21"/>
          <w:szCs w:val="21"/>
          <w:u w:val="single" w:color="auto"/>
          <w:color w:val="auto"/>
        </w:rPr>
        <w:t>Section 9.9.2(b)(iii)</w:t>
      </w:r>
      <w:r>
        <w:rPr>
          <w:rFonts w:ascii="Times New Roman" w:cs="Times New Roman" w:eastAsia="Times New Roman" w:hAnsi="Times New Roman"/>
          <w:sz w:val="21"/>
          <w:szCs w:val="21"/>
          <w:color w:val="auto"/>
        </w:rPr>
        <w:t xml:space="preserve"> that are expressly subject to the R&amp;D Expert dispute resolution procedures set forth on </w:t>
      </w:r>
      <w:r>
        <w:rPr>
          <w:rFonts w:ascii="Times New Roman" w:cs="Times New Roman" w:eastAsia="Times New Roman" w:hAnsi="Times New Roman"/>
          <w:sz w:val="21"/>
          <w:szCs w:val="21"/>
          <w:u w:val="single" w:color="auto"/>
          <w:color w:val="auto"/>
        </w:rPr>
        <w:t>Schedule 9.9.2(b)(iii)</w:t>
      </w:r>
      <w:r>
        <w:rPr>
          <w:rFonts w:ascii="Times New Roman" w:cs="Times New Roman" w:eastAsia="Times New Roman" w:hAnsi="Times New Roman"/>
          <w:sz w:val="21"/>
          <w:szCs w:val="21"/>
          <w:color w:val="auto"/>
        </w:rPr>
        <w:t xml:space="preserve">, (b) disputes arising under </w:t>
      </w:r>
      <w:r>
        <w:rPr>
          <w:rFonts w:ascii="Times New Roman" w:cs="Times New Roman" w:eastAsia="Times New Roman" w:hAnsi="Times New Roman"/>
          <w:sz w:val="21"/>
          <w:szCs w:val="21"/>
          <w:u w:val="single" w:color="auto"/>
          <w:color w:val="auto"/>
        </w:rPr>
        <w:t>Section 9.9.2(b)(iv)</w:t>
      </w:r>
      <w:r>
        <w:rPr>
          <w:rFonts w:ascii="Times New Roman" w:cs="Times New Roman" w:eastAsia="Times New Roman" w:hAnsi="Times New Roman"/>
          <w:sz w:val="21"/>
          <w:szCs w:val="21"/>
          <w:color w:val="auto"/>
        </w:rPr>
        <w:t xml:space="preserve"> that are expressly subject to the arbitration set forth on </w:t>
      </w:r>
      <w:r>
        <w:rPr>
          <w:rFonts w:ascii="Times New Roman" w:cs="Times New Roman" w:eastAsia="Times New Roman" w:hAnsi="Times New Roman"/>
          <w:sz w:val="21"/>
          <w:szCs w:val="21"/>
          <w:u w:val="single" w:color="auto"/>
          <w:color w:val="auto"/>
        </w:rPr>
        <w:t>Schedule 9.9.2(b)(iv)</w:t>
      </w:r>
      <w:r>
        <w:rPr>
          <w:rFonts w:ascii="Times New Roman" w:cs="Times New Roman" w:eastAsia="Times New Roman" w:hAnsi="Times New Roman"/>
          <w:sz w:val="21"/>
          <w:szCs w:val="21"/>
          <w:color w:val="auto"/>
        </w:rPr>
        <w:t xml:space="preserve">, and (c) disputes arising under </w:t>
      </w:r>
      <w:r>
        <w:rPr>
          <w:rFonts w:ascii="Times New Roman" w:cs="Times New Roman" w:eastAsia="Times New Roman" w:hAnsi="Times New Roman"/>
          <w:sz w:val="21"/>
          <w:szCs w:val="21"/>
          <w:u w:val="single" w:color="auto"/>
          <w:color w:val="auto"/>
        </w:rPr>
        <w:t>Section 9.9.2(b)</w:t>
      </w:r>
    </w:p>
    <w:p>
      <w:pPr>
        <w:spacing w:after="0" w:line="2" w:lineRule="exact"/>
        <w:rPr>
          <w:sz w:val="20"/>
          <w:szCs w:val="20"/>
          <w:color w:val="auto"/>
        </w:rPr>
      </w:pPr>
    </w:p>
    <w:p>
      <w:pPr>
        <w:ind w:left="700" w:hanging="303"/>
        <w:spacing w:after="0"/>
        <w:tabs>
          <w:tab w:leader="none" w:pos="700" w:val="left"/>
        </w:tabs>
        <w:numPr>
          <w:ilvl w:val="0"/>
          <w:numId w:val="18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that are expressly subject to the “baseball” arbitration set forth on </w:t>
      </w:r>
      <w:r>
        <w:rPr>
          <w:rFonts w:ascii="Times New Roman" w:cs="Times New Roman" w:eastAsia="Times New Roman" w:hAnsi="Times New Roman"/>
          <w:sz w:val="22"/>
          <w:szCs w:val="22"/>
          <w:u w:val="single" w:color="auto"/>
          <w:color w:val="auto"/>
        </w:rPr>
        <w:t>Schedule 9.9.2(b)(v)</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18.13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17.2</w:t>
      </w:r>
      <w:r>
        <w:rPr>
          <w:rFonts w:ascii="Times New Roman" w:cs="Times New Roman" w:eastAsia="Times New Roman" w:hAnsi="Times New Roman"/>
          <w:sz w:val="22"/>
          <w:szCs w:val="22"/>
          <w:color w:val="auto"/>
        </w:rPr>
        <w:t>, as of the Closing, this Agreement (together with all schedules and exhibits attached hereto) constitutes and contains the complete, final and exclusive understanding and agreement of the Parties and cancels and supersedes all prior negotiations, correspondence, understandings and agreements, whether oral 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315" w:name="page316"/>
    <w:bookmarkEnd w:id="315"/>
    <w:p>
      <w:pPr>
        <w:ind w:left="952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between the Parties respecting the subject matter hereof, including the Original Agreement and the CDA (which, with respect to the CDA, was superseded and replaced in its entirety as of the Original Agreement Effective Date).</w:t>
      </w:r>
    </w:p>
    <w:p>
      <w:pPr>
        <w:spacing w:after="0" w:line="15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18.14 </w:t>
      </w:r>
      <w:r>
        <w:rPr>
          <w:rFonts w:ascii="Times New Roman" w:cs="Times New Roman" w:eastAsia="Times New Roman" w:hAnsi="Times New Roman"/>
          <w:sz w:val="22"/>
          <w:szCs w:val="22"/>
          <w:b w:val="1"/>
          <w:bCs w:val="1"/>
          <w:u w:val="single" w:color="auto"/>
          <w:color w:val="auto"/>
        </w:rPr>
        <w:t>Independent Contractors</w:t>
      </w:r>
      <w:r>
        <w:rPr>
          <w:rFonts w:ascii="Times New Roman" w:cs="Times New Roman" w:eastAsia="Times New Roman" w:hAnsi="Times New Roman"/>
          <w:sz w:val="22"/>
          <w:szCs w:val="22"/>
          <w:color w:val="auto"/>
        </w:rPr>
        <w:t>. Both Parties are independent contractors under this Agreement. Nothing contained herein will be deemed to create an employment, agency, joint venture or partnership relationship between the Parties or any of their agents or employees, including for U.S. federal income and other applicable tax purposes,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spacing w:after="0" w:line="17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18.15 </w:t>
      </w:r>
      <w:r>
        <w:rPr>
          <w:rFonts w:ascii="Times New Roman" w:cs="Times New Roman" w:eastAsia="Times New Roman" w:hAnsi="Times New Roman"/>
          <w:sz w:val="21"/>
          <w:szCs w:val="21"/>
          <w:b w:val="1"/>
          <w:bCs w:val="1"/>
          <w:u w:val="single" w:color="auto"/>
          <w:color w:val="auto"/>
        </w:rPr>
        <w:t>Interpretation</w:t>
      </w:r>
      <w:r>
        <w:rPr>
          <w:rFonts w:ascii="Times New Roman" w:cs="Times New Roman" w:eastAsia="Times New Roman" w:hAnsi="Times New Roman"/>
          <w:sz w:val="21"/>
          <w:szCs w:val="21"/>
          <w:color w:val="auto"/>
        </w:rPr>
        <w:t>. 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its entirety and not to any particular provision hereof, (g) all references herein to Articles, Sections or Schedules will be construed to refer to Articles, Sections or Schedules of this Agreement, and references to this Agreement include all Schedules hereto, (h) except as otherwise expressly set forth herein,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(i) references to any specific law, rule or regulation, or article, section or other division thereof, will be deemed to include the then-current amendments thereto or any replacement or successor law, rule or regulation thereof, (j) any action or occurrence deemed to be effective as of a particular date will be deemed to be effective as of 11:59 PM ET on such date and (k) the term “or” will be interpreted in the inclusive sense commonly associated with the term “or” (and/or). Unless otherwise specified, deadlines within which any payment is to be made or act is to be done within or following a specified time period after a date will be calculated by excluding the day, Business Day, month or year of such date, as applicable, and including the day, Business Day, month or year of the date on which the period ends. Whenever any payment is to be made or action to be taken under this Agreement is required to be made or taken on a day other than a Business Day, such payment will be made or action taken on the next Business Day following such day to make such payment or do such act. The preamble to this Agreement and the descriptive headings of Articles and Sections are inserted solely for convenience of reference and are not intended as complete or accurate descriptions of the content of this Agreement or of such Articles or Sections.</w:t>
      </w: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18.16 </w:t>
      </w:r>
      <w:r>
        <w:rPr>
          <w:rFonts w:ascii="Times New Roman" w:cs="Times New Roman" w:eastAsia="Times New Roman" w:hAnsi="Times New Roman"/>
          <w:sz w:val="22"/>
          <w:szCs w:val="22"/>
          <w:b w:val="1"/>
          <w:bCs w:val="1"/>
          <w:u w:val="single" w:color="auto"/>
          <w:color w:val="auto"/>
        </w:rPr>
        <w:t>No Third Party Rights or Obligations</w:t>
      </w:r>
      <w:r>
        <w:rPr>
          <w:rFonts w:ascii="Times New Roman" w:cs="Times New Roman" w:eastAsia="Times New Roman" w:hAnsi="Times New Roman"/>
          <w:sz w:val="22"/>
          <w:szCs w:val="22"/>
          <w:color w:val="auto"/>
        </w:rPr>
        <w:t>. No provision of this Agreement will be deemed or construed in any way to result in the creation of any rights or obligations in any Person not a Party to this Agreement.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18.17 </w:t>
      </w:r>
      <w:r>
        <w:rPr>
          <w:rFonts w:ascii="Times New Roman" w:cs="Times New Roman" w:eastAsia="Times New Roman" w:hAnsi="Times New Roman"/>
          <w:sz w:val="22"/>
          <w:szCs w:val="22"/>
          <w:b w:val="1"/>
          <w:bCs w:val="1"/>
          <w:u w:val="single" w:color="auto"/>
          <w:color w:val="auto"/>
        </w:rPr>
        <w:t>Further Actions</w:t>
      </w:r>
      <w:r>
        <w:rPr>
          <w:rFonts w:ascii="Times New Roman" w:cs="Times New Roman" w:eastAsia="Times New Roman" w:hAnsi="Times New Roman"/>
          <w:sz w:val="22"/>
          <w:szCs w:val="22"/>
          <w:color w:val="auto"/>
        </w:rPr>
        <w:t>. Each Party agrees to execute, acknowledge and deliver such further instruments, and to do all such other acts, as may be necessary or appropriate in order to carry out the purposes and intent of this Agreement.</w:t>
      </w:r>
    </w:p>
    <w:p>
      <w:pPr>
        <w:spacing w:after="0" w:line="150"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18.18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two (2) counterparts, each of which will be an original and both of which will constitute together the same document. Counterparts may be signed and delivered by digital transmission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.pdf), each of which will be binding when received by the applicable Party.</w:t>
      </w:r>
    </w:p>
    <w:p>
      <w:pPr>
        <w:spacing w:after="0" w:line="1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478155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54" w:right="339" w:bottom="1440" w:gutter="0" w:footer="0" w:header="0"/>
        </w:sectPr>
      </w:pPr>
    </w:p>
    <w:bookmarkStart w:id="317" w:name="page318"/>
    <w:bookmarkEnd w:id="317"/>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Agreement to be executed by their representatives thereunto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as of the Restatement Execution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GENZYME CORPORATION</w:t>
            </w:r>
          </w:p>
        </w:tc>
        <w:tc>
          <w:tcPr>
            <w:tcW w:w="6680" w:type="dxa"/>
            <w:vAlign w:val="bottom"/>
          </w:tcPr>
          <w:p>
            <w:pPr>
              <w:ind w:left="1600"/>
              <w:spacing w:after="0"/>
              <w:rPr>
                <w:sz w:val="20"/>
                <w:szCs w:val="20"/>
                <w:color w:val="auto"/>
              </w:rPr>
            </w:pPr>
            <w:r>
              <w:rPr>
                <w:rFonts w:ascii="Times New Roman" w:cs="Times New Roman" w:eastAsia="Times New Roman" w:hAnsi="Times New Roman"/>
                <w:sz w:val="22"/>
                <w:szCs w:val="22"/>
                <w:b w:val="1"/>
                <w:bCs w:val="1"/>
                <w:color w:val="auto"/>
              </w:rPr>
              <w:t>KYMERA THERAPEUTICS, INC.</w:t>
            </w:r>
          </w:p>
        </w:tc>
      </w:tr>
      <w:tr>
        <w:trPr>
          <w:trHeight w:val="433"/>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By:_ ______________________</w:t>
            </w:r>
          </w:p>
        </w:tc>
        <w:tc>
          <w:tcPr>
            <w:tcW w:w="668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By: ___________________________</w:t>
            </w:r>
          </w:p>
        </w:tc>
      </w:tr>
      <w:tr>
        <w:trPr>
          <w:trHeight w:val="20"/>
        </w:trPr>
        <w:tc>
          <w:tcPr>
            <w:tcW w:w="54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518"/>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Name:</w:t>
            </w:r>
          </w:p>
        </w:tc>
        <w:tc>
          <w:tcPr>
            <w:tcW w:w="668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Name:</w:t>
            </w:r>
          </w:p>
        </w:tc>
      </w:tr>
      <w:tr>
        <w:trPr>
          <w:trHeight w:val="459"/>
        </w:trPr>
        <w:tc>
          <w:tcPr>
            <w:tcW w:w="45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Title:</w:t>
            </w:r>
          </w:p>
        </w:tc>
        <w:tc>
          <w:tcPr>
            <w:tcW w:w="668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Title:</w:t>
            </w:r>
          </w:p>
        </w:tc>
      </w:tr>
      <w:tr>
        <w:trPr>
          <w:trHeight w:val="2654"/>
        </w:trPr>
        <w:tc>
          <w:tcPr>
            <w:tcW w:w="5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-2331085</wp:posOffset>
            </wp:positionV>
            <wp:extent cx="342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Development Cost Sharing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Co-Promotion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 of Cost/Profit Sharing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21" w:name="page322"/>
    <w:bookmarkEnd w:id="321"/>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CONFIDENTIAL</w:t>
      </w:r>
    </w:p>
    <w:p>
      <w:pPr>
        <w:spacing w:after="0" w:line="200" w:lineRule="exact"/>
        <w:rPr>
          <w:sz w:val="20"/>
          <w:szCs w:val="20"/>
          <w:color w:val="auto"/>
        </w:rPr>
      </w:pPr>
    </w:p>
    <w:p>
      <w:pPr>
        <w:spacing w:after="0" w:line="20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Kymera Press Release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Sanofi’s Form of Phase 2 Election Notice</w:t>
      </w:r>
    </w:p>
    <w:p>
      <w:pPr>
        <w:spacing w:after="0" w:line="18"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21"/>
          <w:szCs w:val="21"/>
          <w:color w:val="auto"/>
        </w:rPr>
        <w:t>Date: [______]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Kymera Therapeutics,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Chief Executive Officer</w:t>
      </w:r>
    </w:p>
    <w:p>
      <w:pPr>
        <w:spacing w:after="0" w:line="230" w:lineRule="auto"/>
        <w:rPr>
          <w:sz w:val="20"/>
          <w:szCs w:val="20"/>
          <w:color w:val="auto"/>
        </w:rPr>
      </w:pPr>
      <w:r>
        <w:rPr>
          <w:rFonts w:ascii="Times New Roman" w:cs="Times New Roman" w:eastAsia="Times New Roman" w:hAnsi="Times New Roman"/>
          <w:sz w:val="22"/>
          <w:szCs w:val="22"/>
          <w:color w:val="auto"/>
        </w:rPr>
        <w:t>200 Arsenal Yards Blvd</w:t>
      </w:r>
    </w:p>
    <w:p>
      <w:pPr>
        <w:spacing w:after="0" w:line="231" w:lineRule="auto"/>
        <w:rPr>
          <w:sz w:val="20"/>
          <w:szCs w:val="20"/>
          <w:color w:val="auto"/>
        </w:rPr>
      </w:pPr>
      <w:r>
        <w:rPr>
          <w:rFonts w:ascii="Times New Roman" w:cs="Times New Roman" w:eastAsia="Times New Roman" w:hAnsi="Times New Roman"/>
          <w:sz w:val="22"/>
          <w:szCs w:val="22"/>
          <w:color w:val="auto"/>
        </w:rPr>
        <w:t>Watertown, MA 02472</w:t>
      </w:r>
    </w:p>
    <w:p>
      <w:pPr>
        <w:spacing w:after="0" w:line="230" w:lineRule="auto"/>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31" w:lineRule="auto"/>
        <w:rPr>
          <w:sz w:val="20"/>
          <w:szCs w:val="20"/>
          <w:color w:val="auto"/>
        </w:rPr>
      </w:pPr>
      <w:r>
        <w:rPr>
          <w:rFonts w:ascii="Times New Roman" w:cs="Times New Roman" w:eastAsia="Times New Roman" w:hAnsi="Times New Roman"/>
          <w:sz w:val="22"/>
          <w:szCs w:val="22"/>
          <w:color w:val="auto"/>
        </w:rPr>
        <w:t>Goodwin Procter LLP</w:t>
      </w:r>
    </w:p>
    <w:p>
      <w:pPr>
        <w:spacing w:after="0" w:line="230" w:lineRule="auto"/>
        <w:rPr>
          <w:sz w:val="20"/>
          <w:szCs w:val="20"/>
          <w:color w:val="auto"/>
        </w:rPr>
      </w:pPr>
      <w:r>
        <w:rPr>
          <w:rFonts w:ascii="Times New Roman" w:cs="Times New Roman" w:eastAsia="Times New Roman" w:hAnsi="Times New Roman"/>
          <w:sz w:val="22"/>
          <w:szCs w:val="22"/>
          <w:color w:val="auto"/>
        </w:rPr>
        <w:t>Attn: Sarah Solomon</w:t>
      </w:r>
    </w:p>
    <w:p>
      <w:pPr>
        <w:spacing w:after="0" w:line="231" w:lineRule="auto"/>
        <w:rPr>
          <w:sz w:val="20"/>
          <w:szCs w:val="20"/>
          <w:color w:val="auto"/>
        </w:rPr>
      </w:pPr>
      <w:r>
        <w:rPr>
          <w:rFonts w:ascii="Times New Roman" w:cs="Times New Roman" w:eastAsia="Times New Roman" w:hAnsi="Times New Roman"/>
          <w:sz w:val="22"/>
          <w:szCs w:val="22"/>
          <w:color w:val="auto"/>
        </w:rPr>
        <w:t>100 Northern Avenue</w:t>
      </w:r>
    </w:p>
    <w:p>
      <w:pPr>
        <w:spacing w:after="0"/>
        <w:rPr>
          <w:sz w:val="20"/>
          <w:szCs w:val="20"/>
          <w:color w:val="auto"/>
        </w:rPr>
      </w:pPr>
      <w:r>
        <w:rPr>
          <w:rFonts w:ascii="Times New Roman" w:cs="Times New Roman" w:eastAsia="Times New Roman" w:hAnsi="Times New Roman"/>
          <w:sz w:val="22"/>
          <w:szCs w:val="22"/>
          <w:color w:val="auto"/>
        </w:rPr>
        <w:t>Boston, MA 02210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[Email]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Sanofi Phase 2 Election Notice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Ladies and Gentleman,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Genzyme Corporation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t>
      </w:r>
    </w:p>
    <w:p>
      <w:pPr>
        <w:spacing w:after="0"/>
        <w:rPr>
          <w:sz w:val="20"/>
          <w:szCs w:val="20"/>
          <w:color w:val="auto"/>
        </w:rPr>
      </w:pPr>
      <w:r>
        <w:rPr>
          <w:rFonts w:ascii="Times New Roman" w:cs="Times New Roman" w:eastAsia="Times New Roman" w:hAnsi="Times New Roman"/>
          <w:sz w:val="22"/>
          <w:szCs w:val="22"/>
          <w:color w:val="auto"/>
        </w:rPr>
        <w:t>Title: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22" w:name="page323"/>
    <w:bookmarkEnd w:id="322"/>
    <w:p>
      <w:pPr>
        <w:jc w:val="center"/>
        <w:ind w:right="20"/>
        <w:spacing w:after="0" w:line="259" w:lineRule="auto"/>
        <w:rPr>
          <w:sz w:val="20"/>
          <w:szCs w:val="20"/>
          <w:color w:val="auto"/>
        </w:rPr>
      </w:pPr>
      <w:r>
        <w:rPr>
          <w:rFonts w:ascii="Times New Roman" w:cs="Times New Roman" w:eastAsia="Times New Roman" w:hAnsi="Times New Roman"/>
          <w:sz w:val="18"/>
          <w:szCs w:val="18"/>
          <w:color w:val="auto"/>
        </w:rPr>
        <w:t>CERTAIN IDENTIFIED INFORMATION, MARKED BY “[***]”, HAS BEEN EXCLUDED FROM THIS EXHIBIT BECAUSE IT IS BOTH NOT MATERIAL AND IS THE TYPE THAT THE REGISTRANT TREATS AS PRIVATE OR CONFIDENTIAL.</w:t>
      </w:r>
    </w:p>
    <w:p>
      <w:pPr>
        <w:jc w:val="right"/>
        <w:spacing w:after="0" w:line="230" w:lineRule="auto"/>
        <w:rPr>
          <w:sz w:val="20"/>
          <w:szCs w:val="20"/>
          <w:color w:val="auto"/>
        </w:rPr>
      </w:pPr>
      <w:r>
        <w:rPr>
          <w:rFonts w:ascii="Times New Roman" w:cs="Times New Roman" w:eastAsia="Times New Roman" w:hAnsi="Times New Roman"/>
          <w:sz w:val="22"/>
          <w:szCs w:val="22"/>
          <w:color w:val="auto"/>
        </w:rPr>
        <w:t>CONFIDENTIAL</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MASTER COLLABORATION AGREEMENT</w:t>
      </w:r>
    </w:p>
    <w:p>
      <w:pPr>
        <w:spacing w:after="0" w:line="22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econd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aster</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ollaboration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Second Amendment</w:t>
      </w:r>
      <w:r>
        <w:rPr>
          <w:rFonts w:ascii="Times New Roman" w:cs="Times New Roman" w:eastAsia="Times New Roman" w:hAnsi="Times New Roman"/>
          <w:sz w:val="22"/>
          <w:szCs w:val="22"/>
          <w:color w:val="auto"/>
        </w:rPr>
        <w:t>”) is made and entered into as of October 21, 2021 (the “</w:t>
      </w:r>
      <w:r>
        <w:rPr>
          <w:rFonts w:ascii="Times New Roman" w:cs="Times New Roman" w:eastAsia="Times New Roman" w:hAnsi="Times New Roman"/>
          <w:sz w:val="22"/>
          <w:szCs w:val="22"/>
          <w:b w:val="1"/>
          <w:bCs w:val="1"/>
          <w:color w:val="auto"/>
        </w:rPr>
        <w:t>Second Amendment Effective Date</w:t>
      </w:r>
      <w:r>
        <w:rPr>
          <w:rFonts w:ascii="Times New Roman" w:cs="Times New Roman" w:eastAsia="Times New Roman" w:hAnsi="Times New Roman"/>
          <w:sz w:val="22"/>
          <w:szCs w:val="22"/>
          <w:color w:val="auto"/>
        </w:rPr>
        <w:t xml:space="preserve">”), by and between and </w:t>
      </w:r>
      <w:r>
        <w:rPr>
          <w:rFonts w:ascii="Times New Roman" w:cs="Times New Roman" w:eastAsia="Times New Roman" w:hAnsi="Times New Roman"/>
          <w:sz w:val="22"/>
          <w:szCs w:val="22"/>
          <w:b w:val="1"/>
          <w:bCs w:val="1"/>
          <w:color w:val="auto"/>
        </w:rPr>
        <w:t>Vertex Pharmaceuticals Incorporated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Vertex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Kymera Therapeutics, Inc.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amends that certain Master Collaboration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May 9, 2019 by and between Vertex and Company, as amended by that certain First Amendment to Master Collaboration Agreement, dated as of August 27, 2020. All capitalized terms used, but not otherwise defined, in this Second Amendment shall have the meaning given to them in the Agreement.</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pursuant to Section 13.6 of the Agreement, the Parties wish to amend the Agreement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set forth herein.</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consideration of the foregoing premises and the mutual covenants set forth below, and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and valuable consideration, the receipt of which is hereby acknowledged, Vertex and Company hereby agree as follows:</w:t>
      </w:r>
    </w:p>
    <w:p>
      <w:pPr>
        <w:spacing w:after="0" w:line="177" w:lineRule="exact"/>
        <w:rPr>
          <w:sz w:val="20"/>
          <w:szCs w:val="20"/>
          <w:color w:val="auto"/>
        </w:rPr>
      </w:pPr>
    </w:p>
    <w:p>
      <w:pPr>
        <w:ind w:left="520" w:hanging="512"/>
        <w:spacing w:after="0"/>
        <w:tabs>
          <w:tab w:leader="none" w:pos="520" w:val="left"/>
        </w:tabs>
        <w:numPr>
          <w:ilvl w:val="0"/>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18" w:val="left"/>
        </w:tabs>
        <w:numPr>
          <w:ilvl w:val="1"/>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Pursuant to Section 2.3.1 of the Agreement, the Parties agree to substitute the Reserved Target, [***], for the Collaboration Target, [***], as a Collaboration Target. As of the Second Amendment Effective Date, (a) [***] shall be a Collaboration Target and cease to be a Reserved Target, and (b) [***] shall be a Terminated Target and cease to be a Collaboration Target. As such, Schedule 1.35 and Schedule 1.178 shall be deleted and replaced in their entirety with such schedules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new Section 2.11 is hereby added following Section 2.10 as follows:</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u w:val="single" w:color="auto"/>
          <w:color w:val="auto"/>
        </w:rPr>
        <w:t>Early Research for [***]</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80" w:firstLine="1497"/>
        <w:spacing w:after="0" w:line="247" w:lineRule="auto"/>
        <w:rPr>
          <w:sz w:val="20"/>
          <w:szCs w:val="20"/>
          <w:color w:val="auto"/>
        </w:rPr>
      </w:pPr>
      <w:r>
        <w:rPr>
          <w:rFonts w:ascii="Times New Roman" w:cs="Times New Roman" w:eastAsia="Times New Roman" w:hAnsi="Times New Roman"/>
          <w:sz w:val="21"/>
          <w:szCs w:val="21"/>
          <w:color w:val="auto"/>
        </w:rPr>
        <w:t xml:space="preserve">2.11.1. </w:t>
      </w:r>
      <w:r>
        <w:rPr>
          <w:rFonts w:ascii="Times New Roman" w:cs="Times New Roman" w:eastAsia="Times New Roman" w:hAnsi="Times New Roman"/>
          <w:sz w:val="21"/>
          <w:szCs w:val="21"/>
          <w:b w:val="1"/>
          <w:bCs w:val="1"/>
          <w:u w:val="single" w:color="auto"/>
          <w:color w:val="auto"/>
        </w:rPr>
        <w:t>[***] Initial Research</w:t>
      </w:r>
      <w:r>
        <w:rPr>
          <w:rFonts w:ascii="Times New Roman" w:cs="Times New Roman" w:eastAsia="Times New Roman" w:hAnsi="Times New Roman"/>
          <w:sz w:val="21"/>
          <w:szCs w:val="21"/>
          <w:color w:val="auto"/>
        </w:rPr>
        <w:t xml:space="preserve">. Notwithstanding anything to the contrary in this Agreement, the initial purpose of the Collaboration Program for the Collaboration Target, [***], shall be the generation of a Collaboration Compound directed against [***] that meets the criteria 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b w:val="1"/>
          <w:bCs w:val="1"/>
          <w:color w:val="auto"/>
        </w:rPr>
        <w:t>[***] Degrader</w:t>
      </w:r>
      <w:r>
        <w:rPr>
          <w:rFonts w:ascii="Times New Roman" w:cs="Times New Roman" w:eastAsia="Times New Roman" w:hAnsi="Times New Roman"/>
          <w:sz w:val="21"/>
          <w:szCs w:val="21"/>
          <w:color w:val="auto"/>
        </w:rPr>
        <w:t xml:space="preserve">”). Following the Second Amendment Effective Date, Company shall promptly prepare and provide to Vertex an initial Research Plan for [***];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notwithstanding the requirements of Research Plans as set forth in Section 2.3.1, such initial Research Plan for</w:t>
      </w:r>
    </w:p>
    <w:p>
      <w:pPr>
        <w:ind w:left="900" w:hanging="518"/>
        <w:spacing w:after="0"/>
        <w:tabs>
          <w:tab w:leader="none" w:pos="90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limited to a high-level description of the activities Company anticipates are reasonably necessary to generate a</w:t>
      </w:r>
    </w:p>
    <w:p>
      <w:pPr>
        <w:spacing w:after="0" w:line="1" w:lineRule="exact"/>
        <w:rPr>
          <w:rFonts w:ascii="Times New Roman" w:cs="Times New Roman" w:eastAsia="Times New Roman" w:hAnsi="Times New Roman"/>
          <w:sz w:val="21"/>
          <w:szCs w:val="21"/>
          <w:color w:val="auto"/>
        </w:rPr>
      </w:pPr>
    </w:p>
    <w:p>
      <w:pPr>
        <w:jc w:val="both"/>
        <w:ind w:left="380" w:firstLine="2"/>
        <w:spacing w:after="0" w:line="235" w:lineRule="auto"/>
        <w:tabs>
          <w:tab w:leader="none" w:pos="95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Degrader within [***] months of the Second Amendment Effective Date rather than the activities to identify a Candidate Drug (such Research Plan, the “</w:t>
      </w:r>
      <w:r>
        <w:rPr>
          <w:rFonts w:ascii="Times New Roman" w:cs="Times New Roman" w:eastAsia="Times New Roman" w:hAnsi="Times New Roman"/>
          <w:sz w:val="22"/>
          <w:szCs w:val="22"/>
          <w:b w:val="1"/>
          <w:bCs w:val="1"/>
          <w:color w:val="auto"/>
        </w:rPr>
        <w:t>[***] Early Research Plan</w:t>
      </w:r>
      <w:r>
        <w:rPr>
          <w:rFonts w:ascii="Times New Roman" w:cs="Times New Roman" w:eastAsia="Times New Roman" w:hAnsi="Times New Roman"/>
          <w:sz w:val="22"/>
          <w:szCs w:val="22"/>
          <w:color w:val="auto"/>
        </w:rPr>
        <w:t>”). Vertex shall provide one or more Vertex Components for use in the Collaboration Program for [***].</w:t>
      </w:r>
    </w:p>
    <w:p>
      <w:pPr>
        <w:spacing w:after="0" w:line="174" w:lineRule="exact"/>
        <w:rPr>
          <w:sz w:val="20"/>
          <w:szCs w:val="20"/>
          <w:color w:val="auto"/>
        </w:rPr>
      </w:pPr>
    </w:p>
    <w:p>
      <w:pPr>
        <w:ind w:left="380" w:firstLine="1497"/>
        <w:spacing w:after="0" w:line="262" w:lineRule="auto"/>
        <w:rPr>
          <w:sz w:val="20"/>
          <w:szCs w:val="20"/>
          <w:color w:val="auto"/>
        </w:rPr>
      </w:pPr>
      <w:r>
        <w:rPr>
          <w:rFonts w:ascii="Times New Roman" w:cs="Times New Roman" w:eastAsia="Times New Roman" w:hAnsi="Times New Roman"/>
          <w:sz w:val="22"/>
          <w:szCs w:val="22"/>
          <w:color w:val="auto"/>
        </w:rPr>
        <w:t xml:space="preserve">2.11.2 </w:t>
      </w:r>
      <w:r>
        <w:rPr>
          <w:rFonts w:ascii="Times New Roman" w:cs="Times New Roman" w:eastAsia="Times New Roman" w:hAnsi="Times New Roman"/>
          <w:sz w:val="22"/>
          <w:szCs w:val="22"/>
          <w:b w:val="1"/>
          <w:bCs w:val="1"/>
          <w:u w:val="single" w:color="auto"/>
          <w:color w:val="auto"/>
        </w:rPr>
        <w:t>Target Validation</w:t>
      </w:r>
      <w:r>
        <w:rPr>
          <w:rFonts w:ascii="Times New Roman" w:cs="Times New Roman" w:eastAsia="Times New Roman" w:hAnsi="Times New Roman"/>
          <w:sz w:val="22"/>
          <w:szCs w:val="22"/>
          <w:color w:val="auto"/>
        </w:rPr>
        <w:t>. If Company identifies a [***] Degrader in connection with the activities contemplated by the [***] Early Research Plan, it shall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provide notice to Vertex and provide any supporting data regarding such [***] Degrader reasonably requested by Vertex and in the possession and control of Company</w:t>
      </w:r>
      <w:r>
        <w:rPr>
          <w:rFonts w:ascii="Times New Roman" w:cs="Times New Roman" w:eastAsia="Times New Roman" w:hAnsi="Times New Roman"/>
          <w:sz w:val="22"/>
          <w:szCs w:val="22"/>
          <w:i w:val="1"/>
          <w:iCs w:val="1"/>
          <w:color w:val="auto"/>
        </w:rPr>
        <w:t>; provided that</w:t>
      </w:r>
      <w:r>
        <w:rPr>
          <w:rFonts w:ascii="Times New Roman" w:cs="Times New Roman" w:eastAsia="Times New Roman" w:hAnsi="Times New Roman"/>
          <w:sz w:val="22"/>
          <w:szCs w:val="22"/>
          <w:color w:val="auto"/>
        </w:rPr>
        <w:t xml:space="preserve"> Company shall in no event be required to conduct any new or additional Research or other activities to generate any such additional information or records. Thereafter, Vertex shall prepare and provide to Company a work plan for its conduct of a target validation experiment in [***] using such [***]Degrader and shall consider any comments from Company on such work plan in good faith (such experiment, the “</w:t>
      </w:r>
      <w:r>
        <w:rPr>
          <w:rFonts w:ascii="Times New Roman" w:cs="Times New Roman" w:eastAsia="Times New Roman" w:hAnsi="Times New Roman"/>
          <w:sz w:val="22"/>
          <w:szCs w:val="22"/>
          <w:b w:val="1"/>
          <w:bCs w:val="1"/>
          <w:color w:val="auto"/>
        </w:rPr>
        <w:t>Validation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Experiment</w:t>
      </w:r>
      <w:r>
        <w:rPr>
          <w:rFonts w:ascii="Times New Roman" w:cs="Times New Roman" w:eastAsia="Times New Roman" w:hAnsi="Times New Roman"/>
          <w:sz w:val="22"/>
          <w:szCs w:val="22"/>
          <w:color w:val="auto"/>
        </w:rPr>
        <w:t>” and such work plan, the “</w:t>
      </w:r>
      <w:r>
        <w:rPr>
          <w:rFonts w:ascii="Times New Roman" w:cs="Times New Roman" w:eastAsia="Times New Roman" w:hAnsi="Times New Roman"/>
          <w:sz w:val="22"/>
          <w:szCs w:val="22"/>
          <w:b w:val="1"/>
          <w:bCs w:val="1"/>
          <w:color w:val="auto"/>
        </w:rPr>
        <w:t>Validation Experiment Work Plan</w:t>
      </w:r>
      <w:r>
        <w:rPr>
          <w:rFonts w:ascii="Times New Roman" w:cs="Times New Roman" w:eastAsia="Times New Roman" w:hAnsi="Times New Roman"/>
          <w:sz w:val="22"/>
          <w:szCs w:val="22"/>
          <w:color w:val="auto"/>
        </w:rPr>
        <w:t>”). Vertex will use Commercially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Efforts to perform the Validation Experiment in accordance with the Validation Experiment Work Plan. Company shall provide Vertex with the [***] Degrader in such quantities as reasonably necessary for the Validation Experiment as set forth in the Validation Experiment Work Plan. Upon completion of the Validation Experiment, Vertex will provide a summary of the results to Company including an assessment of whether such results have achieved the success criteria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(such achievement, “</w:t>
      </w:r>
      <w:r>
        <w:rPr>
          <w:rFonts w:ascii="Times New Roman" w:cs="Times New Roman" w:eastAsia="Times New Roman" w:hAnsi="Times New Roman"/>
          <w:sz w:val="22"/>
          <w:szCs w:val="22"/>
          <w:b w:val="1"/>
          <w:bCs w:val="1"/>
          <w:color w:val="auto"/>
        </w:rPr>
        <w:t>Target Validation</w:t>
      </w:r>
      <w:r>
        <w:rPr>
          <w:rFonts w:ascii="Times New Roman" w:cs="Times New Roman" w:eastAsia="Times New Roman" w:hAnsi="Times New Roman"/>
          <w:sz w:val="22"/>
          <w:szCs w:val="22"/>
          <w:color w:val="auto"/>
        </w:rPr>
        <w:t>”). If Target Validation is achieved, (a) the purpose of the Collaboration Program for [***] shall be for the generation of Candidate Drug(s) directed against [***], (b) Company shall promptly prepare and provide to Vertex a Research Plan for [***] meeting the criteria set forth in Section 2.2.1, including, for clarity, a high-level description of the activities Company anticipates are reasonably necessary to identify a Candidate Drug directed against [***] during the Research Term and shall consider any comments from Vertex on such Research Plan in good faith and (c) Company shall promptly commence the Collaboration Program for [***] in accordance with the terms of the Agreement.</w:t>
      </w:r>
    </w:p>
    <w:p>
      <w:pPr>
        <w:spacing w:after="0" w:line="18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2.11.3 </w:t>
      </w:r>
      <w:r>
        <w:rPr>
          <w:rFonts w:ascii="Times New Roman" w:cs="Times New Roman" w:eastAsia="Times New Roman" w:hAnsi="Times New Roman"/>
          <w:sz w:val="22"/>
          <w:szCs w:val="22"/>
          <w:b w:val="1"/>
          <w:bCs w:val="1"/>
          <w:u w:val="single" w:color="auto"/>
          <w:color w:val="auto"/>
        </w:rPr>
        <w:t>Failure to Identify [***] Degrader or Achieve Target Validation</w:t>
      </w:r>
      <w:r>
        <w:rPr>
          <w:rFonts w:ascii="Times New Roman" w:cs="Times New Roman" w:eastAsia="Times New Roman" w:hAnsi="Times New Roman"/>
          <w:sz w:val="22"/>
          <w:szCs w:val="22"/>
          <w:color w:val="auto"/>
        </w:rPr>
        <w:t>. If (a) Company fails to identify a [***] Degrader within [***] months of the date hereof (or such later date as the Parties may mutually agree) or (b) Target Validation is not achieved by the results of the Validation Experiment, (i) Company shall cease all activities under the Collaboration Program for [***] and (ii) upon mutual agreement of the Parties, the Parties shall substitute a Reserved Target, or another mutually-agreed Target, for [***] as a Collaboration Target.</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2.11.4 </w:t>
      </w:r>
      <w:r>
        <w:rPr>
          <w:rFonts w:ascii="Times New Roman" w:cs="Times New Roman" w:eastAsia="Times New Roman" w:hAnsi="Times New Roman"/>
          <w:sz w:val="22"/>
          <w:szCs w:val="22"/>
          <w:b w:val="1"/>
          <w:bCs w:val="1"/>
          <w:u w:val="single" w:color="auto"/>
          <w:color w:val="auto"/>
        </w:rPr>
        <w:t>[***]-Related Activities and Payments</w:t>
      </w:r>
      <w:r>
        <w:rPr>
          <w:rFonts w:ascii="Times New Roman" w:cs="Times New Roman" w:eastAsia="Times New Roman" w:hAnsi="Times New Roman"/>
          <w:sz w:val="22"/>
          <w:szCs w:val="22"/>
          <w:color w:val="auto"/>
        </w:rPr>
        <w:t>. For the avoidance of doubt, all activities performed by the Parties under the [***] Early Research Plan and Validation Experiment Work Plan shall be deemed activities performed under this Agreement. In consideration for the activities to be performed by Company under the [***] Early Research Plan, Vertex will pay to Company the payments as set forth in Section 7.14 of this Agreement.</w:t>
      </w:r>
    </w:p>
    <w:p>
      <w:pPr>
        <w:spacing w:after="0" w:line="176" w:lineRule="exact"/>
        <w:rPr>
          <w:sz w:val="20"/>
          <w:szCs w:val="20"/>
          <w:color w:val="auto"/>
        </w:rPr>
      </w:pPr>
    </w:p>
    <w:p>
      <w:pPr>
        <w:ind w:left="640" w:hanging="263"/>
        <w:spacing w:after="0"/>
        <w:tabs>
          <w:tab w:leader="none" w:pos="640"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new Section 7.14 is hereby added following Section 7.13 as follows:</w:t>
      </w:r>
    </w:p>
    <w:p>
      <w:pPr>
        <w:spacing w:after="0" w:line="202" w:lineRule="exact"/>
        <w:rPr>
          <w:sz w:val="20"/>
          <w:szCs w:val="20"/>
          <w:color w:val="auto"/>
        </w:rPr>
      </w:pPr>
    </w:p>
    <w:p>
      <w:pPr>
        <w:jc w:val="both"/>
        <w:ind w:firstLine="1218"/>
        <w:spacing w:after="0" w:line="241" w:lineRule="auto"/>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b w:val="1"/>
          <w:bCs w:val="1"/>
          <w:u w:val="single" w:color="auto"/>
          <w:color w:val="auto"/>
        </w:rPr>
        <w:t>[***]-Related Payments</w:t>
      </w:r>
      <w:r>
        <w:rPr>
          <w:rFonts w:ascii="Times New Roman" w:cs="Times New Roman" w:eastAsia="Times New Roman" w:hAnsi="Times New Roman"/>
          <w:sz w:val="22"/>
          <w:szCs w:val="22"/>
          <w:color w:val="auto"/>
        </w:rPr>
        <w:t>. Notwithstanding anything to the contrary in the Agreement, (a) Development Milestone Number 1 ([***]) as set forth in Section 7.5.1 of this Agreement shall not be payable with respect to [***] and (b) in addition to the amounts that may become payable by Vertex to Company pursuant to Sections 7.4, 7.5 and 7.6 under this Agreement for the [***] Collaboration Program, Vertex will pay to Company the following:</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7.14.1 </w:t>
      </w:r>
      <w:r>
        <w:rPr>
          <w:rFonts w:ascii="Times New Roman" w:cs="Times New Roman" w:eastAsia="Times New Roman" w:hAnsi="Times New Roman"/>
          <w:sz w:val="22"/>
          <w:szCs w:val="22"/>
          <w:b w:val="1"/>
          <w:bCs w:val="1"/>
          <w:u w:val="single" w:color="auto"/>
          <w:color w:val="auto"/>
        </w:rPr>
        <w:t>Additional [***] Milestone Payments</w:t>
      </w:r>
      <w:r>
        <w:rPr>
          <w:rFonts w:ascii="Times New Roman" w:cs="Times New Roman" w:eastAsia="Times New Roman" w:hAnsi="Times New Roman"/>
          <w:sz w:val="22"/>
          <w:szCs w:val="22"/>
          <w:color w:val="auto"/>
        </w:rPr>
        <w:t>. In addition to the Development Milestones set forth in Section 7.5.1 of this Agreement (excluding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993775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5" w:right="3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36"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22"/>
          <w:szCs w:val="22"/>
          <w:color w:val="auto"/>
        </w:rPr>
        <w:t>Milestone Number 1), Vertex will pay to Company the following one-time milestone payments set forth in this Section 7.14.1 upon the achievement of the relevant milestone events with respect to the Collaboration Target, [***].</w:t>
      </w:r>
    </w:p>
    <w:p>
      <w:pPr>
        <w:spacing w:after="0" w:line="200" w:lineRule="exact"/>
        <w:rPr>
          <w:sz w:val="20"/>
          <w:szCs w:val="20"/>
          <w:color w:val="auto"/>
        </w:rPr>
      </w:pPr>
    </w:p>
    <w:p>
      <w:pPr>
        <w:spacing w:after="0" w:line="205" w:lineRule="exact"/>
        <w:rPr>
          <w:sz w:val="20"/>
          <w:szCs w:val="20"/>
          <w:color w:val="auto"/>
        </w:rPr>
      </w:pPr>
    </w:p>
    <w:tbl>
      <w:tblPr>
        <w:tblLayout w:type="fixed"/>
        <w:tblInd w:w="750" w:type="dxa"/>
        <w:tblCellMar>
          <w:top w:w="0" w:type="dxa"/>
          <w:left w:w="0" w:type="dxa"/>
          <w:bottom w:w="0" w:type="dxa"/>
          <w:right w:w="0" w:type="dxa"/>
        </w:tblCellMar>
      </w:tblPr>
      <w:tr>
        <w:trPr>
          <w:trHeight w:val="304"/>
        </w:trPr>
        <w:tc>
          <w:tcPr>
            <w:tcW w:w="8200" w:type="dxa"/>
            <w:vAlign w:val="bottom"/>
            <w:tcBorders>
              <w:top w:val="single" w:sz="8" w:color="auto"/>
              <w:left w:val="single" w:sz="8" w:color="auto"/>
              <w:bottom w:val="single" w:sz="8" w:color="auto"/>
              <w:right w:val="single" w:sz="8" w:color="auto"/>
            </w:tcBorders>
            <w:shd w:val="clear" w:color="auto" w:fill="BFBFBF"/>
          </w:tcPr>
          <w:p>
            <w:pPr>
              <w:jc w:val="right"/>
              <w:ind w:right="2984"/>
              <w:spacing w:after="0"/>
              <w:rPr>
                <w:sz w:val="20"/>
                <w:szCs w:val="20"/>
                <w:color w:val="auto"/>
              </w:rPr>
            </w:pPr>
            <w:r>
              <w:rPr>
                <w:rFonts w:ascii="Times New Roman" w:cs="Times New Roman" w:eastAsia="Times New Roman" w:hAnsi="Times New Roman"/>
                <w:sz w:val="22"/>
                <w:szCs w:val="22"/>
                <w:b w:val="1"/>
                <w:bCs w:val="1"/>
                <w:color w:val="auto"/>
              </w:rPr>
              <w:t>[***] Milestone Event</w:t>
            </w:r>
          </w:p>
        </w:tc>
        <w:tc>
          <w:tcPr>
            <w:tcW w:w="2140" w:type="dxa"/>
            <w:vAlign w:val="bottom"/>
            <w:tcBorders>
              <w:top w:val="single" w:sz="8" w:color="auto"/>
              <w:bottom w:val="single" w:sz="8" w:color="auto"/>
              <w:right w:val="single" w:sz="8" w:color="auto"/>
            </w:tcBorders>
            <w:shd w:val="clear" w:color="auto" w:fill="BFBFBF"/>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Milestone Payment</w:t>
            </w:r>
          </w:p>
        </w:tc>
      </w:tr>
      <w:tr>
        <w:trPr>
          <w:trHeight w:val="247"/>
        </w:trPr>
        <w:tc>
          <w:tcPr>
            <w:tcW w:w="8200" w:type="dxa"/>
            <w:vAlign w:val="bottom"/>
            <w:tcBorders>
              <w:bottom w:val="single" w:sz="8" w:color="auto"/>
              <w:right w:val="single" w:sz="8" w:color="auto"/>
            </w:tcBorders>
          </w:tcPr>
          <w:p>
            <w:pPr>
              <w:jc w:val="right"/>
              <w:ind w:right="7584"/>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right w:val="single" w:sz="8" w:color="auto"/>
            </w:tcBorders>
          </w:tcPr>
          <w:p>
            <w:pPr>
              <w:jc w:val="right"/>
              <w:ind w:right="1432"/>
              <w:spacing w:after="0" w:line="24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w:t>
            </w:r>
          </w:p>
        </w:tc>
      </w:tr>
      <w:tr>
        <w:trPr>
          <w:trHeight w:val="263"/>
        </w:trPr>
        <w:tc>
          <w:tcPr>
            <w:tcW w:w="8200" w:type="dxa"/>
            <w:vAlign w:val="bottom"/>
            <w:tcBorders>
              <w:bottom w:val="single" w:sz="8" w:color="auto"/>
              <w:right w:val="single" w:sz="8" w:color="auto"/>
            </w:tcBorders>
          </w:tcPr>
          <w:p>
            <w:pPr>
              <w:jc w:val="right"/>
              <w:ind w:right="7584"/>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right w:val="single" w:sz="8" w:color="auto"/>
            </w:tcBorders>
          </w:tcPr>
          <w:p>
            <w:pPr>
              <w:jc w:val="right"/>
              <w:ind w:right="143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w:t>
            </w:r>
          </w:p>
        </w:tc>
      </w:tr>
    </w:tbl>
    <w:p>
      <w:pPr>
        <w:spacing w:after="0" w:line="212" w:lineRule="exact"/>
        <w:rPr>
          <w:sz w:val="20"/>
          <w:szCs w:val="20"/>
          <w:color w:val="auto"/>
        </w:rPr>
      </w:pPr>
    </w:p>
    <w:p>
      <w:pPr>
        <w:jc w:val="both"/>
        <w:ind w:firstLine="8"/>
        <w:spacing w:after="0" w:line="238" w:lineRule="auto"/>
        <w:tabs>
          <w:tab w:leader="none" w:pos="509"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Except to the extent expressly amended hereby, the terms and provisions of the Agreement shall remain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force and effect. Sections 13.11 and 13.19 of the Agreement are hereby incorporated herein by reference. This Second Amendment, together with the Agreement as amended hereby, constitutes and contains the complete, final and exclusive understanding and agreement of the Parties and cancels and supersedes all prior negotiations, correspondence, understandings and agreements, whether oral or written, between the Parties respecting the subject matter 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3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by duly authorized persons executed this Second Amendment to Master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Agreement as of the Second Amendment Effective Date.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40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VERTEX PHARMACEUTICALS INCORPORATED</w:t>
            </w:r>
          </w:p>
        </w:tc>
        <w:tc>
          <w:tcPr>
            <w:tcW w:w="5840" w:type="dxa"/>
            <w:vAlign w:val="bottom"/>
            <w:gridSpan w:val="3"/>
          </w:tcPr>
          <w:p>
            <w:pPr>
              <w:ind w:left="320"/>
              <w:spacing w:after="0"/>
              <w:rPr>
                <w:sz w:val="20"/>
                <w:szCs w:val="20"/>
                <w:color w:val="auto"/>
              </w:rPr>
            </w:pPr>
            <w:r>
              <w:rPr>
                <w:rFonts w:ascii="Times New Roman" w:cs="Times New Roman" w:eastAsia="Times New Roman" w:hAnsi="Times New Roman"/>
                <w:sz w:val="22"/>
                <w:szCs w:val="22"/>
                <w:b w:val="1"/>
                <w:bCs w:val="1"/>
                <w:color w:val="auto"/>
              </w:rPr>
              <w:t>KYMERA THERAPEUTICS, INC.</w:t>
            </w:r>
          </w:p>
        </w:tc>
      </w:tr>
      <w:tr>
        <w:trPr>
          <w:trHeight w:val="866"/>
        </w:trPr>
        <w:tc>
          <w:tcPr>
            <w:tcW w:w="5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By:  /s/ Mark Bunnage</w:t>
            </w:r>
          </w:p>
        </w:tc>
        <w:tc>
          <w:tcPr>
            <w:tcW w:w="584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By:  /s/ Nello Mainolfi</w:t>
            </w:r>
          </w:p>
        </w:tc>
      </w:tr>
      <w:tr>
        <w:trPr>
          <w:trHeight w:val="20"/>
        </w:trPr>
        <w:tc>
          <w:tcPr>
            <w:tcW w:w="5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518"/>
        </w:trPr>
        <w:tc>
          <w:tcPr>
            <w:tcW w:w="5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Name: Mark Bunnage</w:t>
            </w:r>
          </w:p>
        </w:tc>
        <w:tc>
          <w:tcPr>
            <w:tcW w:w="584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Name: Nello Mainolfi</w:t>
            </w:r>
          </w:p>
        </w:tc>
      </w:tr>
      <w:tr>
        <w:trPr>
          <w:trHeight w:val="486"/>
        </w:trPr>
        <w:tc>
          <w:tcPr>
            <w:tcW w:w="5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Title: SVP Head of Research</w:t>
            </w:r>
          </w:p>
        </w:tc>
        <w:tc>
          <w:tcPr>
            <w:tcW w:w="584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Title: CEO</w:t>
            </w:r>
          </w:p>
        </w:tc>
      </w:tr>
      <w:tr>
        <w:trPr>
          <w:trHeight w:val="2358"/>
        </w:trPr>
        <w:tc>
          <w:tcPr>
            <w:tcW w:w="5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6" w:name="page327"/>
    <w:bookmarkEnd w:id="326"/>
    <w:p>
      <w:pPr>
        <w:jc w:val="center"/>
        <w:ind w:right="20"/>
        <w:spacing w:after="0" w:line="259" w:lineRule="auto"/>
        <w:rPr>
          <w:sz w:val="20"/>
          <w:szCs w:val="20"/>
          <w:color w:val="auto"/>
        </w:rPr>
      </w:pPr>
      <w:r>
        <w:rPr>
          <w:rFonts w:ascii="Times New Roman" w:cs="Times New Roman" w:eastAsia="Times New Roman" w:hAnsi="Times New Roman"/>
          <w:sz w:val="18"/>
          <w:szCs w:val="18"/>
          <w:color w:val="auto"/>
        </w:rPr>
        <w:t>CERTAIN IDENTIFIED INFORMATION, MARKED BY “[***]”, HAS BEEN EXCLUDED FROM THIS EXHIBIT BECAUSE IT IS BOTH NOT MATERIAL AND IS THE TYPE THAT THE REGISTRANT TREATS AS PRIVATE OR CONFIDENTIAL.</w:t>
      </w:r>
    </w:p>
    <w:p>
      <w:pPr>
        <w:jc w:val="right"/>
        <w:spacing w:after="0" w:line="230" w:lineRule="auto"/>
        <w:rPr>
          <w:sz w:val="20"/>
          <w:szCs w:val="20"/>
          <w:color w:val="auto"/>
        </w:rPr>
      </w:pPr>
      <w:r>
        <w:rPr>
          <w:rFonts w:ascii="Times New Roman" w:cs="Times New Roman" w:eastAsia="Times New Roman" w:hAnsi="Times New Roman"/>
          <w:sz w:val="22"/>
          <w:szCs w:val="22"/>
          <w:color w:val="auto"/>
        </w:rPr>
        <w:t>CONFIDENTIAL</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5160" w:type="dxa"/>
            <w:vAlign w:val="bottom"/>
            <w:gridSpan w:val="2"/>
          </w:tcPr>
          <w:p>
            <w:pPr>
              <w:spacing w:after="0"/>
              <w:rPr>
                <w:sz w:val="22"/>
                <w:szCs w:val="22"/>
                <w:color w:val="auto"/>
              </w:rPr>
            </w:pPr>
          </w:p>
        </w:tc>
      </w:tr>
      <w:tr>
        <w:trPr>
          <w:trHeight w:val="223"/>
        </w:trPr>
        <w:tc>
          <w:tcPr>
            <w:tcW w:w="3580" w:type="dxa"/>
            <w:vAlign w:val="bottom"/>
          </w:tcPr>
          <w:p>
            <w:pPr>
              <w:spacing w:after="0"/>
              <w:rPr>
                <w:sz w:val="19"/>
                <w:szCs w:val="19"/>
                <w:color w:val="auto"/>
              </w:rPr>
            </w:pPr>
          </w:p>
        </w:tc>
        <w:tc>
          <w:tcPr>
            <w:tcW w:w="250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9"/>
              </w:rPr>
              <w:t>Collaboration Targets and</w:t>
            </w:r>
          </w:p>
        </w:tc>
        <w:tc>
          <w:tcPr>
            <w:tcW w:w="516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Reserved Targets</w:t>
            </w:r>
          </w:p>
        </w:tc>
      </w:tr>
      <w:tr>
        <w:trPr>
          <w:trHeight w:val="475"/>
        </w:trPr>
        <w:tc>
          <w:tcPr>
            <w:tcW w:w="3580" w:type="dxa"/>
            <w:vAlign w:val="bottom"/>
          </w:tcPr>
          <w:p>
            <w:pPr>
              <w:spacing w:after="0"/>
              <w:rPr>
                <w:sz w:val="24"/>
                <w:szCs w:val="24"/>
                <w:color w:val="auto"/>
              </w:rPr>
            </w:pPr>
          </w:p>
        </w:tc>
        <w:tc>
          <w:tcPr>
            <w:tcW w:w="40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Schedule 1.35</w:t>
            </w:r>
          </w:p>
        </w:tc>
        <w:tc>
          <w:tcPr>
            <w:tcW w:w="3580" w:type="dxa"/>
            <w:vAlign w:val="bottom"/>
          </w:tcPr>
          <w:p>
            <w:pPr>
              <w:spacing w:after="0"/>
              <w:rPr>
                <w:sz w:val="24"/>
                <w:szCs w:val="24"/>
                <w:color w:val="auto"/>
              </w:rPr>
            </w:pPr>
          </w:p>
        </w:tc>
      </w:tr>
      <w:tr>
        <w:trPr>
          <w:trHeight w:val="286"/>
        </w:trPr>
        <w:tc>
          <w:tcPr>
            <w:tcW w:w="3580" w:type="dxa"/>
            <w:vAlign w:val="bottom"/>
          </w:tcPr>
          <w:p>
            <w:pPr>
              <w:spacing w:after="0"/>
              <w:rPr>
                <w:sz w:val="24"/>
                <w:szCs w:val="24"/>
                <w:color w:val="auto"/>
              </w:rPr>
            </w:pPr>
          </w:p>
        </w:tc>
        <w:tc>
          <w:tcPr>
            <w:tcW w:w="7660" w:type="dxa"/>
            <w:vAlign w:val="bottom"/>
            <w:gridSpan w:val="5"/>
          </w:tcPr>
          <w:p>
            <w:pPr>
              <w:jc w:val="center"/>
              <w:ind w:right="3560"/>
              <w:spacing w:after="0"/>
              <w:rPr>
                <w:sz w:val="20"/>
                <w:szCs w:val="20"/>
                <w:color w:val="auto"/>
              </w:rPr>
            </w:pPr>
            <w:r>
              <w:rPr>
                <w:rFonts w:ascii="Times New Roman" w:cs="Times New Roman" w:eastAsia="Times New Roman" w:hAnsi="Times New Roman"/>
                <w:sz w:val="22"/>
                <w:szCs w:val="22"/>
                <w:b w:val="1"/>
                <w:bCs w:val="1"/>
                <w:color w:val="auto"/>
                <w:w w:val="96"/>
              </w:rPr>
              <w:t>Collaboration Targets</w:t>
            </w:r>
          </w:p>
        </w:tc>
      </w:tr>
      <w:tr>
        <w:trPr>
          <w:trHeight w:val="226"/>
        </w:trPr>
        <w:tc>
          <w:tcPr>
            <w:tcW w:w="35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r>
      <w:tr>
        <w:trPr>
          <w:trHeight w:val="263"/>
        </w:trPr>
        <w:tc>
          <w:tcPr>
            <w:tcW w:w="3580" w:type="dxa"/>
            <w:vAlign w:val="bottom"/>
            <w:tcBorders>
              <w:top w:val="single" w:sz="8" w:color="auto"/>
              <w:left w:val="single" w:sz="8" w:color="auto"/>
              <w:bottom w:val="single" w:sz="8" w:color="auto"/>
            </w:tcBorders>
            <w:shd w:val="clear" w:color="auto" w:fill="BFBFBF"/>
          </w:tcPr>
          <w:p>
            <w:pPr>
              <w:ind w:left="120"/>
              <w:spacing w:after="0" w:line="244" w:lineRule="exact"/>
              <w:rPr>
                <w:sz w:val="20"/>
                <w:szCs w:val="20"/>
                <w:color w:val="auto"/>
              </w:rPr>
            </w:pPr>
            <w:r>
              <w:rPr>
                <w:rFonts w:ascii="Times New Roman" w:cs="Times New Roman" w:eastAsia="Times New Roman" w:hAnsi="Times New Roman"/>
                <w:sz w:val="22"/>
                <w:szCs w:val="22"/>
                <w:b w:val="1"/>
                <w:bCs w:val="1"/>
                <w:color w:val="auto"/>
              </w:rPr>
              <w:t>Name</w:t>
            </w:r>
          </w:p>
        </w:tc>
        <w:tc>
          <w:tcPr>
            <w:tcW w:w="1600" w:type="dxa"/>
            <w:vAlign w:val="bottom"/>
            <w:tcBorders>
              <w:top w:val="single" w:sz="8" w:color="auto"/>
              <w:bottom w:val="single" w:sz="8" w:color="auto"/>
            </w:tcBorders>
            <w:shd w:val="clear" w:color="auto" w:fill="BFBFBF"/>
          </w:tcPr>
          <w:p>
            <w:pPr>
              <w:spacing w:after="0"/>
              <w:rPr>
                <w:sz w:val="22"/>
                <w:szCs w:val="22"/>
                <w:color w:val="auto"/>
              </w:rPr>
            </w:pPr>
          </w:p>
        </w:tc>
        <w:tc>
          <w:tcPr>
            <w:tcW w:w="480" w:type="dxa"/>
            <w:vAlign w:val="bottom"/>
            <w:tcBorders>
              <w:top w:val="single" w:sz="8" w:color="auto"/>
              <w:bottom w:val="single" w:sz="8" w:color="auto"/>
              <w:right w:val="single" w:sz="8" w:color="auto"/>
            </w:tcBorders>
            <w:shd w:val="clear" w:color="auto" w:fill="BFBFBF"/>
          </w:tcPr>
          <w:p>
            <w:pPr>
              <w:spacing w:after="0"/>
              <w:rPr>
                <w:sz w:val="22"/>
                <w:szCs w:val="22"/>
                <w:color w:val="auto"/>
              </w:rPr>
            </w:pPr>
          </w:p>
        </w:tc>
        <w:tc>
          <w:tcPr>
            <w:tcW w:w="5580" w:type="dxa"/>
            <w:vAlign w:val="bottom"/>
            <w:tcBorders>
              <w:top w:val="single" w:sz="8" w:color="BFBFBF"/>
              <w:bottom w:val="single" w:sz="8" w:color="auto"/>
              <w:right w:val="single" w:sz="8" w:color="auto"/>
            </w:tcBorders>
            <w:gridSpan w:val="3"/>
            <w:shd w:val="clear" w:color="auto" w:fill="BFBFBF"/>
          </w:tcPr>
          <w:p>
            <w:pPr>
              <w:ind w:left="40"/>
              <w:spacing w:after="0" w:line="244" w:lineRule="exact"/>
              <w:rPr>
                <w:sz w:val="20"/>
                <w:szCs w:val="20"/>
                <w:color w:val="auto"/>
              </w:rPr>
            </w:pPr>
            <w:r>
              <w:rPr>
                <w:rFonts w:ascii="Times New Roman" w:cs="Times New Roman" w:eastAsia="Times New Roman" w:hAnsi="Times New Roman"/>
                <w:sz w:val="22"/>
                <w:szCs w:val="22"/>
                <w:b w:val="1"/>
                <w:bCs w:val="1"/>
                <w:color w:val="auto"/>
              </w:rPr>
              <w:t>ENSEMBL GENE ID</w:t>
            </w:r>
          </w:p>
        </w:tc>
      </w:tr>
      <w:tr>
        <w:trPr>
          <w:trHeight w:val="217"/>
        </w:trPr>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right w:val="single" w:sz="8" w:color="auto"/>
            </w:tcBorders>
          </w:tcPr>
          <w:p>
            <w:pPr>
              <w:spacing w:after="0"/>
              <w:rPr>
                <w:sz w:val="18"/>
                <w:szCs w:val="18"/>
                <w:color w:val="auto"/>
              </w:rPr>
            </w:pPr>
          </w:p>
        </w:tc>
      </w:tr>
      <w:tr>
        <w:trPr>
          <w:trHeight w:val="235"/>
        </w:trPr>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right w:val="single" w:sz="8" w:color="auto"/>
            </w:tcBorders>
          </w:tcPr>
          <w:p>
            <w:pPr>
              <w:spacing w:after="0"/>
              <w:rPr>
                <w:sz w:val="20"/>
                <w:szCs w:val="20"/>
                <w:color w:val="auto"/>
              </w:rPr>
            </w:pPr>
          </w:p>
        </w:tc>
      </w:tr>
      <w:tr>
        <w:trPr>
          <w:trHeight w:val="237"/>
        </w:trPr>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right w:val="single" w:sz="8" w:color="auto"/>
            </w:tcBorders>
          </w:tcPr>
          <w:p>
            <w:pPr>
              <w:spacing w:after="0"/>
              <w:rPr>
                <w:sz w:val="20"/>
                <w:szCs w:val="20"/>
                <w:color w:val="auto"/>
              </w:rPr>
            </w:pPr>
          </w:p>
        </w:tc>
      </w:tr>
      <w:tr>
        <w:trPr>
          <w:trHeight w:val="237"/>
        </w:trPr>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right w:val="single" w:sz="8" w:color="auto"/>
            </w:tcBorders>
          </w:tcPr>
          <w:p>
            <w:pPr>
              <w:spacing w:after="0"/>
              <w:rPr>
                <w:sz w:val="20"/>
                <w:szCs w:val="20"/>
                <w:color w:val="auto"/>
              </w:rPr>
            </w:pPr>
          </w:p>
        </w:tc>
      </w:tr>
      <w:tr>
        <w:trPr>
          <w:trHeight w:val="237"/>
        </w:trPr>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right w:val="single" w:sz="8" w:color="auto"/>
            </w:tcBorders>
          </w:tcPr>
          <w:p>
            <w:pPr>
              <w:spacing w:after="0"/>
              <w:rPr>
                <w:sz w:val="20"/>
                <w:szCs w:val="20"/>
                <w:color w:val="auto"/>
              </w:rPr>
            </w:pPr>
          </w:p>
        </w:tc>
      </w:tr>
      <w:tr>
        <w:trPr>
          <w:trHeight w:val="236"/>
        </w:trPr>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right w:val="single" w:sz="8" w:color="auto"/>
            </w:tcBorders>
          </w:tcPr>
          <w:p>
            <w:pPr>
              <w:spacing w:after="0"/>
              <w:rPr>
                <w:sz w:val="20"/>
                <w:szCs w:val="20"/>
                <w:color w:val="auto"/>
              </w:rPr>
            </w:pPr>
          </w:p>
        </w:tc>
      </w:tr>
      <w:tr>
        <w:trPr>
          <w:trHeight w:val="695"/>
        </w:trPr>
        <w:tc>
          <w:tcPr>
            <w:tcW w:w="3580" w:type="dxa"/>
            <w:vAlign w:val="bottom"/>
          </w:tcPr>
          <w:p>
            <w:pPr>
              <w:spacing w:after="0"/>
              <w:rPr>
                <w:sz w:val="24"/>
                <w:szCs w:val="24"/>
                <w:color w:val="auto"/>
              </w:rPr>
            </w:pPr>
          </w:p>
        </w:tc>
        <w:tc>
          <w:tcPr>
            <w:tcW w:w="7660" w:type="dxa"/>
            <w:vAlign w:val="bottom"/>
            <w:gridSpan w:val="5"/>
          </w:tcPr>
          <w:p>
            <w:pPr>
              <w:jc w:val="center"/>
              <w:ind w:right="3580"/>
              <w:spacing w:after="0"/>
              <w:rPr>
                <w:sz w:val="20"/>
                <w:szCs w:val="20"/>
                <w:color w:val="auto"/>
              </w:rPr>
            </w:pPr>
            <w:r>
              <w:rPr>
                <w:rFonts w:ascii="Times New Roman" w:cs="Times New Roman" w:eastAsia="Times New Roman" w:hAnsi="Times New Roman"/>
                <w:sz w:val="22"/>
                <w:szCs w:val="22"/>
                <w:b w:val="1"/>
                <w:bCs w:val="1"/>
                <w:color w:val="auto"/>
                <w:w w:val="97"/>
              </w:rPr>
              <w:t>Schedule 1.178</w:t>
            </w:r>
          </w:p>
        </w:tc>
      </w:tr>
      <w:tr>
        <w:trPr>
          <w:trHeight w:val="286"/>
        </w:trPr>
        <w:tc>
          <w:tcPr>
            <w:tcW w:w="3580" w:type="dxa"/>
            <w:vAlign w:val="bottom"/>
          </w:tcPr>
          <w:p>
            <w:pPr>
              <w:spacing w:after="0"/>
              <w:rPr>
                <w:sz w:val="24"/>
                <w:szCs w:val="24"/>
                <w:color w:val="auto"/>
              </w:rPr>
            </w:pPr>
          </w:p>
        </w:tc>
        <w:tc>
          <w:tcPr>
            <w:tcW w:w="7660" w:type="dxa"/>
            <w:vAlign w:val="bottom"/>
            <w:gridSpan w:val="5"/>
          </w:tcPr>
          <w:p>
            <w:pPr>
              <w:jc w:val="center"/>
              <w:ind w:right="3580"/>
              <w:spacing w:after="0"/>
              <w:rPr>
                <w:sz w:val="20"/>
                <w:szCs w:val="20"/>
                <w:color w:val="auto"/>
              </w:rPr>
            </w:pPr>
            <w:r>
              <w:rPr>
                <w:rFonts w:ascii="Times New Roman" w:cs="Times New Roman" w:eastAsia="Times New Roman" w:hAnsi="Times New Roman"/>
                <w:sz w:val="22"/>
                <w:szCs w:val="22"/>
                <w:b w:val="1"/>
                <w:bCs w:val="1"/>
                <w:color w:val="auto"/>
                <w:w w:val="97"/>
              </w:rPr>
              <w:t>Reserved Targets</w:t>
            </w:r>
          </w:p>
        </w:tc>
      </w:tr>
      <w:tr>
        <w:trPr>
          <w:trHeight w:val="253"/>
        </w:trPr>
        <w:tc>
          <w:tcPr>
            <w:tcW w:w="35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tcPr>
          <w:p>
            <w:pPr>
              <w:spacing w:after="0"/>
              <w:rPr>
                <w:sz w:val="21"/>
                <w:szCs w:val="21"/>
                <w:color w:val="auto"/>
              </w:rPr>
            </w:pPr>
          </w:p>
        </w:tc>
      </w:tr>
      <w:tr>
        <w:trPr>
          <w:trHeight w:val="264"/>
        </w:trPr>
        <w:tc>
          <w:tcPr>
            <w:tcW w:w="3580" w:type="dxa"/>
            <w:vAlign w:val="bottom"/>
            <w:tcBorders>
              <w:top w:val="single" w:sz="8" w:color="auto"/>
              <w:left w:val="single" w:sz="8" w:color="auto"/>
              <w:bottom w:val="single" w:sz="8" w:color="auto"/>
            </w:tcBorders>
            <w:shd w:val="clear" w:color="auto" w:fill="BFBFBF"/>
          </w:tcPr>
          <w:p>
            <w:pPr>
              <w:ind w:left="120"/>
              <w:spacing w:after="0" w:line="244" w:lineRule="exact"/>
              <w:rPr>
                <w:sz w:val="20"/>
                <w:szCs w:val="20"/>
                <w:color w:val="auto"/>
              </w:rPr>
            </w:pPr>
            <w:r>
              <w:rPr>
                <w:rFonts w:ascii="Times New Roman" w:cs="Times New Roman" w:eastAsia="Times New Roman" w:hAnsi="Times New Roman"/>
                <w:sz w:val="22"/>
                <w:szCs w:val="22"/>
                <w:b w:val="1"/>
                <w:bCs w:val="1"/>
                <w:color w:val="auto"/>
              </w:rPr>
              <w:t>Name</w:t>
            </w:r>
          </w:p>
        </w:tc>
        <w:tc>
          <w:tcPr>
            <w:tcW w:w="1600" w:type="dxa"/>
            <w:vAlign w:val="bottom"/>
            <w:tcBorders>
              <w:top w:val="single" w:sz="8" w:color="auto"/>
              <w:bottom w:val="single" w:sz="8" w:color="auto"/>
            </w:tcBorders>
            <w:shd w:val="clear" w:color="auto" w:fill="BFBFBF"/>
          </w:tcPr>
          <w:p>
            <w:pPr>
              <w:spacing w:after="0"/>
              <w:rPr>
                <w:sz w:val="22"/>
                <w:szCs w:val="22"/>
                <w:color w:val="auto"/>
              </w:rPr>
            </w:pPr>
          </w:p>
        </w:tc>
        <w:tc>
          <w:tcPr>
            <w:tcW w:w="480" w:type="dxa"/>
            <w:vAlign w:val="bottom"/>
            <w:tcBorders>
              <w:top w:val="single" w:sz="8" w:color="auto"/>
              <w:bottom w:val="single" w:sz="8" w:color="auto"/>
              <w:right w:val="single" w:sz="8" w:color="auto"/>
            </w:tcBorders>
            <w:shd w:val="clear" w:color="auto" w:fill="BFBFBF"/>
          </w:tcPr>
          <w:p>
            <w:pPr>
              <w:spacing w:after="0"/>
              <w:rPr>
                <w:sz w:val="22"/>
                <w:szCs w:val="22"/>
                <w:color w:val="auto"/>
              </w:rPr>
            </w:pPr>
          </w:p>
        </w:tc>
        <w:tc>
          <w:tcPr>
            <w:tcW w:w="5580" w:type="dxa"/>
            <w:vAlign w:val="bottom"/>
            <w:tcBorders>
              <w:top w:val="single" w:sz="8" w:color="BFBFBF"/>
              <w:bottom w:val="single" w:sz="8" w:color="auto"/>
              <w:right w:val="single" w:sz="8" w:color="auto"/>
            </w:tcBorders>
            <w:gridSpan w:val="3"/>
            <w:shd w:val="clear" w:color="auto" w:fill="BFBFBF"/>
          </w:tcPr>
          <w:p>
            <w:pPr>
              <w:ind w:left="40"/>
              <w:spacing w:after="0" w:line="244" w:lineRule="exact"/>
              <w:rPr>
                <w:sz w:val="20"/>
                <w:szCs w:val="20"/>
                <w:color w:val="auto"/>
              </w:rPr>
            </w:pPr>
            <w:r>
              <w:rPr>
                <w:rFonts w:ascii="Times New Roman" w:cs="Times New Roman" w:eastAsia="Times New Roman" w:hAnsi="Times New Roman"/>
                <w:sz w:val="22"/>
                <w:szCs w:val="22"/>
                <w:b w:val="1"/>
                <w:bCs w:val="1"/>
                <w:color w:val="auto"/>
              </w:rPr>
              <w:t>ENSEMBL GENE ID</w:t>
            </w:r>
          </w:p>
        </w:tc>
      </w:tr>
      <w:tr>
        <w:trPr>
          <w:trHeight w:val="217"/>
        </w:trPr>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right w:val="single" w:sz="8" w:color="auto"/>
            </w:tcBorders>
          </w:tcPr>
          <w:p>
            <w:pPr>
              <w:spacing w:after="0"/>
              <w:rPr>
                <w:sz w:val="18"/>
                <w:szCs w:val="18"/>
                <w:color w:val="auto"/>
              </w:rPr>
            </w:pPr>
          </w:p>
        </w:tc>
      </w:tr>
      <w:tr>
        <w:trPr>
          <w:trHeight w:val="235"/>
        </w:trPr>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right w:val="single" w:sz="8" w:color="auto"/>
            </w:tcBorders>
          </w:tcPr>
          <w:p>
            <w:pPr>
              <w:spacing w:after="0"/>
              <w:rPr>
                <w:sz w:val="20"/>
                <w:szCs w:val="20"/>
                <w:color w:val="auto"/>
              </w:rPr>
            </w:pPr>
          </w:p>
        </w:tc>
      </w:tr>
      <w:tr>
        <w:trPr>
          <w:trHeight w:val="237"/>
        </w:trPr>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right w:val="single" w:sz="8" w:color="auto"/>
            </w:tcBorders>
          </w:tcPr>
          <w:p>
            <w:pPr>
              <w:spacing w:after="0"/>
              <w:rPr>
                <w:sz w:val="20"/>
                <w:szCs w:val="20"/>
                <w:color w:val="auto"/>
              </w:rPr>
            </w:pPr>
          </w:p>
        </w:tc>
      </w:tr>
      <w:tr>
        <w:trPr>
          <w:trHeight w:val="237"/>
        </w:trPr>
        <w:tc>
          <w:tcPr>
            <w:tcW w:w="3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right w:val="single" w:sz="8" w:color="auto"/>
            </w:tcBorders>
          </w:tcPr>
          <w:p>
            <w:pPr>
              <w:spacing w:after="0"/>
              <w:rPr>
                <w:sz w:val="20"/>
                <w:szCs w:val="20"/>
                <w:color w:val="auto"/>
              </w:rPr>
            </w:pPr>
          </w:p>
        </w:tc>
      </w:tr>
      <w:tr>
        <w:trPr>
          <w:trHeight w:val="1868"/>
        </w:trPr>
        <w:tc>
          <w:tcPr>
            <w:tcW w:w="35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7" w:name="page328"/>
    <w:bookmarkEnd w:id="327"/>
    <w:p>
      <w:pPr>
        <w:jc w:val="center"/>
        <w:ind w:right="20"/>
        <w:spacing w:after="0" w:line="259" w:lineRule="auto"/>
        <w:rPr>
          <w:sz w:val="20"/>
          <w:szCs w:val="20"/>
          <w:color w:val="auto"/>
        </w:rPr>
      </w:pPr>
      <w:r>
        <w:rPr>
          <w:rFonts w:ascii="Times New Roman" w:cs="Times New Roman" w:eastAsia="Times New Roman" w:hAnsi="Times New Roman"/>
          <w:sz w:val="18"/>
          <w:szCs w:val="18"/>
          <w:color w:val="auto"/>
        </w:rPr>
        <w:t>CERTAIN IDENTIFIED INFORMATION, MARKED BY “[***]”, HAS BEEN EXCLUDED FROM THIS EXHIBIT BECAUSE IT IS BOTH NOT MATERIAL AND IS THE TYPE THAT THE REGISTRANT TREATS AS PRIVATE OR CONFIDENTIAL.</w:t>
      </w:r>
    </w:p>
    <w:p>
      <w:pPr>
        <w:jc w:val="right"/>
        <w:spacing w:after="0" w:line="230" w:lineRule="auto"/>
        <w:rPr>
          <w:sz w:val="20"/>
          <w:szCs w:val="20"/>
          <w:color w:val="auto"/>
        </w:rPr>
      </w:pPr>
      <w:r>
        <w:rPr>
          <w:rFonts w:ascii="Times New Roman" w:cs="Times New Roman" w:eastAsia="Times New Roman" w:hAnsi="Times New Roman"/>
          <w:sz w:val="22"/>
          <w:szCs w:val="22"/>
          <w:color w:val="auto"/>
        </w:rPr>
        <w:t>CONFIDENTIAL</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ind w:left="5000" w:hanging="434"/>
        <w:spacing w:after="0"/>
        <w:tabs>
          <w:tab w:leader="none" w:pos="5000" w:val="left"/>
        </w:tabs>
        <w:numPr>
          <w:ilvl w:val="0"/>
          <w:numId w:val="19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22"/>
          <w:szCs w:val="22"/>
          <w:b w:val="1"/>
          <w:bCs w:val="1"/>
          <w:u w:val="single" w:color="auto"/>
          <w:color w:val="auto"/>
        </w:rPr>
        <w:t>Degrader Criteria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19" w:lineRule="exact"/>
        <w:rPr>
          <w:sz w:val="20"/>
          <w:szCs w:val="20"/>
          <w:color w:val="auto"/>
        </w:rPr>
      </w:pPr>
    </w:p>
    <w:p>
      <w:pPr>
        <w:ind w:left="760" w:hanging="378"/>
        <w:spacing w:after="0"/>
        <w:tabs>
          <w:tab w:leader="none" w:pos="7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20" w:lineRule="exact"/>
        <w:rPr>
          <w:sz w:val="20"/>
          <w:szCs w:val="20"/>
          <w:color w:val="auto"/>
        </w:rPr>
      </w:pPr>
    </w:p>
    <w:p>
      <w:pPr>
        <w:ind w:left="760" w:hanging="378"/>
        <w:spacing w:after="0"/>
        <w:tabs>
          <w:tab w:leader="none" w:pos="7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19" w:lineRule="exact"/>
        <w:rPr>
          <w:sz w:val="20"/>
          <w:szCs w:val="20"/>
          <w:color w:val="auto"/>
        </w:rPr>
      </w:pPr>
    </w:p>
    <w:p>
      <w:pPr>
        <w:ind w:left="760" w:hanging="378"/>
        <w:spacing w:after="0"/>
        <w:tabs>
          <w:tab w:leader="none" w:pos="7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Target Validation Success Criteria</w:t>
      </w:r>
    </w:p>
    <w:p>
      <w:pPr>
        <w:spacing w:after="0" w:line="200" w:lineRule="exact"/>
        <w:rPr>
          <w:sz w:val="20"/>
          <w:szCs w:val="20"/>
          <w:color w:val="auto"/>
        </w:rPr>
      </w:pPr>
    </w:p>
    <w:p>
      <w:pPr>
        <w:spacing w:after="0" w:line="298" w:lineRule="exact"/>
        <w:rPr>
          <w:sz w:val="20"/>
          <w:szCs w:val="20"/>
          <w:color w:val="auto"/>
        </w:rPr>
      </w:pPr>
    </w:p>
    <w:p>
      <w:pPr>
        <w:ind w:left="760" w:hanging="378"/>
        <w:spacing w:after="0"/>
        <w:tabs>
          <w:tab w:leader="none" w:pos="76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1393190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17" w:lineRule="exact"/>
        <w:rPr>
          <w:sz w:val="20"/>
          <w:szCs w:val="20"/>
          <w:color w:val="auto"/>
        </w:rPr>
      </w:pPr>
    </w:p>
    <w:p>
      <w:pPr>
        <w:jc w:val="both"/>
        <w:ind w:firstLine="749"/>
        <w:spacing w:after="0" w:line="227"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is made as of this 20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December, 2021, between </w:t>
      </w:r>
      <w:r>
        <w:rPr>
          <w:rFonts w:ascii="Arial" w:cs="Arial" w:eastAsia="Arial" w:hAnsi="Arial"/>
          <w:sz w:val="18"/>
          <w:szCs w:val="18"/>
          <w:b w:val="1"/>
          <w:bCs w:val="1"/>
          <w:color w:val="auto"/>
        </w:rPr>
        <w:t>ARE-MA REGION NO. 75,</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KYMERA 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2" w:lineRule="exact"/>
        <w:rPr>
          <w:sz w:val="20"/>
          <w:szCs w:val="20"/>
          <w:color w:val="auto"/>
        </w:rPr>
      </w:pPr>
    </w:p>
    <w:p>
      <w:pPr>
        <w:jc w:val="both"/>
        <w:ind w:left="1200" w:right="20" w:hanging="1871"/>
        <w:spacing w:after="0" w:line="271" w:lineRule="auto"/>
        <w:tabs>
          <w:tab w:leader="none" w:pos="1180" w:val="left"/>
        </w:tabs>
        <w:rPr>
          <w:sz w:val="20"/>
          <w:szCs w:val="20"/>
          <w:color w:val="auto"/>
        </w:rPr>
      </w:pPr>
      <w:r>
        <w:rPr>
          <w:rFonts w:ascii="Arial" w:cs="Arial" w:eastAsia="Arial" w:hAnsi="Arial"/>
          <w:sz w:val="18"/>
          <w:szCs w:val="18"/>
          <w:b w:val="1"/>
          <w:bCs w:val="1"/>
          <w:color w:val="auto"/>
        </w:rPr>
        <w:t>Building:</w:t>
      </w:r>
      <w:r>
        <w:rPr>
          <w:sz w:val="20"/>
          <w:szCs w:val="20"/>
          <w:color w:val="auto"/>
        </w:rPr>
        <w:tab/>
      </w:r>
      <w:r>
        <w:rPr>
          <w:rFonts w:ascii="Arial" w:cs="Arial" w:eastAsia="Arial" w:hAnsi="Arial"/>
          <w:sz w:val="18"/>
          <w:szCs w:val="18"/>
          <w:color w:val="auto"/>
        </w:rPr>
        <w:t>The to-be-constructed building in the Project to be located at The Arsenal on the Charles, Watertown, Massachusetts 02472 (also known as Building 1), in which the Premises are located.</w:t>
      </w:r>
    </w:p>
    <w:p>
      <w:pPr>
        <w:spacing w:after="0" w:line="154" w:lineRule="exact"/>
        <w:rPr>
          <w:sz w:val="20"/>
          <w:szCs w:val="20"/>
          <w:color w:val="auto"/>
        </w:rPr>
      </w:pPr>
    </w:p>
    <w:p>
      <w:pPr>
        <w:jc w:val="both"/>
        <w:ind w:left="1200" w:hanging="1871"/>
        <w:spacing w:after="0" w:line="239" w:lineRule="auto"/>
        <w:tabs>
          <w:tab w:leader="none" w:pos="1180" w:val="left"/>
        </w:tabs>
        <w:rPr>
          <w:sz w:val="20"/>
          <w:szCs w:val="20"/>
          <w:color w:val="auto"/>
        </w:rPr>
      </w:pPr>
      <w:r>
        <w:rPr>
          <w:rFonts w:ascii="Arial" w:cs="Arial" w:eastAsia="Arial" w:hAnsi="Arial"/>
          <w:sz w:val="18"/>
          <w:szCs w:val="18"/>
          <w:b w:val="1"/>
          <w:bCs w:val="1"/>
          <w:color w:val="auto"/>
        </w:rPr>
        <w:t>Premises:</w:t>
      </w:r>
      <w:r>
        <w:rPr>
          <w:sz w:val="20"/>
          <w:szCs w:val="20"/>
          <w:color w:val="auto"/>
        </w:rPr>
        <w:tab/>
      </w:r>
      <w:r>
        <w:rPr>
          <w:rFonts w:ascii="Arial" w:cs="Arial" w:eastAsia="Arial" w:hAnsi="Arial"/>
          <w:sz w:val="18"/>
          <w:szCs w:val="18"/>
          <w:color w:val="auto"/>
        </w:rPr>
        <w:t xml:space="preserve">That portion of the Project, consisting of (i) the entire rentable area of the second, third and fourth floors of the Building (inclusive of the fourth floor terrace) (but exclusive of Common Areas), (ii) certain storage space on the first floor of the Building and (iii) certain mechanical space on the penthouse floor of the Building, and containing in the aggregate approximately 100,624 rentable square feet, as determined by Landlord, as shown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consisting of (a) approximately 33,074 rentable square feet on the second floor of the Building, (b) approximately 33,074 rentable square feet on the third floor of the Building, (c) approximately 32,647 rentable square feet on the fourth floor of the Building (inclusive of the fourth floor terrace), (d) approximately 1,588 rentable square feet of storage space on the first floor of the Building, and (e) approximately 241 rentable square feet of mechanical space on the penthouse floor of the Building, subject to adjustment from time to time in accordance with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45(o)</w:t>
      </w:r>
      <w:r>
        <w:rPr>
          <w:rFonts w:ascii="Arial" w:cs="Arial" w:eastAsia="Arial" w:hAnsi="Arial"/>
          <w:sz w:val="18"/>
          <w:szCs w:val="18"/>
          <w:color w:val="auto"/>
        </w:rPr>
        <w:t xml:space="preserve"> hereof.</w:t>
      </w:r>
    </w:p>
    <w:p>
      <w:pPr>
        <w:spacing w:after="0" w:line="183" w:lineRule="exact"/>
        <w:rPr>
          <w:sz w:val="20"/>
          <w:szCs w:val="20"/>
          <w:color w:val="auto"/>
        </w:rPr>
      </w:pPr>
    </w:p>
    <w:p>
      <w:pPr>
        <w:ind w:left="1880" w:right="60" w:hanging="1871"/>
        <w:spacing w:after="0" w:line="281" w:lineRule="auto"/>
        <w:rPr>
          <w:sz w:val="20"/>
          <w:szCs w:val="20"/>
          <w:color w:val="auto"/>
        </w:rPr>
      </w:pPr>
      <w:r>
        <w:rPr>
          <w:rFonts w:ascii="Arial" w:cs="Arial" w:eastAsia="Arial" w:hAnsi="Arial"/>
          <w:sz w:val="18"/>
          <w:szCs w:val="18"/>
          <w:b w:val="1"/>
          <w:bCs w:val="1"/>
          <w:color w:val="auto"/>
        </w:rPr>
        <w:t xml:space="preserve">Project: </w:t>
      </w:r>
      <w:r>
        <w:rPr>
          <w:rFonts w:ascii="Arial" w:cs="Arial" w:eastAsia="Arial" w:hAnsi="Arial"/>
          <w:sz w:val="18"/>
          <w:szCs w:val="18"/>
          <w:color w:val="auto"/>
        </w:rPr>
        <w:t>The real property on which the Building in which the Premises are located, together with all improvements thereon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appurtenances thereto as described on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36"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b w:val="1"/>
          <w:bCs w:val="1"/>
          <w:color w:val="auto"/>
        </w:rPr>
        <w:t>Rentable Area of Premises:</w:t>
      </w:r>
      <w:r>
        <w:rPr>
          <w:sz w:val="20"/>
          <w:szCs w:val="20"/>
          <w:color w:val="auto"/>
        </w:rPr>
        <w:tab/>
      </w:r>
      <w:r>
        <w:rPr>
          <w:rFonts w:ascii="Arial" w:cs="Arial" w:eastAsia="Arial" w:hAnsi="Arial"/>
          <w:sz w:val="18"/>
          <w:szCs w:val="18"/>
          <w:color w:val="auto"/>
        </w:rPr>
        <w:t xml:space="preserve">100,624 sq. ft., subject to adjustment from time to time in accordance with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45(o)</w:t>
      </w:r>
      <w:r>
        <w:rPr>
          <w:rFonts w:ascii="Arial" w:cs="Arial" w:eastAsia="Arial" w:hAnsi="Arial"/>
          <w:sz w:val="18"/>
          <w:szCs w:val="18"/>
          <w:color w:val="auto"/>
        </w:rPr>
        <w:t xml:space="preserve"> hereof.</w:t>
      </w:r>
    </w:p>
    <w:p>
      <w:pPr>
        <w:spacing w:after="0" w:line="212" w:lineRule="exact"/>
        <w:rPr>
          <w:sz w:val="20"/>
          <w:szCs w:val="20"/>
          <w:color w:val="auto"/>
        </w:rPr>
      </w:pPr>
    </w:p>
    <w:p>
      <w:pPr>
        <w:jc w:val="both"/>
        <w:ind w:left="3100" w:hanging="2687"/>
        <w:spacing w:after="0" w:line="237" w:lineRule="auto"/>
        <w:rPr>
          <w:sz w:val="20"/>
          <w:szCs w:val="20"/>
          <w:color w:val="auto"/>
        </w:rPr>
      </w:pPr>
      <w:r>
        <w:rPr>
          <w:rFonts w:ascii="Arial" w:cs="Arial" w:eastAsia="Arial" w:hAnsi="Arial"/>
          <w:sz w:val="18"/>
          <w:szCs w:val="18"/>
          <w:color w:val="auto"/>
        </w:rPr>
        <w:t>Tenant acknowledges that the rentable square footage amounts set forth on the first page of this Lease are based on initial estimates from Landlord utilizing the BOMA Modified measurement standard. Accordingly, within sixty (60) days following the Commencement Date, Landlord may, but shall not be obligated to, calculate the rentable square footage of the Premises and Building pursuant to BOMA Modified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Remeasurement</w:t>
      </w:r>
      <w:r>
        <w:rPr>
          <w:rFonts w:ascii="Arial" w:cs="Arial" w:eastAsia="Arial" w:hAnsi="Arial"/>
          <w:sz w:val="18"/>
          <w:szCs w:val="18"/>
          <w:color w:val="auto"/>
        </w:rPr>
        <w:t>”), and deliver to Tenant (A) a statement setting forth any changes to the (i) rentable</w:t>
      </w:r>
      <w:r>
        <w:rPr>
          <w:rFonts w:ascii="Arial" w:cs="Arial" w:eastAsia="Arial" w:hAnsi="Arial"/>
          <w:sz w:val="18"/>
          <w:szCs w:val="18"/>
          <w:b w:val="1"/>
          <w:bCs w:val="1"/>
          <w:color w:val="auto"/>
        </w:rPr>
        <w:t xml:space="preserve"> </w:t>
      </w:r>
      <w:r>
        <w:rPr>
          <w:rFonts w:ascii="Arial" w:cs="Arial" w:eastAsia="Arial" w:hAnsi="Arial"/>
          <w:sz w:val="18"/>
          <w:szCs w:val="18"/>
          <w:color w:val="auto"/>
        </w:rPr>
        <w:t>square footage of the Premises, the Building, or the Project, (ii) the Base Rent, (iii) the Building’s Share of the Project, (iv) the Tenant Improvement Allowance and the Supplemental Tenant Improvement Allowance, and (v) Tenant’s Share of Operating Expenses, resulting from such changes to or remeasurement of the Premises, the Building, or the other buildings with the Project, and (B) back-up calculations showing any changes to the rentable square footage of the Premises, the Building, or the Project. Tenant shall execute and return an acknowledgement prepared by Landlord of: (1) the rentable square footage of the Premises, the Building, or the Project, (2) the Base Rent, (3) the Building’s Share of the Project, (4) the Tenant Improvement Allowance and the Supplemental Tenant Improvement Allowance, and (5) Tenant’s Share of Operating Expenses, resulting from Landlord’s Initial Remeasurement within 7 business days following Landlord’s request. The failure of Tenant to do so shall be deemed Tenant’s unconditional and irrevocable acknowledgement and agreement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128905</wp:posOffset>
            </wp:positionV>
            <wp:extent cx="2425700" cy="41148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7">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ACTIVEUS 187586682v.10" "" ACTIVEUS 187586682v.10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9" w:name="page330"/>
    <w:bookmarkEnd w:id="329"/>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2</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ind w:left="3100"/>
        <w:spacing w:after="0" w:line="237" w:lineRule="auto"/>
        <w:rPr>
          <w:sz w:val="20"/>
          <w:szCs w:val="20"/>
          <w:color w:val="auto"/>
        </w:rPr>
      </w:pPr>
      <w:r>
        <w:rPr>
          <w:rFonts w:ascii="Arial" w:cs="Arial" w:eastAsia="Arial" w:hAnsi="Arial"/>
          <w:sz w:val="18"/>
          <w:szCs w:val="18"/>
          <w:color w:val="auto"/>
        </w:rPr>
        <w:t>facts contained therein. If there is any disagreement with respect to the facts contained in such acknowledgement of Landlord’s Initial Remeasurement, then Tenant must raise the same by written notice to Landlord within 7 business days of receipt of the statement in clause (A) or Tenant will have irrevocably waived the right to object. Following Landlord’s timely receipt of such objection notice, the parties shall reasonably and in good faith discuss such matters; provided that any dispute will be resolved by Landlord’s architect, whose determination of the rentable square footage of the Premises, the Building and the Project shall be conclusive, final and binding on Landlord and Tenant. Notwithstanding the foregoing, in no event shall the rentable square footage of the Premises be increased or decreased by more than 10,000 rentable square feet from that specified above (i.e., above 110,624 rentable square feet or below 90,624 rentable square feet) in connection with the Initial Remeasurement, unless such increase is the result of an implemented Change Request (as defined in the Work Letter) in which event the foregoing cap shall not apply. The Initial Remeasurement by Landlord shall not be considered in lieu of or a waiver of Landlord’s other rights of remeasurement set forth in this Lease.</w:t>
      </w:r>
    </w:p>
    <w:p>
      <w:pPr>
        <w:spacing w:after="0" w:line="189"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 xml:space="preserve">Rentable Area of Building:  </w:t>
      </w:r>
      <w:r>
        <w:rPr>
          <w:rFonts w:ascii="Arial" w:cs="Arial" w:eastAsia="Arial" w:hAnsi="Arial"/>
          <w:sz w:val="18"/>
          <w:szCs w:val="18"/>
          <w:color w:val="auto"/>
        </w:rPr>
        <w:t>120,454 sq. ft., subject to adjustment from time to time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5</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45(o)</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definition of Rentable Area of Premises.</w:t>
      </w:r>
    </w:p>
    <w:p>
      <w:pPr>
        <w:spacing w:after="0" w:line="154" w:lineRule="exact"/>
        <w:rPr>
          <w:sz w:val="20"/>
          <w:szCs w:val="20"/>
          <w:color w:val="auto"/>
        </w:rPr>
      </w:pPr>
    </w:p>
    <w:p>
      <w:pPr>
        <w:ind w:left="2400" w:hanging="2994"/>
        <w:spacing w:after="0" w:line="271" w:lineRule="auto"/>
        <w:tabs>
          <w:tab w:leader="none" w:pos="2380" w:val="left"/>
        </w:tabs>
        <w:rPr>
          <w:sz w:val="20"/>
          <w:szCs w:val="20"/>
          <w:color w:val="auto"/>
        </w:rPr>
      </w:pPr>
      <w:r>
        <w:rPr>
          <w:rFonts w:ascii="Arial" w:cs="Arial" w:eastAsia="Arial" w:hAnsi="Arial"/>
          <w:sz w:val="18"/>
          <w:szCs w:val="18"/>
          <w:b w:val="1"/>
          <w:bCs w:val="1"/>
          <w:color w:val="auto"/>
        </w:rPr>
        <w:t>Rentable Area of Project:</w:t>
      </w:r>
      <w:r>
        <w:rPr>
          <w:sz w:val="20"/>
          <w:szCs w:val="20"/>
          <w:color w:val="auto"/>
        </w:rPr>
        <w:tab/>
      </w:r>
      <w:r>
        <w:rPr>
          <w:rFonts w:ascii="Arial" w:cs="Arial" w:eastAsia="Arial" w:hAnsi="Arial"/>
          <w:sz w:val="18"/>
          <w:szCs w:val="18"/>
          <w:color w:val="auto"/>
        </w:rPr>
        <w:t xml:space="preserve">1,132,958 sq. ft., subject to adjustment from time to time in accordance with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45(o)</w:t>
      </w:r>
      <w:r>
        <w:rPr>
          <w:rFonts w:ascii="Arial" w:cs="Arial" w:eastAsia="Arial" w:hAnsi="Arial"/>
          <w:sz w:val="18"/>
          <w:szCs w:val="18"/>
          <w:color w:val="auto"/>
        </w:rPr>
        <w:t xml:space="preserve"> hereof and in accordance with the definition of Rentable Area of Premises.</w:t>
      </w:r>
    </w:p>
    <w:p>
      <w:pPr>
        <w:spacing w:after="0" w:line="154" w:lineRule="exact"/>
        <w:rPr>
          <w:sz w:val="20"/>
          <w:szCs w:val="20"/>
          <w:color w:val="auto"/>
        </w:rPr>
      </w:pPr>
    </w:p>
    <w:p>
      <w:pPr>
        <w:ind w:left="3000" w:hanging="2994"/>
        <w:spacing w:after="0" w:line="271" w:lineRule="auto"/>
        <w:rPr>
          <w:sz w:val="20"/>
          <w:szCs w:val="20"/>
          <w:color w:val="auto"/>
        </w:rPr>
      </w:pPr>
      <w:r>
        <w:rPr>
          <w:rFonts w:ascii="Arial" w:cs="Arial" w:eastAsia="Arial" w:hAnsi="Arial"/>
          <w:sz w:val="18"/>
          <w:szCs w:val="18"/>
          <w:b w:val="1"/>
          <w:bCs w:val="1"/>
          <w:color w:val="auto"/>
        </w:rPr>
        <w:t xml:space="preserve">Building’s Share of Project: </w:t>
      </w:r>
      <w:r>
        <w:rPr>
          <w:rFonts w:ascii="Arial" w:cs="Arial" w:eastAsia="Arial" w:hAnsi="Arial"/>
          <w:sz w:val="18"/>
          <w:szCs w:val="18"/>
          <w:color w:val="auto"/>
        </w:rPr>
        <w:t>10.63%, subject to adjustment from time to time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5</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45(o)</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definition of Rentable Area of Premises.</w:t>
      </w:r>
    </w:p>
    <w:p>
      <w:pPr>
        <w:spacing w:after="0" w:line="154" w:lineRule="exact"/>
        <w:rPr>
          <w:sz w:val="20"/>
          <w:szCs w:val="20"/>
          <w:color w:val="auto"/>
        </w:rPr>
      </w:pPr>
    </w:p>
    <w:p>
      <w:pPr>
        <w:ind w:left="3600" w:hanging="4117"/>
        <w:spacing w:after="0" w:line="271" w:lineRule="auto"/>
        <w:tabs>
          <w:tab w:leader="none" w:pos="3580" w:val="left"/>
        </w:tabs>
        <w:rPr>
          <w:sz w:val="20"/>
          <w:szCs w:val="20"/>
          <w:color w:val="auto"/>
        </w:rPr>
      </w:pPr>
      <w:r>
        <w:rPr>
          <w:rFonts w:ascii="Arial" w:cs="Arial" w:eastAsia="Arial" w:hAnsi="Arial"/>
          <w:sz w:val="18"/>
          <w:szCs w:val="18"/>
          <w:b w:val="1"/>
          <w:bCs w:val="1"/>
          <w:color w:val="auto"/>
        </w:rPr>
        <w:t>Tenant’s Share of Operating Expenses:</w:t>
      </w:r>
      <w:r>
        <w:rPr>
          <w:sz w:val="20"/>
          <w:szCs w:val="20"/>
          <w:color w:val="auto"/>
        </w:rPr>
        <w:tab/>
      </w:r>
      <w:r>
        <w:rPr>
          <w:rFonts w:ascii="Arial" w:cs="Arial" w:eastAsia="Arial" w:hAnsi="Arial"/>
          <w:sz w:val="18"/>
          <w:szCs w:val="18"/>
          <w:color w:val="auto"/>
        </w:rPr>
        <w:t xml:space="preserve">83.54%, subject to adjustment from time to time in accordance with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45(o)</w:t>
      </w:r>
      <w:r>
        <w:rPr>
          <w:rFonts w:ascii="Arial" w:cs="Arial" w:eastAsia="Arial" w:hAnsi="Arial"/>
          <w:sz w:val="18"/>
          <w:szCs w:val="18"/>
          <w:color w:val="auto"/>
        </w:rPr>
        <w:t xml:space="preserve"> hereof and in accordance with the definition of Rentable Area of Premises.</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Base Rent:</w:t>
      </w:r>
      <w:r>
        <w:rPr>
          <w:sz w:val="20"/>
          <w:szCs w:val="20"/>
          <w:color w:val="auto"/>
        </w:rPr>
        <w:tab/>
      </w:r>
      <w:r>
        <w:rPr>
          <w:rFonts w:ascii="Arial" w:cs="Arial" w:eastAsia="Arial" w:hAnsi="Arial"/>
          <w:sz w:val="18"/>
          <w:szCs w:val="18"/>
          <w:color w:val="auto"/>
        </w:rPr>
        <w:t xml:space="preserve">$754,680 per month [initially based on $90/RSF annually], subject to adjustment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 Adjustment Percentage: </w:t>
      </w:r>
      <w:r>
        <w:rPr>
          <w:rFonts w:ascii="Arial" w:cs="Arial" w:eastAsia="Arial" w:hAnsi="Arial"/>
          <w:sz w:val="18"/>
          <w:szCs w:val="18"/>
          <w:color w:val="auto"/>
        </w:rPr>
        <w:t>Three percent (3%)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Base Rent Commencement Date: </w:t>
      </w:r>
      <w:r>
        <w:rPr>
          <w:rFonts w:ascii="Arial" w:cs="Arial" w:eastAsia="Arial" w:hAnsi="Arial"/>
          <w:sz w:val="18"/>
          <w:szCs w:val="18"/>
          <w:color w:val="auto"/>
        </w:rPr>
        <w:t>2 months following the Commencement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$4,528,080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Target Commencement Date: </w:t>
      </w:r>
      <w:r>
        <w:rPr>
          <w:rFonts w:ascii="Arial" w:cs="Arial" w:eastAsia="Arial" w:hAnsi="Arial"/>
          <w:sz w:val="18"/>
          <w:szCs w:val="18"/>
          <w:color w:val="auto"/>
        </w:rPr>
        <w:t>November 30, 2023</w:t>
      </w:r>
    </w:p>
    <w:p>
      <w:pPr>
        <w:spacing w:after="0" w:line="212" w:lineRule="exact"/>
        <w:rPr>
          <w:sz w:val="20"/>
          <w:szCs w:val="20"/>
          <w:color w:val="auto"/>
        </w:rPr>
      </w:pPr>
    </w:p>
    <w:p>
      <w:pPr>
        <w:ind w:left="1200" w:hanging="1871"/>
        <w:spacing w:after="0" w:line="271" w:lineRule="auto"/>
        <w:tabs>
          <w:tab w:leader="none" w:pos="1180" w:val="left"/>
        </w:tabs>
        <w:rPr>
          <w:sz w:val="20"/>
          <w:szCs w:val="20"/>
          <w:color w:val="auto"/>
        </w:rPr>
      </w:pPr>
      <w:r>
        <w:rPr>
          <w:rFonts w:ascii="Arial" w:cs="Arial" w:eastAsia="Arial" w:hAnsi="Arial"/>
          <w:sz w:val="18"/>
          <w:szCs w:val="18"/>
          <w:b w:val="1"/>
          <w:bCs w:val="1"/>
          <w:color w:val="auto"/>
        </w:rPr>
        <w:t>Base Term:</w:t>
      </w:r>
      <w:r>
        <w:rPr>
          <w:sz w:val="20"/>
          <w:szCs w:val="20"/>
          <w:color w:val="auto"/>
        </w:rPr>
        <w:tab/>
      </w:r>
      <w:r>
        <w:rPr>
          <w:rFonts w:ascii="Arial" w:cs="Arial" w:eastAsia="Arial" w:hAnsi="Arial"/>
          <w:sz w:val="18"/>
          <w:szCs w:val="18"/>
          <w:color w:val="auto"/>
        </w:rPr>
        <w:t xml:space="preserve">Beginning on the Commencement Date and ending 134 months from the first day of the first full month of the Term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hereof.</w:t>
      </w:r>
    </w:p>
    <w:p>
      <w:pPr>
        <w:spacing w:after="0" w:line="154" w:lineRule="exact"/>
        <w:rPr>
          <w:sz w:val="20"/>
          <w:szCs w:val="20"/>
          <w:color w:val="auto"/>
        </w:rPr>
      </w:pPr>
    </w:p>
    <w:p>
      <w:pPr>
        <w:ind w:left="1600" w:hanging="1871"/>
        <w:spacing w:after="0" w:line="271" w:lineRule="auto"/>
        <w:tabs>
          <w:tab w:leader="none" w:pos="1580" w:val="left"/>
        </w:tabs>
        <w:rPr>
          <w:sz w:val="20"/>
          <w:szCs w:val="20"/>
          <w:color w:val="auto"/>
        </w:rPr>
      </w:pPr>
      <w:r>
        <w:rPr>
          <w:rFonts w:ascii="Arial" w:cs="Arial" w:eastAsia="Arial" w:hAnsi="Arial"/>
          <w:sz w:val="18"/>
          <w:szCs w:val="18"/>
          <w:b w:val="1"/>
          <w:bCs w:val="1"/>
          <w:color w:val="auto"/>
        </w:rPr>
        <w:t>Permitted Use:</w:t>
      </w:r>
      <w:r>
        <w:rPr>
          <w:sz w:val="20"/>
          <w:szCs w:val="20"/>
          <w:color w:val="auto"/>
        </w:rPr>
        <w:tab/>
      </w:r>
      <w:r>
        <w:rPr>
          <w:rFonts w:ascii="Arial" w:cs="Arial" w:eastAsia="Arial" w:hAnsi="Arial"/>
          <w:sz w:val="18"/>
          <w:szCs w:val="18"/>
          <w:color w:val="auto"/>
        </w:rPr>
        <w:t>General office, laboratory, small-scale assembly in support of laboratory and life science research and development, and life sciences research and development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1262380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109855</wp:posOffset>
            </wp:positionV>
            <wp:extent cx="2425700" cy="41148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0" w:name="page331"/>
    <w:bookmarkEnd w:id="330"/>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3</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consistent with the character of the Project and otherwise in compliance with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212" w:lineRule="exact"/>
        <w:rPr>
          <w:sz w:val="20"/>
          <w:szCs w:val="20"/>
          <w:color w:val="auto"/>
        </w:rPr>
      </w:pPr>
    </w:p>
    <w:p>
      <w:pPr>
        <w:jc w:val="both"/>
        <w:ind w:left="1880" w:hanging="1458"/>
        <w:spacing w:after="0" w:line="253" w:lineRule="auto"/>
        <w:rPr>
          <w:sz w:val="20"/>
          <w:szCs w:val="20"/>
          <w:color w:val="auto"/>
        </w:rPr>
      </w:pPr>
      <w:r>
        <w:rPr>
          <w:rFonts w:ascii="Arial" w:cs="Arial" w:eastAsia="Arial" w:hAnsi="Arial"/>
          <w:sz w:val="18"/>
          <w:szCs w:val="18"/>
          <w:color w:val="auto"/>
        </w:rPr>
        <w:t>Tenant shall not permit (a) the second floor of the Premises to contain less than 35% of lab space or use nor less than 35% of office space or use, (b) the fourth floor of the Premises to contain less than 20% lab space and use, or (c) the third and fourth floors of the Premises, in the aggregate, to contain less than 35% lab space and use.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Rent Payment: Landlord’s Notice Address: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ARE-MA Region No. 75, LLC c/o Alexandria Real Estate Equities, Inc.</w:t>
      </w:r>
    </w:p>
    <w:p>
      <w:pPr>
        <w:spacing w:after="0" w:line="9"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JP Morgan Chase</w:t>
        <w:tab/>
        <w:t>26 North Euclid Avenue</w:t>
      </w:r>
    </w:p>
    <w:p>
      <w:pPr>
        <w:spacing w:after="0" w:line="234" w:lineRule="auto"/>
        <w:tabs>
          <w:tab w:leader="none" w:pos="1580" w:val="left"/>
        </w:tabs>
        <w:rPr>
          <w:sz w:val="20"/>
          <w:szCs w:val="20"/>
          <w:color w:val="auto"/>
        </w:rPr>
      </w:pPr>
      <w:r>
        <w:rPr>
          <w:rFonts w:ascii="Arial" w:cs="Arial" w:eastAsia="Arial" w:hAnsi="Arial"/>
          <w:sz w:val="18"/>
          <w:szCs w:val="18"/>
          <w:color w:val="auto"/>
        </w:rPr>
        <w:t>P.O. Box 975383</w:t>
        <w:tab/>
        <w:t>Pasadena, CA 91101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Dallas, TX 75397-5383 Attention: Corporate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Notice Address: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Before the Commencement Date: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KYMERA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Arsenal Yards Blvd., Suite 230</w:t>
      </w:r>
    </w:p>
    <w:p>
      <w:pPr>
        <w:spacing w:after="0" w:line="234" w:lineRule="auto"/>
        <w:rPr>
          <w:sz w:val="20"/>
          <w:szCs w:val="20"/>
          <w:color w:val="auto"/>
        </w:rPr>
      </w:pPr>
      <w:r>
        <w:rPr>
          <w:rFonts w:ascii="Arial" w:cs="Arial" w:eastAsia="Arial" w:hAnsi="Arial"/>
          <w:sz w:val="18"/>
          <w:szCs w:val="18"/>
          <w:color w:val="auto"/>
        </w:rPr>
        <w:t>Watertown, MA 02472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Bruce N. Jacobs, CFO</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 the Commencement Date</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KYMERA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Arsenal on the Charles, Building 1</w:t>
      </w:r>
    </w:p>
    <w:p>
      <w:pPr>
        <w:spacing w:after="0" w:line="234" w:lineRule="auto"/>
        <w:rPr>
          <w:sz w:val="20"/>
          <w:szCs w:val="20"/>
          <w:color w:val="auto"/>
        </w:rPr>
      </w:pPr>
      <w:r>
        <w:rPr>
          <w:rFonts w:ascii="Arial" w:cs="Arial" w:eastAsia="Arial" w:hAnsi="Arial"/>
          <w:sz w:val="18"/>
          <w:szCs w:val="18"/>
          <w:color w:val="auto"/>
        </w:rPr>
        <w:t>Watertown, MA 02472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Bruce N. Jacobs, CFO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And with a copy 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Northern Avenue</w:t>
      </w:r>
    </w:p>
    <w:p>
      <w:pPr>
        <w:spacing w:after="0" w:line="234" w:lineRule="auto"/>
        <w:rPr>
          <w:sz w:val="20"/>
          <w:szCs w:val="20"/>
          <w:color w:val="auto"/>
        </w:rPr>
      </w:pPr>
      <w:r>
        <w:rPr>
          <w:rFonts w:ascii="Arial" w:cs="Arial" w:eastAsia="Arial" w:hAnsi="Arial"/>
          <w:sz w:val="18"/>
          <w:szCs w:val="18"/>
          <w:color w:val="auto"/>
        </w:rPr>
        <w:t>Boston, MA 02210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William D. Collins, Esq.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 PREMISES DESCRIPTION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B </w:t>
      </w:r>
      <w:r>
        <w:rPr>
          <w:rFonts w:ascii="Arial" w:cs="Arial" w:eastAsia="Arial" w:hAnsi="Arial"/>
          <w:sz w:val="18"/>
          <w:szCs w:val="18"/>
          <w:color w:val="auto"/>
        </w:rPr>
        <w:t>- DESCRIPTION OF PROJECT</w:t>
      </w:r>
    </w:p>
    <w:p>
      <w:pPr>
        <w:spacing w:after="0" w:line="234" w:lineRule="auto"/>
        <w:rPr>
          <w:sz w:val="20"/>
          <w:szCs w:val="20"/>
          <w:color w:val="auto"/>
        </w:rPr>
      </w:pPr>
      <w:r>
        <w:rPr>
          <w:rFonts w:ascii="Arial" w:cs="Arial" w:eastAsia="Arial" w:hAnsi="Arial"/>
          <w:sz w:val="18"/>
          <w:szCs w:val="18"/>
          <w:b w:val="1"/>
          <w:bCs w:val="1"/>
          <w:color w:val="auto"/>
        </w:rPr>
        <w:t xml:space="preserve">EXHIBIT C </w:t>
      </w:r>
      <w:r>
        <w:rPr>
          <w:rFonts w:ascii="Arial" w:cs="Arial" w:eastAsia="Arial" w:hAnsi="Arial"/>
          <w:sz w:val="18"/>
          <w:szCs w:val="18"/>
          <w:color w:val="auto"/>
        </w:rPr>
        <w:t>- WORK LETTER</w:t>
      </w:r>
    </w:p>
    <w:p>
      <w:pPr>
        <w:spacing w:after="0" w:line="235" w:lineRule="auto"/>
        <w:rPr>
          <w:sz w:val="20"/>
          <w:szCs w:val="20"/>
          <w:color w:val="auto"/>
        </w:rPr>
      </w:pPr>
      <w:r>
        <w:rPr>
          <w:rFonts w:ascii="Arial" w:cs="Arial" w:eastAsia="Arial" w:hAnsi="Arial"/>
          <w:sz w:val="18"/>
          <w:szCs w:val="18"/>
          <w:b w:val="1"/>
          <w:bCs w:val="1"/>
          <w:color w:val="auto"/>
        </w:rPr>
        <w:t xml:space="preserve">EXHIBIT D </w:t>
      </w:r>
      <w:r>
        <w:rPr>
          <w:rFonts w:ascii="Arial" w:cs="Arial" w:eastAsia="Arial" w:hAnsi="Arial"/>
          <w:sz w:val="18"/>
          <w:szCs w:val="18"/>
          <w:color w:val="auto"/>
        </w:rPr>
        <w:t>- ACKNOWLEDGEMENT OF COMMENCEMENT DATE</w:t>
      </w:r>
    </w:p>
    <w:p>
      <w:pPr>
        <w:spacing w:after="0" w:line="235" w:lineRule="auto"/>
        <w:rPr>
          <w:sz w:val="20"/>
          <w:szCs w:val="20"/>
          <w:color w:val="auto"/>
        </w:rPr>
      </w:pPr>
      <w:r>
        <w:rPr>
          <w:rFonts w:ascii="Arial" w:cs="Arial" w:eastAsia="Arial" w:hAnsi="Arial"/>
          <w:sz w:val="18"/>
          <w:szCs w:val="18"/>
          <w:b w:val="1"/>
          <w:bCs w:val="1"/>
          <w:color w:val="auto"/>
        </w:rPr>
        <w:t xml:space="preserve">EXHIBIT E </w:t>
      </w:r>
      <w:r>
        <w:rPr>
          <w:rFonts w:ascii="Arial" w:cs="Arial" w:eastAsia="Arial" w:hAnsi="Arial"/>
          <w:sz w:val="18"/>
          <w:szCs w:val="18"/>
          <w:color w:val="auto"/>
        </w:rPr>
        <w:t>- RULES AND REGULATIONS</w:t>
      </w:r>
    </w:p>
    <w:p>
      <w:pPr>
        <w:spacing w:after="0" w:line="235" w:lineRule="auto"/>
        <w:rPr>
          <w:sz w:val="20"/>
          <w:szCs w:val="20"/>
          <w:color w:val="auto"/>
        </w:rPr>
      </w:pPr>
      <w:r>
        <w:rPr>
          <w:rFonts w:ascii="Arial" w:cs="Arial" w:eastAsia="Arial" w:hAnsi="Arial"/>
          <w:sz w:val="18"/>
          <w:szCs w:val="18"/>
          <w:b w:val="1"/>
          <w:bCs w:val="1"/>
          <w:color w:val="auto"/>
        </w:rPr>
        <w:t xml:space="preserve">EXHIBIT F </w:t>
      </w:r>
      <w:r>
        <w:rPr>
          <w:rFonts w:ascii="Arial" w:cs="Arial" w:eastAsia="Arial" w:hAnsi="Arial"/>
          <w:sz w:val="18"/>
          <w:szCs w:val="18"/>
          <w:color w:val="auto"/>
        </w:rPr>
        <w:t>- TENANT’S PERSONAL PROPERTY</w:t>
      </w:r>
    </w:p>
    <w:p>
      <w:pPr>
        <w:spacing w:after="0" w:line="235" w:lineRule="auto"/>
        <w:rPr>
          <w:sz w:val="20"/>
          <w:szCs w:val="20"/>
          <w:color w:val="auto"/>
        </w:rPr>
      </w:pPr>
      <w:r>
        <w:rPr>
          <w:rFonts w:ascii="Arial" w:cs="Arial" w:eastAsia="Arial" w:hAnsi="Arial"/>
          <w:sz w:val="18"/>
          <w:szCs w:val="18"/>
          <w:b w:val="1"/>
          <w:bCs w:val="1"/>
          <w:color w:val="auto"/>
        </w:rPr>
        <w:t xml:space="preserve">EXHIBIT G </w:t>
      </w:r>
      <w:r>
        <w:rPr>
          <w:rFonts w:ascii="Arial" w:cs="Arial" w:eastAsia="Arial" w:hAnsi="Arial"/>
          <w:sz w:val="18"/>
          <w:szCs w:val="18"/>
          <w:color w:val="auto"/>
        </w:rPr>
        <w:t>– CONTROL AREAS</w:t>
      </w:r>
    </w:p>
    <w:p>
      <w:pPr>
        <w:spacing w:after="0"/>
        <w:rPr>
          <w:sz w:val="20"/>
          <w:szCs w:val="20"/>
          <w:color w:val="auto"/>
        </w:rPr>
      </w:pPr>
      <w:r>
        <w:rPr>
          <w:rFonts w:ascii="Arial" w:cs="Arial" w:eastAsia="Arial" w:hAnsi="Arial"/>
          <w:sz w:val="18"/>
          <w:szCs w:val="18"/>
          <w:b w:val="1"/>
          <w:bCs w:val="1"/>
          <w:color w:val="auto"/>
        </w:rPr>
        <w:t xml:space="preserve">EXHIBIT H – </w:t>
      </w:r>
      <w:r>
        <w:rPr>
          <w:rFonts w:ascii="Arial" w:cs="Arial" w:eastAsia="Arial" w:hAnsi="Arial"/>
          <w:sz w:val="18"/>
          <w:szCs w:val="18"/>
          <w:color w:val="auto"/>
        </w:rPr>
        <w:t>DESIGNATED ROOFTOP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1416685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263525</wp:posOffset>
            </wp:positionV>
            <wp:extent cx="2425700" cy="41148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2">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1" w:name="page332"/>
    <w:bookmarkEnd w:id="331"/>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4</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ind w:firstLine="757"/>
        <w:spacing w:after="0" w:line="281" w:lineRule="auto"/>
        <w:tabs>
          <w:tab w:leader="none" w:pos="1018"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Lease of Premises</w:t>
      </w:r>
      <w:r>
        <w:rPr>
          <w:rFonts w:ascii="Arial" w:cs="Arial" w:eastAsia="Arial" w:hAnsi="Arial"/>
          <w:sz w:val="18"/>
          <w:szCs w:val="18"/>
          <w:color w:val="auto"/>
        </w:rPr>
        <w:t>. Upon and subject to all of the terms and conditions hereof, Landlord hereby leases the Premises to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 hereby leases the Premises from Landlord. Landlord and Tenant are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3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The portions of the Project which from time to time are for the non-exclusive use of Tenant and one or more other tenants of the Project or other third parties are collectively referred to herein as the “</w:t>
      </w:r>
      <w:r>
        <w:rPr>
          <w:rFonts w:ascii="Arial" w:cs="Arial" w:eastAsia="Arial" w:hAnsi="Arial"/>
          <w:sz w:val="18"/>
          <w:szCs w:val="18"/>
          <w:b w:val="1"/>
          <w:bCs w:val="1"/>
          <w:color w:val="auto"/>
        </w:rPr>
        <w:t>Common Areas</w:t>
      </w:r>
      <w:r>
        <w:rPr>
          <w:rFonts w:ascii="Arial" w:cs="Arial" w:eastAsia="Arial" w:hAnsi="Arial"/>
          <w:sz w:val="18"/>
          <w:szCs w:val="18"/>
          <w:color w:val="auto"/>
        </w:rPr>
        <w:t>.” The Common Areas include, without limitation, to the extent any exist from time to time and are generally available to all tenants: (a) the common lobbies, hallways, stairways, and elevators providing access to the Premises, (b) the common chases and conduits, mechanical and utility rooms, and trash enclosures located within the Building,(c) the common loading areas located in and serving the Building, and (d) pedestrian sidewalks, and landscaped areas serving the Project. The Common Areas include, without limitation, the various amenities, amenities facilities, and buildings or other improvements containing the same located in, on or otherwise serving the Project, if any, as may exist from time to time and be available for use by Tenant and one or more other tenants of the Project or other third parties (“</w:t>
      </w:r>
      <w:r>
        <w:rPr>
          <w:rFonts w:ascii="Arial" w:cs="Arial" w:eastAsia="Arial" w:hAnsi="Arial"/>
          <w:sz w:val="18"/>
          <w:szCs w:val="18"/>
          <w:b w:val="1"/>
          <w:bCs w:val="1"/>
          <w:color w:val="auto"/>
        </w:rPr>
        <w:t>Amenities</w:t>
      </w:r>
      <w:r>
        <w:rPr>
          <w:rFonts w:ascii="Arial" w:cs="Arial" w:eastAsia="Arial" w:hAnsi="Arial"/>
          <w:sz w:val="18"/>
          <w:szCs w:val="18"/>
          <w:color w:val="auto"/>
        </w:rPr>
        <w:t xml:space="preserve">”). Amenities may include, by way of example, things such as business centers, conference centers, restaurants, or gyms and other athletic facilities. It is understood that Landlord may contract with or arrange for affiliates or third parties to provide Amenities rather than providing the same itself. In either case, the cost thereof will be included in Operating Expenses (or paid by Tenant to such affiliates or third parties). Notwithstanding anything contained in this Lease to the contrary and for the avoidance of doubt, however, Landlord has no obligation to provide, and if provided has no obligation to continue to provide, any Amenities or other Common Areas, other than reasonable access to the Premises and any parking required by the terms of this Lease to be available to Tenant. Tenant shall have access to the Premises and the Building twenty-four (24) hours per day during the Term of this Lease, except in the case of emergencies or Force Majeure (as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below), as the result of governmental action or Legal Requirements, the performance by Landlord of any installation, maintenance or repairs, or other work, any other temporary interruptions, and otherwise subject to the terms of this Lease.</w:t>
      </w:r>
    </w:p>
    <w:p>
      <w:pPr>
        <w:spacing w:after="0" w:line="184" w:lineRule="exact"/>
        <w:rPr>
          <w:sz w:val="20"/>
          <w:szCs w:val="20"/>
          <w:color w:val="auto"/>
        </w:rPr>
      </w:pPr>
    </w:p>
    <w:p>
      <w:pPr>
        <w:jc w:val="both"/>
        <w:ind w:firstLine="757"/>
        <w:spacing w:after="0" w:line="236" w:lineRule="auto"/>
        <w:tabs>
          <w:tab w:leader="none" w:pos="1018"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Delivery; Acceptance of Premises; Commencement Date</w:t>
      </w:r>
      <w:r>
        <w:rPr>
          <w:rFonts w:ascii="Arial" w:cs="Arial" w:eastAsia="Arial" w:hAnsi="Arial"/>
          <w:sz w:val="18"/>
          <w:szCs w:val="18"/>
          <w:color w:val="auto"/>
        </w:rPr>
        <w:t>. Landlord shall use reasonable efforts to deliver the Premises to</w:t>
      </w:r>
      <w:r>
        <w:rPr>
          <w:rFonts w:ascii="Arial" w:cs="Arial" w:eastAsia="Arial" w:hAnsi="Arial"/>
          <w:sz w:val="18"/>
          <w:szCs w:val="18"/>
          <w:b w:val="1"/>
          <w:bCs w:val="1"/>
          <w:color w:val="auto"/>
        </w:rPr>
        <w:t xml:space="preserve"> </w:t>
      </w:r>
      <w:r>
        <w:rPr>
          <w:rFonts w:ascii="Arial" w:cs="Arial" w:eastAsia="Arial" w:hAnsi="Arial"/>
          <w:sz w:val="18"/>
          <w:szCs w:val="18"/>
          <w:color w:val="auto"/>
        </w:rPr>
        <w:t>Tenant on or before the Target Commencement Date, with Landlord’s Work Substantially Completed (“</w:t>
      </w:r>
      <w:r>
        <w:rPr>
          <w:rFonts w:ascii="Arial" w:cs="Arial" w:eastAsia="Arial" w:hAnsi="Arial"/>
          <w:sz w:val="18"/>
          <w:szCs w:val="18"/>
          <w:b w:val="1"/>
          <w:bCs w:val="1"/>
          <w:color w:val="auto"/>
        </w:rPr>
        <w:t>Delivery</w:t>
      </w:r>
      <w:r>
        <w:rPr>
          <w:rFonts w:ascii="Arial" w:cs="Arial" w:eastAsia="Arial" w:hAnsi="Arial"/>
          <w:sz w:val="18"/>
          <w:szCs w:val="18"/>
          <w:color w:val="auto"/>
        </w:rPr>
        <w:t>” or “</w:t>
      </w:r>
      <w:r>
        <w:rPr>
          <w:rFonts w:ascii="Arial" w:cs="Arial" w:eastAsia="Arial" w:hAnsi="Arial"/>
          <w:sz w:val="18"/>
          <w:szCs w:val="18"/>
          <w:b w:val="1"/>
          <w:bCs w:val="1"/>
          <w:color w:val="auto"/>
        </w:rPr>
        <w:t>Deliver</w:t>
      </w:r>
      <w:r>
        <w:rPr>
          <w:rFonts w:ascii="Arial" w:cs="Arial" w:eastAsia="Arial" w:hAnsi="Arial"/>
          <w:sz w:val="18"/>
          <w:szCs w:val="18"/>
          <w:color w:val="auto"/>
        </w:rPr>
        <w:t>”). If Landlord fails to timely Deliver the Premises, Landlord shall not be liable to Tenant for any loss or damage resulting therefrom, and this Lease shall not be void or voidable except as provided herein. If Landlord does not Deliver the Premises within 60 days following the Target Commencement Date for any reason other than Force Majeure delays and Tenant Delays, then Tenant shall be entitled to a day for day abatement of Base Rent for each day that the delay in delivery continues from and including the 60th day after the Target Commencement Date (as such Target Commencement Date is extended for Force Majeure delays and Tenant Delays) through the earlier of Delivery or the 120th day after the Target Commencement Date (as such Target Commencement Date is extended for Force Majeure delays and Tenant Delays). If Landlord does not Deliver the Premises within 120 days following the Target Commencement Date for any reason other than Force Majeure delays and Tenant Delays, then Tenant shall be entitled to an abatement of Base Rent for two days for each day that the delay in delivery continues for the period from the 120th day after the Target Commencement Date (as such Target Commencement Date is extended for Force Majeure delays and Tenant Delays) until the earlier of Delivery or the 195</w:t>
      </w:r>
      <w:r>
        <w:rPr>
          <w:rFonts w:ascii="Arial" w:cs="Arial" w:eastAsia="Arial" w:hAnsi="Arial"/>
          <w:sz w:val="12"/>
          <w:szCs w:val="12"/>
          <w:color w:val="auto"/>
        </w:rPr>
        <w:t>th</w:t>
      </w:r>
      <w:r>
        <w:rPr>
          <w:rFonts w:ascii="Arial" w:cs="Arial" w:eastAsia="Arial" w:hAnsi="Arial"/>
          <w:sz w:val="18"/>
          <w:szCs w:val="18"/>
          <w:color w:val="auto"/>
        </w:rPr>
        <w:t xml:space="preserve"> day after the Target Commencement Date (as such Targe Commencement Date is extended for Force Majeure delays and Tenant Delays). If Landlord does not Deliver the Premises within 195 days of the Target Commencement Date for any reason other than Force Majeure delays and Tenant Delays, then this Lease may be terminated by Tenant by written notice (given no later than 10 business days after the expiration of the 195 day period (as so extended)) to Landlord, and if so terminated by Tenant: (a) the Security Deposit, or any balance thereof (i.e., after deducting therefrom all amounts to which Landlord is entitled under the provisions of this Lease), and any prepaid Base Rent shall be returned to Tenant, and (b) neither Landlord nor Tenant shall have any further rights, duties or obligations under this Lease, except with respect to provisions which expressly survive termination of this Lease. As used herein, the terms “</w:t>
      </w:r>
      <w:r>
        <w:rPr>
          <w:rFonts w:ascii="Arial" w:cs="Arial" w:eastAsia="Arial" w:hAnsi="Arial"/>
          <w:sz w:val="18"/>
          <w:szCs w:val="18"/>
          <w:b w:val="1"/>
          <w:bCs w:val="1"/>
          <w:color w:val="auto"/>
        </w:rPr>
        <w:t>Landlord’s Work</w:t>
      </w:r>
      <w:r>
        <w:rPr>
          <w:rFonts w:ascii="Arial" w:cs="Arial" w:eastAsia="Arial" w:hAnsi="Arial"/>
          <w:sz w:val="18"/>
          <w:szCs w:val="18"/>
          <w:color w:val="auto"/>
        </w:rPr>
        <w:t>,” “</w:t>
      </w:r>
      <w:r>
        <w:rPr>
          <w:rFonts w:ascii="Arial" w:cs="Arial" w:eastAsia="Arial" w:hAnsi="Arial"/>
          <w:sz w:val="18"/>
          <w:szCs w:val="18"/>
          <w:b w:val="1"/>
          <w:bCs w:val="1"/>
          <w:color w:val="auto"/>
        </w:rPr>
        <w:t>Tenant’s Work</w:t>
      </w:r>
      <w:r>
        <w:rPr>
          <w:rFonts w:ascii="Arial" w:cs="Arial" w:eastAsia="Arial" w:hAnsi="Arial"/>
          <w:sz w:val="18"/>
          <w:szCs w:val="18"/>
          <w:color w:val="auto"/>
        </w:rPr>
        <w:t>,” “</w:t>
      </w:r>
      <w:r>
        <w:rPr>
          <w:rFonts w:ascii="Arial" w:cs="Arial" w:eastAsia="Arial" w:hAnsi="Arial"/>
          <w:sz w:val="18"/>
          <w:szCs w:val="18"/>
          <w:b w:val="1"/>
          <w:bCs w:val="1"/>
          <w:color w:val="auto"/>
        </w:rPr>
        <w:t>Tenant Delays</w:t>
      </w:r>
      <w:r>
        <w:rPr>
          <w:rFonts w:ascii="Arial" w:cs="Arial" w:eastAsia="Arial" w:hAnsi="Arial"/>
          <w:sz w:val="18"/>
          <w:szCs w:val="18"/>
          <w:color w:val="auto"/>
        </w:rPr>
        <w:t>” and “</w:t>
      </w:r>
      <w:r>
        <w:rPr>
          <w:rFonts w:ascii="Arial" w:cs="Arial" w:eastAsia="Arial" w:hAnsi="Arial"/>
          <w:sz w:val="18"/>
          <w:szCs w:val="18"/>
          <w:b w:val="1"/>
          <w:bCs w:val="1"/>
          <w:color w:val="auto"/>
        </w:rPr>
        <w:t>Substantially Completed</w:t>
      </w:r>
      <w:r>
        <w:rPr>
          <w:rFonts w:ascii="Arial" w:cs="Arial" w:eastAsia="Arial" w:hAnsi="Arial"/>
          <w:sz w:val="18"/>
          <w:szCs w:val="18"/>
          <w:color w:val="auto"/>
        </w:rPr>
        <w:t>” shall have the meanings set forth for such terms in the Work Letter. If Tenant does not elect to void this Lease within 5 business days of the lapse of such 195-day period, such right to void this Lease shall be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1288415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135255</wp:posOffset>
            </wp:positionV>
            <wp:extent cx="2425700" cy="41148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2" w:name="page333"/>
    <w:bookmarkEnd w:id="332"/>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5</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and this Lease shall remain in full force and effect. Notwithstanding anything to the contrary contained herein and for the avoidance of any doubt, the termination rights provided for in this paragraph shall terminate on the Commencement Date.</w:t>
      </w:r>
    </w:p>
    <w:p>
      <w:pPr>
        <w:spacing w:after="0" w:line="15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shall be the earliest of: (i) the date Landlord Delivers the Premises to Tenant; (ii) the date Landlord could have Delivered the Premises but for Tenant Delays; and (iii) the date Tenant conducts any business in the Premises or any part thereof. Upon request of Landlord, Tenant shall execute and deliver a written acknowledgment of the Commencement Date, the Base Rent Commencement Date, and the expiration date of the Term when such are established in the form of the “Acknowledgement of Commencement Date” attached to this Lease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 hereunder.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of this Lease shall be the Base Term, as defined above on the first page of this Lease, and (if timely and properly exercised) the Extension Term that Tenant may elect pursuant to </w:t>
      </w:r>
      <w:r>
        <w:rPr>
          <w:rFonts w:ascii="Arial" w:cs="Arial" w:eastAsia="Arial" w:hAnsi="Arial"/>
          <w:sz w:val="18"/>
          <w:szCs w:val="18"/>
          <w:u w:val="single" w:color="auto"/>
          <w:color w:val="auto"/>
        </w:rPr>
        <w:t>Section 40</w:t>
      </w:r>
      <w:r>
        <w:rPr>
          <w:rFonts w:ascii="Arial" w:cs="Arial" w:eastAsia="Arial" w:hAnsi="Arial"/>
          <w:sz w:val="18"/>
          <w:szCs w:val="18"/>
          <w:color w:val="auto"/>
        </w:rPr>
        <w:t xml:space="preserve"> hereof.</w:t>
      </w:r>
    </w:p>
    <w:p>
      <w:pPr>
        <w:spacing w:after="0" w:line="18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Work Letter, Landlord shall permit Tenant access to the Premises at such times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Work Letter prior to the Commencement Date for Tenant’s installation and setup of furniture, fixtures and equipment (“</w:t>
      </w:r>
      <w:r>
        <w:rPr>
          <w:rFonts w:ascii="Arial" w:cs="Arial" w:eastAsia="Arial" w:hAnsi="Arial"/>
          <w:sz w:val="18"/>
          <w:szCs w:val="18"/>
          <w:b w:val="1"/>
          <w:bCs w:val="1"/>
          <w:color w:val="auto"/>
        </w:rPr>
        <w:t>FF&amp;E Installation</w:t>
      </w:r>
      <w:r>
        <w:rPr>
          <w:rFonts w:ascii="Arial" w:cs="Arial" w:eastAsia="Arial" w:hAnsi="Arial"/>
          <w:sz w:val="18"/>
          <w:szCs w:val="18"/>
          <w:color w:val="auto"/>
        </w:rPr>
        <w:t xml:space="preserve">”), provided that such FF&amp;E Installation is coordinated with Landlord, and Tenant complies with this Lease and all other reasonable restrictions and conditions Landlord may impose. All such access shall be during normal business hours. Any access to the Premises by Tenant before the Commencement Date shall be subject to all of the terms and conditions of this Lease, excluding the obligation to pay Base Rent or Operating Expenses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7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 xml:space="preserve">Except as set forth in the next paragraph,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hereof, or the Work Letter: (i) Tenant shall accept the Premises in their condition as of the Commencement Date; (ii) Landlord shall have no obligation for any defects in the Premises; and (iii)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including the obligation to pay Base Rent and Operating Expenses.</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 xml:space="preserve">For the period of twelve months after the Commencement Date, Landlord shall, at its sole cost and expense (which shall not constitute an Operating Expense), be responsible for any repairs that are required to be made to the Building or Building Systems (as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 unless Tenant or any Tenant Party was responsible for the cause of such repair, in which case Tenant shall pay the cost of such repair.</w:t>
      </w:r>
    </w:p>
    <w:p>
      <w:pPr>
        <w:spacing w:after="0" w:line="174"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179" w:lineRule="exact"/>
        <w:rPr>
          <w:sz w:val="20"/>
          <w:szCs w:val="20"/>
          <w:color w:val="auto"/>
        </w:rPr>
      </w:pPr>
    </w:p>
    <w:p>
      <w:pPr>
        <w:ind w:left="1020" w:hanging="263"/>
        <w:spacing w:after="0"/>
        <w:tabs>
          <w:tab w:leader="none" w:pos="102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line="242" w:lineRule="auto"/>
        <w:tabs>
          <w:tab w:leader="none" w:pos="1018"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The first month’s Base Rent (i.e., the Base Rent due for the first full month following the Base Rent</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and the Security Deposit shall be due and payable on delivery of an executed copy of this Lease to Landlord. Commencing on the Base Rent Commencement Date, Tenant shall pay to Landlord in advance, without demand, abatement, deduction or set-off,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1278890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125730</wp:posOffset>
            </wp:positionV>
            <wp:extent cx="2425700" cy="41148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6">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3" w:name="page334"/>
    <w:bookmarkEnd w:id="333"/>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6</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due hereunder except for any abatement as may be expressly provided in this Lease.</w:t>
      </w:r>
    </w:p>
    <w:p>
      <w:pPr>
        <w:spacing w:after="0" w:line="169" w:lineRule="exact"/>
        <w:rPr>
          <w:sz w:val="20"/>
          <w:szCs w:val="20"/>
          <w:color w:val="auto"/>
        </w:rPr>
      </w:pPr>
    </w:p>
    <w:p>
      <w:pPr>
        <w:jc w:val="both"/>
        <w:ind w:firstLine="400"/>
        <w:spacing w:after="0"/>
        <w:rPr>
          <w:sz w:val="20"/>
          <w:szCs w:val="20"/>
          <w:color w:val="auto"/>
        </w:rPr>
      </w:pPr>
      <w:r>
        <w:rPr>
          <w:rFonts w:ascii="Arial" w:cs="Arial" w:eastAsia="Arial" w:hAnsi="Arial"/>
          <w:sz w:val="18"/>
          <w:szCs w:val="18"/>
          <w:color w:val="auto"/>
        </w:rPr>
        <w:t>In addition to the Tenant Improvement Allowance (as defined in the Work Letter), Landlord shall, if Tenant so requests in writing and subject to the terms of the Work Letter, make available to Tenant the Supplemental Tenant Improvement Allowance (as defined in the Work Letter). Commencing on the Commencement Date and continuing thereafter on the first day of each month during the Base Term, Tenant shall pay the amount necessary to fully amortize the portion of the Supplemental Tenant Improvement Allowance actually funded by Landlord, if any, as Additional Rent in equal monthly payments with interest at a rate of 8% per annum over the Base Term, which interest shall begin to accrue on the Commencement Date. Any of the Supplemental Tenant Improvement Allowance and applicable interest remaining unpaid as of the expiration or earlier termination of the Lease shall be paid to Landlord in a lump sum at the expiration or earlier termination of this Lease.</w:t>
      </w:r>
    </w:p>
    <w:p>
      <w:pPr>
        <w:spacing w:after="0" w:line="180" w:lineRule="exact"/>
        <w:rPr>
          <w:sz w:val="20"/>
          <w:szCs w:val="20"/>
          <w:color w:val="auto"/>
        </w:rPr>
      </w:pPr>
    </w:p>
    <w:p>
      <w:pPr>
        <w:jc w:val="both"/>
        <w:ind w:firstLine="757"/>
        <w:spacing w:after="0" w:line="244" w:lineRule="auto"/>
        <w:tabs>
          <w:tab w:leader="none" w:pos="1018"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Additional Rent</w:t>
      </w:r>
      <w:r>
        <w:rPr>
          <w:rFonts w:ascii="Arial" w:cs="Arial" w:eastAsia="Arial" w:hAnsi="Arial"/>
          <w:sz w:val="18"/>
          <w:szCs w:val="18"/>
          <w:color w:val="auto"/>
        </w:rPr>
        <w:t>. In addition to Base Rent, commencing on the Commencement Date, Tenant agrees to pay to Landlord as</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rent (“</w:t>
      </w:r>
      <w:r>
        <w:rPr>
          <w:rFonts w:ascii="Arial" w:cs="Arial" w:eastAsia="Arial" w:hAnsi="Arial"/>
          <w:sz w:val="18"/>
          <w:szCs w:val="18"/>
          <w:b w:val="1"/>
          <w:bCs w:val="1"/>
          <w:color w:val="auto"/>
        </w:rPr>
        <w:t>Additional Rent</w:t>
      </w:r>
      <w:r>
        <w:rPr>
          <w:rFonts w:ascii="Arial" w:cs="Arial" w:eastAsia="Arial" w:hAnsi="Arial"/>
          <w:sz w:val="18"/>
          <w:szCs w:val="18"/>
          <w:color w:val="auto"/>
        </w:rPr>
        <w:t>”): (i) Tenant’s Share of Operating Expenses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76" w:lineRule="exact"/>
        <w:rPr>
          <w:sz w:val="20"/>
          <w:szCs w:val="20"/>
          <w:color w:val="auto"/>
        </w:rPr>
      </w:pPr>
    </w:p>
    <w:p>
      <w:pPr>
        <w:jc w:val="both"/>
        <w:ind w:firstLine="757"/>
        <w:spacing w:after="0" w:line="244" w:lineRule="auto"/>
        <w:tabs>
          <w:tab w:leader="none" w:pos="1018"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 Base Rent shall be increased on each annual anniversary of the Base Rent Commencement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Lease (each an “</w:t>
      </w:r>
      <w:r>
        <w:rPr>
          <w:rFonts w:ascii="Arial" w:cs="Arial" w:eastAsia="Arial" w:hAnsi="Arial"/>
          <w:sz w:val="18"/>
          <w:szCs w:val="18"/>
          <w:b w:val="1"/>
          <w:bCs w:val="1"/>
          <w:color w:val="auto"/>
        </w:rPr>
        <w:t>Adjustment Date</w:t>
      </w:r>
      <w:r>
        <w:rPr>
          <w:rFonts w:ascii="Arial" w:cs="Arial" w:eastAsia="Arial" w:hAnsi="Arial"/>
          <w:sz w:val="18"/>
          <w:szCs w:val="18"/>
          <w:color w:val="auto"/>
        </w:rPr>
        <w:t>”) by multiplying the Base Rent payable immediately before such Adjustment Date by the Rent Adjustment Percentage and adding the resulting amount to such Base Rent payable immediately before such Adjustment Date. Base Rent, as so adjusted, shall thereafter be due as provided herein. Base Rent adjustments for any fractional calendar month shall be prorated.</w:t>
      </w:r>
    </w:p>
    <w:p>
      <w:pPr>
        <w:spacing w:after="0" w:line="176"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Operating Expense Payments</w:t>
      </w:r>
      <w:r>
        <w:rPr>
          <w:rFonts w:ascii="Arial" w:cs="Arial" w:eastAsia="Arial" w:hAnsi="Arial"/>
          <w:sz w:val="18"/>
          <w:szCs w:val="18"/>
          <w:color w:val="auto"/>
        </w:rPr>
        <w:t>. Landlord shall deliver to Tenant a written estimate of Operating Expenses for each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year during the Term (the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During each month of the Term, on the same date that Base Rent is due, Tenant shall pay Landlord an amount equal to 1/12th of Tenant’s Share of Operating Expenses of the Annual Estimate. Payments for any fractional calendar month shall be prorated.</w:t>
      </w:r>
    </w:p>
    <w:p>
      <w:pPr>
        <w:spacing w:after="0" w:line="17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means: (A) all costs and expenses of any kind or description whatsoever incurred or accrued each calendar year by Landlord with respect to the use, ownership, operation, management, maintenance and repair of the Building, including, without duplication, Taxes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capital repairs, improvements and replacements amortized over the lesser of 10 years and the useful life of such capital items, the costs of Landlord’s third-party property manager (not to exceed 3% of the then-applicable Base Rent (which, during the period between the Commencement Date and the Base Rent Commencement Date will be calculated based on the Base Rent rate payable on the Base Rent Commencement Date, and thereafter will be calculated based on the actual Base Rent)), or if there is no third-party property manager (or Landlord elects not to pass through the cost of the third-party property manager), administrative rent in the amount of 3% of the then-applicable Base Rent (which, during the period between the Commencement Date and the Base Rent Commencement Date will be calculated based on the Base Rent rate payable on the Base Rent Commencement Date, and thereafter will be calculated based on the actual Base Rent)), and the cost of upgrades to the Building or enhanced services provided at the Building that are intended to encourage social distancing (also referred to as physical distancing), promote and protect health and physical well-being, and/or prevent or limit the spread or transmission of communicable diseases and/or viruses of any kind or nature, including, without limitation, COVID-19 (collectively, “</w:t>
      </w:r>
      <w:r>
        <w:rPr>
          <w:rFonts w:ascii="Arial" w:cs="Arial" w:eastAsia="Arial" w:hAnsi="Arial"/>
          <w:sz w:val="18"/>
          <w:szCs w:val="18"/>
          <w:b w:val="1"/>
          <w:bCs w:val="1"/>
          <w:color w:val="auto"/>
        </w:rPr>
        <w:t>Infectious Conditions</w:t>
      </w:r>
      <w:r>
        <w:rPr>
          <w:rFonts w:ascii="Arial" w:cs="Arial" w:eastAsia="Arial" w:hAnsi="Arial"/>
          <w:sz w:val="18"/>
          <w:szCs w:val="18"/>
          <w:color w:val="auto"/>
        </w:rPr>
        <w:t>”), and (B) the Building’s Share of Project of all costs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1279525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126365</wp:posOffset>
            </wp:positionV>
            <wp:extent cx="2425700" cy="41148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8">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4" w:name="page335"/>
    <w:bookmarkEnd w:id="334"/>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7</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3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expenses of any kind or description whatsoever incurred or accrued each calendar year by Landlord with respect to the Project (other than those costs and expenses specific to the Building or any other building not containing Amenities), including, without duplication, costs and expenses related to the use, ownership, operation, management, maintenance, and repair of the Amenities and other Common Areas (including for the avoidance of doubt, payment or reimbursement by Landlord to affiliates of Landlord or third parties for market rent paid by such affiliates or third parties to Landlord for Amenity space and reduced rent or other concessions or subsidies provided to restaurants or others providing Amenities), Taxes, capital repairs, improvements and replacements amortized over the lesser of 10 years and the useful life of such capital items, and the cost of upgrades to the Project or enhanced services provided at the Project that are intended to encourage social distancing (also referred to as physical distancing), promote and protect health and physical well-being, and/or prevent or limit the spread or transmission of Infectious Conditions. The only Amenities for which a separate use fee may be charged to Tenant in addition to inclusion of the costs and expenses thereof in Operating Expenses are related to the use of any conference facility or fitness center (if a conference facility or fitness center is created and available). Landlord or its affiliates or third parties retained by Landlord may charge standard rates for usage of any conference facilities and services thereto. No membership fee will be charged for any fitness facility (or for basic offerings normally included in a membership fee), but Landlord or its affiliates or third parties retained by Landlord may charge a separate fee for additional services, if available, such as personal trainers or wellness clinics. Operating Expenses shall exclude only:</w:t>
      </w:r>
    </w:p>
    <w:p>
      <w:pPr>
        <w:spacing w:after="0" w:line="189" w:lineRule="exact"/>
        <w:rPr>
          <w:sz w:val="20"/>
          <w:szCs w:val="20"/>
          <w:color w:val="auto"/>
        </w:rPr>
      </w:pPr>
    </w:p>
    <w:p>
      <w:pPr>
        <w:ind w:left="760" w:right="20" w:firstLine="745"/>
        <w:spacing w:after="0" w:line="271" w:lineRule="auto"/>
        <w:tabs>
          <w:tab w:leader="none" w:pos="20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original construction costs of the Project (including the construction of any Common Areas and Amenities) and renovation prior to the date of this Lease and costs of correcting defects in such original construction or renovation;</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capital expenditures for expansion of the Project or capital improvements that are not includable as set forth above;</w:t>
      </w:r>
    </w:p>
    <w:p>
      <w:pPr>
        <w:spacing w:after="0" w:line="211" w:lineRule="exact"/>
        <w:rPr>
          <w:rFonts w:ascii="Arial" w:cs="Arial" w:eastAsia="Arial" w:hAnsi="Arial"/>
          <w:sz w:val="18"/>
          <w:szCs w:val="18"/>
          <w:color w:val="auto"/>
        </w:rPr>
      </w:pPr>
    </w:p>
    <w:p>
      <w:pPr>
        <w:jc w:val="both"/>
        <w:ind w:left="760" w:firstLine="745"/>
        <w:spacing w:after="0" w:line="247" w:lineRule="auto"/>
        <w:tabs>
          <w:tab w:leader="none" w:pos="20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of base rent (but not taxes or operating expenses (unless otherwise excluded under this Lease)) under any ground lease or other underlying lease of all or any portion of the Project;</w:t>
      </w:r>
    </w:p>
    <w:p>
      <w:pPr>
        <w:spacing w:after="0" w:line="173" w:lineRule="exact"/>
        <w:rPr>
          <w:rFonts w:ascii="Arial" w:cs="Arial" w:eastAsia="Arial" w:hAnsi="Arial"/>
          <w:sz w:val="18"/>
          <w:szCs w:val="18"/>
          <w:color w:val="auto"/>
        </w:rPr>
      </w:pPr>
    </w:p>
    <w:p>
      <w:pPr>
        <w:ind w:left="760" w:firstLine="745"/>
        <w:spacing w:after="0" w:line="271" w:lineRule="auto"/>
        <w:tabs>
          <w:tab w:leader="none" w:pos="20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depreciation of the Project (except for capital improvements, the cost of which are includable in Operating Expenses as provided above in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left="760" w:firstLine="745"/>
        <w:spacing w:after="0" w:line="253" w:lineRule="auto"/>
        <w:tabs>
          <w:tab w:leader="none" w:pos="20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68" w:lineRule="exact"/>
        <w:rPr>
          <w:rFonts w:ascii="Arial" w:cs="Arial" w:eastAsia="Arial" w:hAnsi="Arial"/>
          <w:sz w:val="18"/>
          <w:szCs w:val="18"/>
          <w:color w:val="auto"/>
        </w:rPr>
      </w:pPr>
    </w:p>
    <w:p>
      <w:pPr>
        <w:ind w:left="2040" w:hanging="535"/>
        <w:spacing w:after="0"/>
        <w:tabs>
          <w:tab w:leader="none" w:pos="20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211" w:lineRule="exact"/>
        <w:rPr>
          <w:rFonts w:ascii="Arial" w:cs="Arial" w:eastAsia="Arial" w:hAnsi="Arial"/>
          <w:sz w:val="18"/>
          <w:szCs w:val="18"/>
          <w:color w:val="auto"/>
        </w:rPr>
      </w:pPr>
    </w:p>
    <w:p>
      <w:pPr>
        <w:ind w:left="760" w:right="20" w:firstLine="745"/>
        <w:spacing w:after="0" w:line="271" w:lineRule="auto"/>
        <w:tabs>
          <w:tab w:leader="none" w:pos="20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costs of completing, fixturing, improving, renovating, painting, redecorating or other work, which Landlord pays for or performs for other tenants within their premises, and costs of correcting defects in such work;</w:t>
      </w:r>
    </w:p>
    <w:p>
      <w:pPr>
        <w:spacing w:after="0" w:line="153" w:lineRule="exact"/>
        <w:rPr>
          <w:rFonts w:ascii="Arial" w:cs="Arial" w:eastAsia="Arial" w:hAnsi="Arial"/>
          <w:sz w:val="18"/>
          <w:szCs w:val="18"/>
          <w:color w:val="auto"/>
        </w:rPr>
      </w:pPr>
    </w:p>
    <w:p>
      <w:pPr>
        <w:ind w:left="760" w:right="20" w:firstLine="745"/>
        <w:spacing w:after="0" w:line="271" w:lineRule="auto"/>
        <w:tabs>
          <w:tab w:leader="none" w:pos="20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costs to be reimbursed by other tenants of the Project or Taxes to be paid directly by Tenant or other tenants of the Project, whether or not actually paid;</w:t>
      </w:r>
    </w:p>
    <w:p>
      <w:pPr>
        <w:spacing w:after="0" w:line="153" w:lineRule="exact"/>
        <w:rPr>
          <w:rFonts w:ascii="Arial" w:cs="Arial" w:eastAsia="Arial" w:hAnsi="Arial"/>
          <w:sz w:val="18"/>
          <w:szCs w:val="18"/>
          <w:color w:val="auto"/>
        </w:rPr>
      </w:pPr>
    </w:p>
    <w:p>
      <w:pPr>
        <w:ind w:left="760" w:firstLine="745"/>
        <w:spacing w:after="0" w:line="271" w:lineRule="auto"/>
        <w:tabs>
          <w:tab w:leader="none" w:pos="20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officers and employees of Landlord who are not assigned in whole or in part to the operation, management, maintenance or repair of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1262380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109855</wp:posOffset>
            </wp:positionV>
            <wp:extent cx="2425700" cy="41148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8</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ind w:left="360" w:firstLine="745"/>
        <w:spacing w:after="0" w:line="271" w:lineRule="auto"/>
        <w:tabs>
          <w:tab w:leader="none" w:pos="16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153" w:lineRule="exact"/>
        <w:rPr>
          <w:rFonts w:ascii="Arial" w:cs="Arial" w:eastAsia="Arial" w:hAnsi="Arial"/>
          <w:sz w:val="18"/>
          <w:szCs w:val="18"/>
          <w:color w:val="auto"/>
        </w:rPr>
      </w:pPr>
    </w:p>
    <w:p>
      <w:pPr>
        <w:jc w:val="both"/>
        <w:ind w:left="360" w:firstLine="745"/>
        <w:spacing w:after="0" w:line="247" w:lineRule="auto"/>
        <w:tabs>
          <w:tab w:leader="none" w:pos="16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173" w:lineRule="exact"/>
        <w:rPr>
          <w:rFonts w:ascii="Arial" w:cs="Arial" w:eastAsia="Arial" w:hAnsi="Arial"/>
          <w:sz w:val="18"/>
          <w:szCs w:val="18"/>
          <w:color w:val="auto"/>
        </w:rPr>
      </w:pPr>
    </w:p>
    <w:p>
      <w:pPr>
        <w:ind w:left="360" w:firstLine="745"/>
        <w:spacing w:after="0" w:line="271" w:lineRule="auto"/>
        <w:tabs>
          <w:tab w:leader="none" w:pos="16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left="360" w:firstLine="745"/>
        <w:spacing w:after="0" w:line="253" w:lineRule="auto"/>
        <w:tabs>
          <w:tab w:leader="none" w:pos="16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68" w:lineRule="exact"/>
        <w:rPr>
          <w:rFonts w:ascii="Arial" w:cs="Arial" w:eastAsia="Arial" w:hAnsi="Arial"/>
          <w:sz w:val="18"/>
          <w:szCs w:val="18"/>
          <w:color w:val="auto"/>
        </w:rPr>
      </w:pPr>
    </w:p>
    <w:p>
      <w:pPr>
        <w:jc w:val="both"/>
        <w:ind w:left="360" w:firstLine="745"/>
        <w:spacing w:after="0" w:line="253" w:lineRule="auto"/>
        <w:tabs>
          <w:tab w:leader="none" w:pos="16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68" w:lineRule="exact"/>
        <w:rPr>
          <w:rFonts w:ascii="Arial" w:cs="Arial" w:eastAsia="Arial" w:hAnsi="Arial"/>
          <w:sz w:val="18"/>
          <w:szCs w:val="18"/>
          <w:color w:val="auto"/>
        </w:rPr>
      </w:pPr>
    </w:p>
    <w:p>
      <w:pPr>
        <w:ind w:left="1640" w:hanging="535"/>
        <w:spacing w:after="0"/>
        <w:tabs>
          <w:tab w:leader="none" w:pos="1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211" w:lineRule="exact"/>
        <w:rPr>
          <w:rFonts w:ascii="Arial" w:cs="Arial" w:eastAsia="Arial" w:hAnsi="Arial"/>
          <w:sz w:val="18"/>
          <w:szCs w:val="18"/>
          <w:color w:val="auto"/>
        </w:rPr>
      </w:pPr>
    </w:p>
    <w:p>
      <w:pPr>
        <w:jc w:val="both"/>
        <w:ind w:left="360" w:firstLine="745"/>
        <w:spacing w:after="0" w:line="253" w:lineRule="auto"/>
        <w:tabs>
          <w:tab w:leader="none" w:pos="16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68" w:lineRule="exact"/>
        <w:rPr>
          <w:rFonts w:ascii="Arial" w:cs="Arial" w:eastAsia="Arial" w:hAnsi="Arial"/>
          <w:sz w:val="18"/>
          <w:szCs w:val="18"/>
          <w:color w:val="auto"/>
        </w:rPr>
      </w:pPr>
    </w:p>
    <w:p>
      <w:pPr>
        <w:ind w:left="1640" w:hanging="535"/>
        <w:spacing w:after="0"/>
        <w:tabs>
          <w:tab w:leader="none" w:pos="1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Project;</w:t>
      </w:r>
    </w:p>
    <w:p>
      <w:pPr>
        <w:spacing w:after="0" w:line="211" w:lineRule="exact"/>
        <w:rPr>
          <w:rFonts w:ascii="Arial" w:cs="Arial" w:eastAsia="Arial" w:hAnsi="Arial"/>
          <w:sz w:val="18"/>
          <w:szCs w:val="18"/>
          <w:color w:val="auto"/>
        </w:rPr>
      </w:pPr>
    </w:p>
    <w:p>
      <w:pPr>
        <w:jc w:val="both"/>
        <w:ind w:left="360" w:firstLine="745"/>
        <w:spacing w:after="0" w:line="253" w:lineRule="auto"/>
        <w:tabs>
          <w:tab w:leader="none" w:pos="16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68" w:lineRule="exact"/>
        <w:rPr>
          <w:rFonts w:ascii="Arial" w:cs="Arial" w:eastAsia="Arial" w:hAnsi="Arial"/>
          <w:sz w:val="18"/>
          <w:szCs w:val="18"/>
          <w:color w:val="auto"/>
        </w:rPr>
      </w:pPr>
    </w:p>
    <w:p>
      <w:pPr>
        <w:ind w:left="1640" w:hanging="535"/>
        <w:spacing w:after="0"/>
        <w:tabs>
          <w:tab w:leader="none" w:pos="1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reserves for future expenditures;</w:t>
      </w:r>
    </w:p>
    <w:p>
      <w:pPr>
        <w:spacing w:after="0" w:line="211" w:lineRule="exact"/>
        <w:rPr>
          <w:rFonts w:ascii="Arial" w:cs="Arial" w:eastAsia="Arial" w:hAnsi="Arial"/>
          <w:sz w:val="18"/>
          <w:szCs w:val="18"/>
          <w:color w:val="auto"/>
        </w:rPr>
      </w:pPr>
    </w:p>
    <w:p>
      <w:pPr>
        <w:ind w:left="1640" w:hanging="535"/>
        <w:spacing w:after="0"/>
        <w:tabs>
          <w:tab w:leader="none" w:pos="1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costs or expense occasioned by condemnation that are recovered by Landlord in any condemnation award;</w:t>
      </w:r>
    </w:p>
    <w:p>
      <w:pPr>
        <w:spacing w:after="0" w:line="211" w:lineRule="exact"/>
        <w:rPr>
          <w:rFonts w:ascii="Arial" w:cs="Arial" w:eastAsia="Arial" w:hAnsi="Arial"/>
          <w:sz w:val="18"/>
          <w:szCs w:val="18"/>
          <w:color w:val="auto"/>
        </w:rPr>
      </w:pPr>
    </w:p>
    <w:p>
      <w:pPr>
        <w:ind w:left="1640" w:hanging="535"/>
        <w:spacing w:after="0"/>
        <w:tabs>
          <w:tab w:leader="none" w:pos="1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costs reimbursed to Landlord under any warranty held by Landlord for the Building or the Project;</w:t>
      </w:r>
    </w:p>
    <w:p>
      <w:pPr>
        <w:spacing w:after="0" w:line="211" w:lineRule="exact"/>
        <w:rPr>
          <w:rFonts w:ascii="Arial" w:cs="Arial" w:eastAsia="Arial" w:hAnsi="Arial"/>
          <w:sz w:val="18"/>
          <w:szCs w:val="18"/>
          <w:color w:val="auto"/>
        </w:rPr>
      </w:pPr>
    </w:p>
    <w:p>
      <w:pPr>
        <w:ind w:left="1640" w:hanging="535"/>
        <w:spacing w:after="0"/>
        <w:tabs>
          <w:tab w:leader="none" w:pos="16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costs arising from the gross negligence or willful misconduct of Landlord or its employees; and</w:t>
      </w:r>
    </w:p>
    <w:p>
      <w:pPr>
        <w:spacing w:after="0" w:line="211" w:lineRule="exact"/>
        <w:rPr>
          <w:rFonts w:ascii="Arial" w:cs="Arial" w:eastAsia="Arial" w:hAnsi="Arial"/>
          <w:sz w:val="18"/>
          <w:szCs w:val="18"/>
          <w:color w:val="auto"/>
        </w:rPr>
      </w:pPr>
    </w:p>
    <w:p>
      <w:pPr>
        <w:ind w:left="360" w:firstLine="745"/>
        <w:spacing w:after="0" w:line="271" w:lineRule="auto"/>
        <w:tabs>
          <w:tab w:leader="none" w:pos="16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any cost incurred to remove, test, or remediate the presence of Hazardous Materials (as defined in </w:t>
      </w:r>
      <w:r>
        <w:rPr>
          <w:rFonts w:ascii="Arial" w:cs="Arial" w:eastAsia="Arial" w:hAnsi="Arial"/>
          <w:sz w:val="18"/>
          <w:szCs w:val="18"/>
          <w:u w:val="single" w:color="auto"/>
          <w:color w:val="auto"/>
        </w:rPr>
        <w:t>Section 30</w:t>
      </w:r>
      <w:r>
        <w:rPr>
          <w:rFonts w:ascii="Arial" w:cs="Arial" w:eastAsia="Arial" w:hAnsi="Arial"/>
          <w:sz w:val="18"/>
          <w:szCs w:val="18"/>
          <w:color w:val="auto"/>
        </w:rPr>
        <w:t>) in, on or about the Building or the Project for which Tenant is not responsible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1262380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109220</wp:posOffset>
            </wp:positionV>
            <wp:extent cx="2425700" cy="41148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2">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sectPr>
      </w:pPr>
    </w:p>
    <w:bookmarkStart w:id="336" w:name="page337"/>
    <w:bookmarkEnd w:id="336"/>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9</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Share of Operating Expenses</w:t>
      </w:r>
      <w:r>
        <w:rPr>
          <w:rFonts w:ascii="Arial" w:cs="Arial" w:eastAsia="Arial" w:hAnsi="Arial"/>
          <w:sz w:val="18"/>
          <w:szCs w:val="18"/>
          <w:color w:val="auto"/>
        </w:rPr>
        <w:t>” shall be the percentage set forth on the first page of this Lease as Tenant’s Share of Operating Expenses as reasonably adjusted by Landlord from time to time following changes to or remeasurement of the Premises, the Building or other buildings within the Project occurring from time to time. Any such remeasurement of a building within the Project shall be performed by Landlord in accordance with the Standard Method for Measuring Floor Area in Office Buildings as adopted by the Building Owners and Managers Association International (ANSI/BOMA Z65.1-2017), as customarily modified by Landlord for laboratory properties in the Cambridge/Watertown market, which includes, for the avoidance of doubt, a portion of the floor area for the Acid Neutralization System (as defined below) within the rentable square footage of the Premises (“</w:t>
      </w:r>
      <w:r>
        <w:rPr>
          <w:rFonts w:ascii="Arial" w:cs="Arial" w:eastAsia="Arial" w:hAnsi="Arial"/>
          <w:sz w:val="18"/>
          <w:szCs w:val="18"/>
          <w:b w:val="1"/>
          <w:bCs w:val="1"/>
          <w:color w:val="auto"/>
        </w:rPr>
        <w:t>BOMA Modified</w:t>
      </w:r>
      <w:r>
        <w:rPr>
          <w:rFonts w:ascii="Arial" w:cs="Arial" w:eastAsia="Arial" w:hAnsi="Arial"/>
          <w:sz w:val="18"/>
          <w:szCs w:val="18"/>
          <w:color w:val="auto"/>
        </w:rPr>
        <w:t>”). Landlord may equitably increase Tenant’s Share of Operating Expenses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80"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Within 90 days after the end of each calendar year (or such longer period as may be reasonably required), Landlord shall furnish to Tenant a statement (an “</w:t>
      </w:r>
      <w:r>
        <w:rPr>
          <w:rFonts w:ascii="Arial" w:cs="Arial" w:eastAsia="Arial" w:hAnsi="Arial"/>
          <w:sz w:val="18"/>
          <w:szCs w:val="18"/>
          <w:b w:val="1"/>
          <w:bCs w:val="1"/>
          <w:color w:val="auto"/>
        </w:rPr>
        <w:t>Annual Statement</w:t>
      </w:r>
      <w:r>
        <w:rPr>
          <w:rFonts w:ascii="Arial" w:cs="Arial" w:eastAsia="Arial" w:hAnsi="Arial"/>
          <w:sz w:val="18"/>
          <w:szCs w:val="18"/>
          <w:color w:val="auto"/>
        </w:rPr>
        <w:t>”) showing in reasonable detail: (a) the total of actual Operating Expenses and resulting Tenant’s Share of Operating Expenses for the previous calendar year, and (b) the total of Tenant’s payments in respect of Operating Expenses for such year. If the actual Tenant’s Share of Operating Expenses for such year exceeds Tenant’s payments of Operating Expenses for such year, the excess shall be due and payable by Tenant to Landlord as Rent within 30 days after delivery of such Annual Statement to Tenant. If, however, Tenant’s payments of Operating Expenses for such year exceed the actual Tenant’s Share of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to Landlord. Landlord’s and Tenant’s obligations to pay any overpayments or deficiencies due pursuant to this paragraph shall survive the expiration or earlier termination of this Lease. The Annual Statement shall be final and binding upon Tenant unless Tenant, within 90 days after Tenant’s receipt thereof, shall contest any item therein by giving written notice to Landlord, specifying each item contested and the reason therefor. If, during such 90-day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about the accuracy of such statement (the “</w:t>
      </w:r>
      <w:r>
        <w:rPr>
          <w:rFonts w:ascii="Arial" w:cs="Arial" w:eastAsia="Arial" w:hAnsi="Arial"/>
          <w:sz w:val="18"/>
          <w:szCs w:val="18"/>
          <w:b w:val="1"/>
          <w:bCs w:val="1"/>
          <w:color w:val="auto"/>
        </w:rPr>
        <w:t>Expense Information</w:t>
      </w:r>
      <w:r>
        <w:rPr>
          <w:rFonts w:ascii="Arial" w:cs="Arial" w:eastAsia="Arial" w:hAnsi="Arial"/>
          <w:sz w:val="18"/>
          <w:szCs w:val="18"/>
          <w:color w:val="auto"/>
        </w:rPr>
        <w:t xml:space="preserve">”). If after Tenant’s review of such Expense Information, Landlord and Tenant cannot agree upon the amount of Tenant’s Share of Operating Expenses, then Tenant shall have the right to have a nationally or regionally recognized independent public accounting firm, selected by Tenant, working pursuant to a fee arrangement other than a contingent fee (at Tenant’s sole cost and expense) and approved by Landlord (which approval shall not be unreasonably withheld or delayed) (the </w:t>
      </w:r>
      <w:r>
        <w:rPr>
          <w:rFonts w:ascii="Arial" w:cs="Arial" w:eastAsia="Arial" w:hAnsi="Arial"/>
          <w:sz w:val="18"/>
          <w:szCs w:val="18"/>
          <w:b w:val="1"/>
          <w:bCs w:val="1"/>
          <w:color w:val="auto"/>
        </w:rPr>
        <w:t>“Independent Accountant”</w:t>
      </w:r>
      <w:r>
        <w:rPr>
          <w:rFonts w:ascii="Arial" w:cs="Arial" w:eastAsia="Arial" w:hAnsi="Arial"/>
          <w:sz w:val="18"/>
          <w:szCs w:val="18"/>
          <w:color w:val="auto"/>
        </w:rPr>
        <w:t>), audit and/or review (the “</w:t>
      </w:r>
      <w:r>
        <w:rPr>
          <w:rFonts w:ascii="Arial" w:cs="Arial" w:eastAsia="Arial" w:hAnsi="Arial"/>
          <w:sz w:val="18"/>
          <w:szCs w:val="18"/>
          <w:b w:val="1"/>
          <w:bCs w:val="1"/>
          <w:color w:val="auto"/>
        </w:rPr>
        <w:t>Independent Review</w:t>
      </w:r>
      <w:r>
        <w:rPr>
          <w:rFonts w:ascii="Arial" w:cs="Arial" w:eastAsia="Arial" w:hAnsi="Arial"/>
          <w:sz w:val="18"/>
          <w:szCs w:val="18"/>
          <w:color w:val="auto"/>
        </w:rPr>
        <w:t>”) of the Expense Information for the year in question.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to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Project is not at least 95% occupied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129540</wp:posOffset>
            </wp:positionV>
            <wp:extent cx="2425700" cy="41148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7" w:name="page338"/>
    <w:bookmarkEnd w:id="337"/>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10</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average during any year of the Term, any component of Operating Expenses that varies based upon occupancy for such year shall be computed as though the Project had been 95% occupied on average during such year. Following the date that is 24 months after Landlord’s delivery of an Annual Statement to Tenant, Tenant shall not be responsible for the payment of items of Operating Expenses not reflected in such Annual Statement, except for Taxes and Utilities for which Tenant is responsible under this Lease.</w:t>
      </w:r>
    </w:p>
    <w:p>
      <w:pPr>
        <w:spacing w:after="0" w:line="174" w:lineRule="exact"/>
        <w:rPr>
          <w:sz w:val="20"/>
          <w:szCs w:val="20"/>
          <w:color w:val="auto"/>
        </w:rPr>
      </w:pPr>
    </w:p>
    <w:p>
      <w:pPr>
        <w:jc w:val="both"/>
        <w:ind w:firstLine="757"/>
        <w:spacing w:after="0"/>
        <w:tabs>
          <w:tab w:leader="none" w:pos="1018"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Tenant shall deposit with Landlord, upon delivery of an executed copy of this Lease to Landlord, a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(the “</w:t>
      </w:r>
      <w:r>
        <w:rPr>
          <w:rFonts w:ascii="Arial" w:cs="Arial" w:eastAsia="Arial" w:hAnsi="Arial"/>
          <w:sz w:val="18"/>
          <w:szCs w:val="18"/>
          <w:b w:val="1"/>
          <w:bCs w:val="1"/>
          <w:color w:val="auto"/>
        </w:rPr>
        <w:t>Security Deposit</w:t>
      </w:r>
      <w:r>
        <w:rPr>
          <w:rFonts w:ascii="Arial" w:cs="Arial" w:eastAsia="Arial" w:hAnsi="Arial"/>
          <w:sz w:val="18"/>
          <w:szCs w:val="18"/>
          <w:color w:val="auto"/>
        </w:rPr>
        <w:t>”) for the performance of all of Tenant’s obligations hereunder in the amount set forth on page 2 of this Lease, which Security Deposit shall be in the form of an unconditional and irrevocable letter of credit (the “</w:t>
      </w:r>
      <w:r>
        <w:rPr>
          <w:rFonts w:ascii="Arial" w:cs="Arial" w:eastAsia="Arial" w:hAnsi="Arial"/>
          <w:sz w:val="18"/>
          <w:szCs w:val="18"/>
          <w:b w:val="1"/>
          <w:bCs w:val="1"/>
          <w:color w:val="auto"/>
        </w:rPr>
        <w:t>Letter of Credit</w:t>
      </w:r>
      <w:r>
        <w:rPr>
          <w:rFonts w:ascii="Arial" w:cs="Arial" w:eastAsia="Arial" w:hAnsi="Arial"/>
          <w:sz w:val="18"/>
          <w:szCs w:val="18"/>
          <w:color w:val="auto"/>
        </w:rPr>
        <w:t>”): (i) in form and substance satisfactory to Landlord, (ii) naming Landlord as beneficiary, (iii) expressly allowing Landlord to draw upon it at any time from time to time by delivering to the issuer notice that Landlord is entitled to draw thereunder, (iv) issued by an FDIC-insured financial institution satisfactory to Landlord (Landlord acknowledging that Silicon Valley Bank is an approved issuer), and (v) redeemable by presentation of a sight draft in the Commonwealth of Massachusetts, by overnight delivery or by facsimile.</w:t>
      </w:r>
    </w:p>
    <w:p>
      <w:pPr>
        <w:spacing w:after="0" w:line="185"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If Tenant does not provide Landlord with a substitute or extended Letter of Credit complying with all of the requirements hereof at least 10 business days before the stated expiration date of any then current Letter of Credit, Landlord shall have the right to draw the full amount of the current Letter of Credit and hold the funds drawn in cash without obligation for interest thereon as the Security Deposit. Any cash proceeds of the Letter of Credit following a draw by the Landlord (the “</w:t>
      </w:r>
      <w:r>
        <w:rPr>
          <w:rFonts w:ascii="Arial" w:cs="Arial" w:eastAsia="Arial" w:hAnsi="Arial"/>
          <w:sz w:val="18"/>
          <w:szCs w:val="18"/>
          <w:b w:val="1"/>
          <w:bCs w:val="1"/>
          <w:color w:val="auto"/>
        </w:rPr>
        <w:t>Cash Proceeds</w:t>
      </w:r>
      <w:r>
        <w:rPr>
          <w:rFonts w:ascii="Arial" w:cs="Arial" w:eastAsia="Arial" w:hAnsi="Arial"/>
          <w:sz w:val="18"/>
          <w:szCs w:val="18"/>
          <w:color w:val="auto"/>
        </w:rPr>
        <w:t>”) are property of the Landlord, and Tenant shall have no right in the Security Deposit or the Letter of Credit other than the right to a return of the Letter of Credit when both this Lease has terminated and Tenant’s obligations under this Lease have been completely fulfilled as set forth herein.</w:t>
      </w:r>
    </w:p>
    <w:p>
      <w:pPr>
        <w:spacing w:after="0" w:line="179" w:lineRule="exact"/>
        <w:rPr>
          <w:sz w:val="20"/>
          <w:szCs w:val="20"/>
          <w:color w:val="auto"/>
        </w:rPr>
      </w:pPr>
    </w:p>
    <w:p>
      <w:pPr>
        <w:jc w:val="both"/>
        <w:ind w:firstLine="400"/>
        <w:spacing w:after="0" w:line="236" w:lineRule="auto"/>
        <w:rPr>
          <w:sz w:val="20"/>
          <w:szCs w:val="20"/>
          <w:color w:val="auto"/>
        </w:rPr>
      </w:pPr>
      <w:r>
        <w:rPr>
          <w:rFonts w:ascii="Arial" w:cs="Arial" w:eastAsia="Arial" w:hAnsi="Arial"/>
          <w:sz w:val="18"/>
          <w:szCs w:val="18"/>
          <w:color w:val="auto"/>
        </w:rPr>
        <w:t xml:space="preserve">The Security Deposit and the Letter of Credit and Cash Proceeds shall be held by Landlord without obligation for interest thereon as security for the performance of all of Tenant’s obligations under this Lease. The Security Deposit and the Letter of Credit and the Cash Proceeds are not an advance rental deposit or a measure of Landlord’s damages in case of Tenant’s default. Upon each occurrence of Default (as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Landlord may use and apply all or part of the Security Deposit and the Letter of Credit and the Cash Proceeds, without notice to or any action by Tenant or any other person or entity, to pay delinquent payments due under this Lease, and the cost of any damage, injury, expense or liability caused by such Default, without prejudice to any other remedy provided herein or provided by law. Upon such use or application, Tenant shall have no right whatsoever to any amount so used or applied. Landlord's right to use and apply the Security Deposit and the Letter of Credit and the Cash Proceeds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includes the right to use and apply the Security Deposit and the Letter of Credit and the Cash Proceeds to pay future rent damages following the termination of this Lease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below. Upon any use or application of all or any portion of the Security Deposit and the Letter of Credit or the Cash Proceeds permitted under this Lease, Tenant shall, within 5 business days following Landlord’s written demand, pay Landlord the amount, or provide Landlord a replacement Letter of Credit meeting the foregoing criteria, that will restore the Security Deposit to its original amount. Upon bankruptcy or other debtor-creditor proceedings against Tenant, the Security Deposit and the Letter of Credit and the Cash Proceeds shall be deemed to be applied first to the obligations of Tenant arising for periods prior to the filing of such proceedings.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The Security Deposit and the Letter of Credit and the Cash Proceeds, after deducting therefrom all amounts to which Landlord has used or applied in accordance with this Lease, or to which Landlord is entitled under the provisions of this Lease, shall be returned to Tenant (or, at Landlord’s option, to the last assignee of Tenant’s interest hereunder) within 90 days after the expiration or earlier termination of this Lease. For the avoidance of doubt, no portion of the Security Deposit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1287780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134620</wp:posOffset>
            </wp:positionV>
            <wp:extent cx="2425700" cy="41148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6">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8" w:name="page339"/>
    <w:bookmarkEnd w:id="338"/>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11</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Letter of Credit and the Cash Proceeds shall be returned to Tenant until both this Lease has terminated and Tenant’s obligations under this Lease have been completely fulfilled as set forth herein.</w:t>
      </w:r>
    </w:p>
    <w:p>
      <w:pPr>
        <w:spacing w:after="0" w:line="15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 xml:space="preserve">If Landlord transfers its interest in the Project or this Lease, Landlord shall either, at Landlord’s election in its sole discretion and expense (other than any transfer or processing fees, which shall be paid by Tenant), (a) transfer any Security Deposit and the Letter of Credit and the Cash Proceeds then held by Landlord to a person or entity assuming Landlord’s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after deducting therefrom all amounts to which Landlord has used or applied in accordance with this Lease, or to which Landlord is entitled under the provisions of this Lease, or (b) return to Tenant any Security Deposit and the Letter of Credit and the Cash Proceeds then held by Landlord and remaining after the deductions permitted herein. Upon such transfer to such transferee or the return of the Security Deposit and the Letter of Credit and the Cash Proceeds to Tenant, Landlord shall have no further obligation with respect to the Security Deposit and the Letter of Credit and the Cash Proceeds, and, in the event of a transfer, Tenant’s right to the return of the Security Deposit and the Letter of Credit and the Cash Proceeds shall apply solely against Landlord’s transferee.</w:t>
      </w:r>
    </w:p>
    <w:p>
      <w:pPr>
        <w:spacing w:after="0" w:line="189"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18"/>
          <w:szCs w:val="18"/>
          <w:color w:val="auto"/>
        </w:rPr>
        <w:t>On the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anniversary of the Base Rent Commencement Date (the “</w:t>
      </w:r>
      <w:r>
        <w:rPr>
          <w:rFonts w:ascii="Arial" w:cs="Arial" w:eastAsia="Arial" w:hAnsi="Arial"/>
          <w:sz w:val="18"/>
          <w:szCs w:val="18"/>
          <w:b w:val="1"/>
          <w:bCs w:val="1"/>
          <w:color w:val="auto"/>
        </w:rPr>
        <w:t>Reduction Date</w:t>
      </w:r>
      <w:r>
        <w:rPr>
          <w:rFonts w:ascii="Arial" w:cs="Arial" w:eastAsia="Arial" w:hAnsi="Arial"/>
          <w:sz w:val="18"/>
          <w:szCs w:val="18"/>
          <w:color w:val="auto"/>
        </w:rPr>
        <w:t>”), provided (i) this Lease shall be in full force and effect, (ii) Tenant is not in Default or monetary default under this Lease and (iii) no more than two Defaults have occurred since the date of this Lease, the Security Deposit shall be reduced to an amount equal to $3,018,720 (the "</w:t>
      </w:r>
      <w:r>
        <w:rPr>
          <w:rFonts w:ascii="Arial" w:cs="Arial" w:eastAsia="Arial" w:hAnsi="Arial"/>
          <w:sz w:val="18"/>
          <w:szCs w:val="18"/>
          <w:b w:val="1"/>
          <w:bCs w:val="1"/>
          <w:color w:val="auto"/>
        </w:rPr>
        <w:t>Reduced Security Deposit</w:t>
      </w:r>
      <w:r>
        <w:rPr>
          <w:rFonts w:ascii="Arial" w:cs="Arial" w:eastAsia="Arial" w:hAnsi="Arial"/>
          <w:sz w:val="18"/>
          <w:szCs w:val="18"/>
          <w:color w:val="auto"/>
        </w:rPr>
        <w:t xml:space="preserve">"). Subject to the foregoing conditions, on the Reduction Date, if Tenant provides Landlord with a replacement Letter of Credit in the amount of the Reduced Security Deposit and otherwise in accordance with the requirements of this </w:t>
      </w:r>
      <w:r>
        <w:rPr>
          <w:rFonts w:ascii="Arial" w:cs="Arial" w:eastAsia="Arial" w:hAnsi="Arial"/>
          <w:sz w:val="18"/>
          <w:szCs w:val="18"/>
          <w:u w:val="single" w:color="auto"/>
          <w:color w:val="auto"/>
        </w:rPr>
        <w:t>Section 6</w:t>
      </w:r>
      <w:r>
        <w:rPr>
          <w:rFonts w:ascii="Arial" w:cs="Arial" w:eastAsia="Arial" w:hAnsi="Arial"/>
          <w:sz w:val="18"/>
          <w:szCs w:val="18"/>
          <w:color w:val="auto"/>
        </w:rPr>
        <w:t>, then Landlord shall return the original Letter of Credit then held by Landlord to Tenant promptly after Landlord’s receipt of the original replacement Letter of Credit (or reasonably cooperate to amend the existing Letter of Credit pursuant to the foregoing provisions). If Landlord returns to Tenant any portion of the Security Deposit in accordance with this Section, then from and after the date such monies are returned to Tenant, the "Security Deposit" shall be deemed to be the Reduced Security Deposit for all purposes of this Lease. In no event shall any such return be construed or deemed as an admission by Landlord that Tenant has performed all of its covenants and obligations hereunder.</w:t>
      </w:r>
    </w:p>
    <w:p>
      <w:pPr>
        <w:spacing w:after="0" w:line="181" w:lineRule="exact"/>
        <w:rPr>
          <w:sz w:val="20"/>
          <w:szCs w:val="20"/>
          <w:color w:val="auto"/>
        </w:rPr>
      </w:pPr>
    </w:p>
    <w:p>
      <w:pPr>
        <w:jc w:val="both"/>
        <w:ind w:firstLine="757"/>
        <w:spacing w:after="0" w:line="237" w:lineRule="auto"/>
        <w:tabs>
          <w:tab w:leader="none" w:pos="1018"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Use</w:t>
      </w:r>
      <w:r>
        <w:rPr>
          <w:rFonts w:ascii="Arial" w:cs="Arial" w:eastAsia="Arial" w:hAnsi="Arial"/>
          <w:sz w:val="18"/>
          <w:szCs w:val="18"/>
          <w:color w:val="auto"/>
        </w:rPr>
        <w:t>. The Premises shall be used solely for the Permitted Use set forth in the basic lease provisions on page 2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and in compliance with all laws, orders, judgments, ordinances, regulations, codes, directives, permits, licenses, covenants, requirements and restrictions now or hereafter applicable to the Premises, and to the use and occupancy thereof (collectively, “</w:t>
      </w:r>
      <w:r>
        <w:rPr>
          <w:rFonts w:ascii="Arial" w:cs="Arial" w:eastAsia="Arial" w:hAnsi="Arial"/>
          <w:sz w:val="18"/>
          <w:szCs w:val="18"/>
          <w:b w:val="1"/>
          <w:bCs w:val="1"/>
          <w:color w:val="auto"/>
        </w:rPr>
        <w:t>Legal Requirements</w:t>
      </w:r>
      <w:r>
        <w:rPr>
          <w:rFonts w:ascii="Arial" w:cs="Arial" w:eastAsia="Arial" w:hAnsi="Arial"/>
          <w:sz w:val="18"/>
          <w:szCs w:val="18"/>
          <w:color w:val="auto"/>
        </w:rPr>
        <w:t>” and each, a “</w:t>
      </w:r>
      <w:r>
        <w:rPr>
          <w:rFonts w:ascii="Arial" w:cs="Arial" w:eastAsia="Arial" w:hAnsi="Arial"/>
          <w:sz w:val="18"/>
          <w:szCs w:val="18"/>
          <w:b w:val="1"/>
          <w:bCs w:val="1"/>
          <w:color w:val="auto"/>
        </w:rPr>
        <w:t>Legal Requirement</w:t>
      </w:r>
      <w:r>
        <w:rPr>
          <w:rFonts w:ascii="Arial" w:cs="Arial" w:eastAsia="Arial" w:hAnsi="Arial"/>
          <w:sz w:val="18"/>
          <w:szCs w:val="18"/>
          <w:color w:val="auto"/>
        </w:rPr>
        <w:t xml:space="preserve">”), including, without limitation, (i) the Americans With Disabilities Act, 42 U.S.C. § 12101,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(together with the regulations promulgated pursuant thereto, “</w:t>
      </w:r>
      <w:r>
        <w:rPr>
          <w:rFonts w:ascii="Arial" w:cs="Arial" w:eastAsia="Arial" w:hAnsi="Arial"/>
          <w:sz w:val="18"/>
          <w:szCs w:val="18"/>
          <w:b w:val="1"/>
          <w:bCs w:val="1"/>
          <w:color w:val="auto"/>
        </w:rPr>
        <w:t>ADA</w:t>
      </w:r>
      <w:r>
        <w:rPr>
          <w:rFonts w:ascii="Arial" w:cs="Arial" w:eastAsia="Arial" w:hAnsi="Arial"/>
          <w:sz w:val="18"/>
          <w:szCs w:val="18"/>
          <w:color w:val="auto"/>
        </w:rPr>
        <w:t xml:space="preserve">”), and (ii) all restrictions, requirements and provisions set forth in the record documents identified in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and/or imposed by Governmental Authorities (as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 having jurisdiction, including, without limitation, those related to the historical significance of, and historical activity on, the Project. Tenant shall, upon 5 days’ written notice from Landlord, discontinue any use of the Premises which is declared by any Governmental Authority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within 10 days following written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1279525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126365</wp:posOffset>
            </wp:positionV>
            <wp:extent cx="2425700" cy="41148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8">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9" w:name="page340"/>
    <w:bookmarkEnd w:id="339"/>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12</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machinery or equipment weighing 500 pounds or more in or upon the Premises or transport or move such items through the Common Areas of the Project or in the Project elevators without the prior written consent of Landlord, and then in accordance with Landlord’s reasonable rules and regulations therefor.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of Operating Expenses as usually furnished for the Permitted Use.</w:t>
      </w:r>
    </w:p>
    <w:p>
      <w:pPr>
        <w:spacing w:after="0" w:line="17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Landlord shall, as an Operating Expense (except the same shall be at Tenant’s expense to the extent such Legal Requirement is applicable by reason of Tenant’s particular use of the Premises (as opposed to office and lab use generally)), make any alterations or modifications to the Common Areas or the exterior of the Building that are required by Legal Requirements, including the ADA, to the extent such Legal Requirements are enacted subsequent to the date of this Lease (provided Landlord shall not be in default for failing to do so if such non-compliance does not have a material adverse effect on Tenant). Tenant, at Tenant’s sole cost and expense, shall make any alterations or modifications to the Premises (in a manner approved by Landlord) that are required by Legal Requirements (including, without limitation, compliance of the Premises with the ADA). Notwithstanding any other provision herein to the contrary, Tenant shall be responsible for any and all Claims arising out of or in connection with Legal Requirements to the extent arising from or related to Tenant’s use or occupancy of the Premises or Tenant’s Alterations, and Tenant shall indemnify, defend, hold and save Landlord and the Landlord Indemnified Parties (as defined below) harmless from and against any and all claims arising out of or in connection with the failure of the Premises to comply with any Legal Requirements to the extent arising out of Tenant’s use or occupancy of the Premises, the Tenant Improvements, or the Tenant’s Alterations.</w:t>
      </w:r>
    </w:p>
    <w:p>
      <w:pPr>
        <w:spacing w:after="0" w:line="18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Tenant acknowledges that Landlord may, but shall not be obligated to, seek to obtain Leadership in Energy and Environmental Design (LEED), WELL Building Standard, or other similar “green” certification (“</w:t>
      </w:r>
      <w:r>
        <w:rPr>
          <w:rFonts w:ascii="Arial" w:cs="Arial" w:eastAsia="Arial" w:hAnsi="Arial"/>
          <w:sz w:val="18"/>
          <w:szCs w:val="18"/>
          <w:b w:val="1"/>
          <w:bCs w:val="1"/>
          <w:color w:val="auto"/>
        </w:rPr>
        <w:t>Green Standards</w:t>
      </w:r>
      <w:r>
        <w:rPr>
          <w:rFonts w:ascii="Arial" w:cs="Arial" w:eastAsia="Arial" w:hAnsi="Arial"/>
          <w:sz w:val="18"/>
          <w:szCs w:val="18"/>
          <w:color w:val="auto"/>
        </w:rPr>
        <w:t>”) with respect to the Project and/or the Premises, and Tenant agrees to reasonably cooperate with Landlord, and to provide such information and/or documentation as Landlord may reasonably request, in connection therewith (provided such cooperation does not materially increase Tenant’s obligations or responsibilities or Tenant’s rights pursuant to this Lease). Tenant agreeing however that such cooperation may include, Tenant complying with certain standards (i.e. to satisfy or meet the Green Standards) pertaining to the purchase of materials used in connection with any approved Alterations undertaken by Tenant in the Premises, the sharing of documentation pertaining to any such Alterations undertaken by Tenant in the Premises with Landlord, the sharing of information regarding utility consumption, the sharing of Tenant’s billing information pertaining to trash removal and recycling related to Tenant’s operations at the Project. Tenant shall have no responsibility for costs or expenses incurred by Landlord to initially obtain Green Standards, but Tenant hereby acknowledges that Landlord’s costs or expenses incurred to maintain any obtained Green Standards shall be included as part of Operating Expenses.</w:t>
      </w:r>
    </w:p>
    <w:p>
      <w:pPr>
        <w:spacing w:after="0" w:line="186" w:lineRule="exact"/>
        <w:rPr>
          <w:sz w:val="20"/>
          <w:szCs w:val="20"/>
          <w:color w:val="auto"/>
        </w:rPr>
      </w:pPr>
    </w:p>
    <w:p>
      <w:pPr>
        <w:jc w:val="both"/>
        <w:ind w:firstLine="757"/>
        <w:spacing w:after="0" w:line="237" w:lineRule="auto"/>
        <w:tabs>
          <w:tab w:leader="none" w:pos="1018" w:val="left"/>
        </w:tabs>
        <w:numPr>
          <w:ilvl w:val="1"/>
          <w:numId w:val="205"/>
        </w:numPr>
        <w:rPr>
          <w:rFonts w:ascii="Arial" w:cs="Arial" w:eastAsia="Arial" w:hAnsi="Arial"/>
          <w:sz w:val="18"/>
          <w:szCs w:val="18"/>
          <w:color w:val="auto"/>
        </w:rPr>
      </w:pPr>
      <w:r>
        <w:rPr>
          <w:rFonts w:ascii="Arial" w:cs="Arial" w:eastAsia="Arial" w:hAnsi="Arial"/>
          <w:sz w:val="18"/>
          <w:szCs w:val="18"/>
          <w:b w:val="1"/>
          <w:bCs w:val="1"/>
          <w:color w:val="auto"/>
        </w:rPr>
        <w:t>Holding Over</w:t>
      </w:r>
      <w:r>
        <w:rPr>
          <w:rFonts w:ascii="Arial" w:cs="Arial" w:eastAsia="Arial" w:hAnsi="Arial"/>
          <w:sz w:val="18"/>
          <w:szCs w:val="18"/>
          <w:color w:val="auto"/>
        </w:rPr>
        <w:t>. If, with Landlord’s express written consent, Tenant retains possession of the Premises after the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Term, (i) 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but not more than 150% of the Base Rent due for the last month of the Term, in such written consent, and (iv) all other payments shall continue under the terms of this Lease. If Tenant remains in possession of the Premises after the expiration or earlier termination of the Term without the express written consent of Landlord,</w:t>
      </w:r>
    </w:p>
    <w:p>
      <w:pPr>
        <w:spacing w:after="0" w:line="2" w:lineRule="exact"/>
        <w:rPr>
          <w:rFonts w:ascii="Arial" w:cs="Arial" w:eastAsia="Arial" w:hAnsi="Arial"/>
          <w:sz w:val="18"/>
          <w:szCs w:val="18"/>
          <w:color w:val="auto"/>
        </w:rPr>
      </w:pPr>
    </w:p>
    <w:p>
      <w:pPr>
        <w:jc w:val="both"/>
        <w:ind w:firstLine="8"/>
        <w:spacing w:after="0" w:line="242" w:lineRule="auto"/>
        <w:tabs>
          <w:tab w:leader="none" w:pos="29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Tenant shall become a tenant at sufferance upon the terms of this Lease, including the obligation to pay 100% of all Additional Rent due under this Lease, except that the monthly Base Rent shall be equal to 150% of the Base Rent in effect during the last 30 days of the Term, and (B) Tenant shall be responsible for all damages suffered by Landlord resulting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1278890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125730</wp:posOffset>
            </wp:positionV>
            <wp:extent cx="2425700" cy="41148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0" w:name="page341"/>
    <w:bookmarkEnd w:id="340"/>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13</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from or occasioned by Tenant’s holding over, including consequential damages; provided that, unless Landlord gave written notice to Tenant at least 30 days before the expiration of the Term that a subsequent tenant would be leasing the Premises or any part thereof and that Landlord reasonably anticipates holding over, even for less than 30 days, is reasonably likely to impact Landlord’s delivery schedule to such new tenant, Tenant shall be responsible for consequential damages only once Tenant’s holding over exceeds 30 days. No holding over by Tenant, whether with or without consent of Landlord, shall operate to extend this Lease except as otherwise expressly provided, and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85" w:lineRule="exact"/>
        <w:rPr>
          <w:sz w:val="20"/>
          <w:szCs w:val="20"/>
          <w:color w:val="auto"/>
        </w:rPr>
      </w:pPr>
    </w:p>
    <w:p>
      <w:pPr>
        <w:jc w:val="both"/>
        <w:ind w:firstLine="757"/>
        <w:spacing w:after="0" w:line="236" w:lineRule="auto"/>
        <w:tabs>
          <w:tab w:leader="none" w:pos="1018"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Except as set forth below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Landlord shall pay, as part of Operating Expenses, all taxes, levies, fees,</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assessments and governmental charges of any kind, existing as of the Commencement Date or thereafter enacted (collectively referred to as “</w:t>
      </w:r>
      <w:r>
        <w:rPr>
          <w:rFonts w:ascii="Arial" w:cs="Arial" w:eastAsia="Arial" w:hAnsi="Arial"/>
          <w:sz w:val="18"/>
          <w:szCs w:val="18"/>
          <w:b w:val="1"/>
          <w:bCs w:val="1"/>
          <w:color w:val="auto"/>
        </w:rPr>
        <w:t>Taxes</w:t>
      </w:r>
      <w:r>
        <w:rPr>
          <w:rFonts w:ascii="Arial" w:cs="Arial" w:eastAsia="Arial" w:hAnsi="Arial"/>
          <w:sz w:val="18"/>
          <w:szCs w:val="18"/>
          <w:color w:val="auto"/>
        </w:rPr>
        <w:t>”), imposed by any federal, state, regional, municipal, local or other governmental authority or agency, including, without limitation, quasi-public agencies (collectively, “</w:t>
      </w:r>
      <w:r>
        <w:rPr>
          <w:rFonts w:ascii="Arial" w:cs="Arial" w:eastAsia="Arial" w:hAnsi="Arial"/>
          <w:sz w:val="18"/>
          <w:szCs w:val="18"/>
          <w:b w:val="1"/>
          <w:bCs w:val="1"/>
          <w:color w:val="auto"/>
        </w:rPr>
        <w:t>Governmental Authority</w:t>
      </w:r>
      <w:r>
        <w:rPr>
          <w:rFonts w:ascii="Arial" w:cs="Arial" w:eastAsia="Arial" w:hAnsi="Arial"/>
          <w:sz w:val="18"/>
          <w:szCs w:val="18"/>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or any estate, inheritance, succession, gift, franchise, transfer, documentary, mortgage recording, or capital stock taxes; except to the extent the same, however denominated are imposed in substitution for or addition to any Taxes payable hereunder as a result of any change in the manner of taxation of the ownership, operation, or leasing of real estate, in which case the same shall be deemed to be included within the definition of the term “Taxes.”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within 30 days following written demand from Landlord. As of the date of this Lease, the Building is not a standalone tax parcel. Landlord shall allocate any Taxes applicable to a taxable lot among all buildings, including the Building, located on the assessors’ lot on which the Building is located in a fair and equitable manner, as determined by Landlord.</w:t>
      </w:r>
    </w:p>
    <w:p>
      <w:pPr>
        <w:spacing w:after="0" w:line="189"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t>Parking</w:t>
      </w:r>
      <w:r>
        <w:rPr>
          <w:rFonts w:ascii="Arial" w:cs="Arial" w:eastAsia="Arial" w:hAnsi="Arial"/>
          <w:sz w:val="18"/>
          <w:szCs w:val="18"/>
          <w:color w:val="auto"/>
        </w:rPr>
        <w:t>. Subject to all applicable Legal Requirements, Force Majeure, a Taking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19</w:t>
      </w:r>
      <w:r>
        <w:rPr>
          <w:rFonts w:ascii="Arial" w:cs="Arial" w:eastAsia="Arial" w:hAnsi="Arial"/>
          <w:sz w:val="18"/>
          <w:szCs w:val="18"/>
          <w:b w:val="1"/>
          <w:bCs w:val="1"/>
          <w:color w:val="auto"/>
        </w:rPr>
        <w:t xml:space="preserve"> </w:t>
      </w:r>
      <w:r>
        <w:rPr>
          <w:rFonts w:ascii="Arial" w:cs="Arial" w:eastAsia="Arial" w:hAnsi="Arial"/>
          <w:sz w:val="18"/>
          <w:szCs w:val="18"/>
          <w:color w:val="auto"/>
        </w:rPr>
        <w:t>below)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exercise by Landlord of its rights hereunder (including, without limitation Landlord’s rights set forth in </w:t>
      </w:r>
      <w:r>
        <w:rPr>
          <w:rFonts w:ascii="Arial" w:cs="Arial" w:eastAsia="Arial" w:hAnsi="Arial"/>
          <w:sz w:val="18"/>
          <w:szCs w:val="18"/>
          <w:u w:val="single" w:color="auto"/>
          <w:color w:val="auto"/>
        </w:rPr>
        <w:t>Section 45(o)</w:t>
      </w:r>
      <w:r>
        <w:rPr>
          <w:rFonts w:ascii="Arial" w:cs="Arial" w:eastAsia="Arial" w:hAnsi="Arial"/>
          <w:sz w:val="18"/>
          <w:szCs w:val="18"/>
          <w:color w:val="auto"/>
        </w:rPr>
        <w:t>), Tenant shall have the right to park, at a rate of 2.0 cars per 1,000 rentable square feet of the Premises, in those areas of the Project designated by Landlord for non-reserved parking, subject to Landlord’s rules and regulations but in any event free of charge to Tenant other than the inclusion of costs and expenses as Operating Expenses. Such parking shall be on a first-come-first-served, non-exclusive basis. Landlord shall not be responsible for enforcing Tenant’s parking rights against any third parties, including other tenants of the Project. Landlord reserves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1278890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125730</wp:posOffset>
            </wp:positionV>
            <wp:extent cx="2425700" cy="41148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2">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1" w:name="page342"/>
    <w:bookmarkEnd w:id="341"/>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14</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but not the obligation, to dictate specific locations of the Project that Tenant is permitted to use for its parking rights under this </w:t>
      </w:r>
      <w:r>
        <w:rPr>
          <w:rFonts w:ascii="Arial" w:cs="Arial" w:eastAsia="Arial" w:hAnsi="Arial"/>
          <w:sz w:val="18"/>
          <w:szCs w:val="18"/>
          <w:u w:val="single" w:color="auto"/>
          <w:color w:val="auto"/>
        </w:rPr>
        <w:t>Section 10</w:t>
      </w:r>
      <w:r>
        <w:rPr>
          <w:rFonts w:ascii="Arial" w:cs="Arial" w:eastAsia="Arial" w:hAnsi="Arial"/>
          <w:sz w:val="18"/>
          <w:szCs w:val="18"/>
          <w:color w:val="auto"/>
        </w:rPr>
        <w:t>. If, at any time during the Term, the Project is subject to a transportation demand management plan (“</w:t>
      </w:r>
      <w:r>
        <w:rPr>
          <w:rFonts w:ascii="Arial" w:cs="Arial" w:eastAsia="Arial" w:hAnsi="Arial"/>
          <w:sz w:val="18"/>
          <w:szCs w:val="18"/>
          <w:b w:val="1"/>
          <w:bCs w:val="1"/>
          <w:color w:val="auto"/>
        </w:rPr>
        <w:t>TDMP</w:t>
      </w:r>
      <w:r>
        <w:rPr>
          <w:rFonts w:ascii="Arial" w:cs="Arial" w:eastAsia="Arial" w:hAnsi="Arial"/>
          <w:sz w:val="18"/>
          <w:szCs w:val="18"/>
          <w:color w:val="auto"/>
        </w:rPr>
        <w:t>”) setting forth requirements related to the Project, Tenant (at its sole cost and expense) shall comply with such TDMP. As of the date hereof, the Project is subject to that certain Transportation Demand Management Program dated June 2021 (as amended from time to time, the “</w:t>
      </w:r>
      <w:r>
        <w:rPr>
          <w:rFonts w:ascii="Arial" w:cs="Arial" w:eastAsia="Arial" w:hAnsi="Arial"/>
          <w:sz w:val="18"/>
          <w:szCs w:val="18"/>
          <w:b w:val="1"/>
          <w:bCs w:val="1"/>
          <w:color w:val="auto"/>
        </w:rPr>
        <w:t>Existing TDMP</w:t>
      </w:r>
      <w:r>
        <w:rPr>
          <w:rFonts w:ascii="Arial" w:cs="Arial" w:eastAsia="Arial" w:hAnsi="Arial"/>
          <w:sz w:val="18"/>
          <w:szCs w:val="18"/>
          <w:color w:val="auto"/>
        </w:rPr>
        <w:t>”). Tenant shall, at Tenant’s sole cost and expense, for as long as the Existing TDMP remains applicable to the Project, comply with the Existing TDMP as applicable to the Project, including without limitation,: (i) offer a subsidized transportation benefit to all employees in accordance with the terms of the Existing TDMP; (ii) offer a subsidy to a bike share service to all employees in accordance with the terms of the Existing TDMP;</w:t>
      </w:r>
    </w:p>
    <w:p>
      <w:pPr>
        <w:spacing w:after="0" w:line="5" w:lineRule="exact"/>
        <w:rPr>
          <w:sz w:val="20"/>
          <w:szCs w:val="20"/>
          <w:color w:val="auto"/>
        </w:rPr>
      </w:pPr>
    </w:p>
    <w:p>
      <w:pPr>
        <w:jc w:val="both"/>
        <w:ind w:firstLine="8"/>
        <w:spacing w:after="0" w:line="236" w:lineRule="auto"/>
        <w:tabs>
          <w:tab w:leader="none" w:pos="31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implement a Commuter Choice Program and the MBTA’s “Perq for Work” program (formerly known as the Corporate Pass Plan); (iv) discourage single-occupant vehicle (“</w:t>
      </w:r>
      <w:r>
        <w:rPr>
          <w:rFonts w:ascii="Arial" w:cs="Arial" w:eastAsia="Arial" w:hAnsi="Arial"/>
          <w:sz w:val="18"/>
          <w:szCs w:val="18"/>
          <w:b w:val="1"/>
          <w:bCs w:val="1"/>
          <w:color w:val="auto"/>
        </w:rPr>
        <w:t>SOV</w:t>
      </w:r>
      <w:r>
        <w:rPr>
          <w:rFonts w:ascii="Arial" w:cs="Arial" w:eastAsia="Arial" w:hAnsi="Arial"/>
          <w:sz w:val="18"/>
          <w:szCs w:val="18"/>
          <w:color w:val="auto"/>
        </w:rPr>
        <w:t>”) use by its employees; (v) promote alternative modes of transportation and use of alternative work hours; (vi) at Landlord’s request, meet with Landlord and/or its representatives to discuss transportation programs and initiatives; (vii) participate in annual surveys, monitoring transportation programs and initiatives at the Project; (viii) cooperate with Landlord in connection with transportation programs and initiatives promulgated pursuant to the Existing TDMP; (ix) provide alternative work programs (such as telecommuting, flex-time and compressed work weeks) to its employees in order to reduce traffic impacts in Watertown during peak commuter hours; (x) offer an emergency ride home (“</w:t>
      </w:r>
      <w:r>
        <w:rPr>
          <w:rFonts w:ascii="Arial" w:cs="Arial" w:eastAsia="Arial" w:hAnsi="Arial"/>
          <w:sz w:val="18"/>
          <w:szCs w:val="18"/>
          <w:b w:val="1"/>
          <w:bCs w:val="1"/>
          <w:color w:val="auto"/>
        </w:rPr>
        <w:t>ERH</w:t>
      </w:r>
      <w:r>
        <w:rPr>
          <w:rFonts w:ascii="Arial" w:cs="Arial" w:eastAsia="Arial" w:hAnsi="Arial"/>
          <w:sz w:val="18"/>
          <w:szCs w:val="18"/>
          <w:color w:val="auto"/>
        </w:rPr>
        <w:t>”) through the Transportation Demand Management Coordinator and Watertown Transportation Management Association (as defined in the Existing TDMP), or have its own ERH program, for all employees who commute by non-SOV mode at least 3 days a week; and (xi) otherwise cooperate with Landlord in encouraging employees to seek alternate modes of transportation.</w:t>
      </w:r>
    </w:p>
    <w:p>
      <w:pPr>
        <w:spacing w:after="0" w:line="187" w:lineRule="exact"/>
        <w:rPr>
          <w:rFonts w:ascii="Arial" w:cs="Arial" w:eastAsia="Arial" w:hAnsi="Arial"/>
          <w:sz w:val="18"/>
          <w:szCs w:val="18"/>
          <w:color w:val="auto"/>
        </w:rPr>
      </w:pPr>
    </w:p>
    <w:p>
      <w:pPr>
        <w:ind w:left="1020" w:hanging="263"/>
        <w:spacing w:after="0"/>
        <w:tabs>
          <w:tab w:leader="none" w:pos="1020" w:val="left"/>
        </w:tabs>
        <w:numPr>
          <w:ilvl w:val="1"/>
          <w:numId w:val="208"/>
        </w:numPr>
        <w:rPr>
          <w:rFonts w:ascii="Arial" w:cs="Arial" w:eastAsia="Arial" w:hAnsi="Arial"/>
          <w:sz w:val="18"/>
          <w:szCs w:val="18"/>
          <w:color w:val="auto"/>
        </w:rPr>
      </w:pPr>
      <w:r>
        <w:rPr>
          <w:rFonts w:ascii="Arial" w:cs="Arial" w:eastAsia="Arial" w:hAnsi="Arial"/>
          <w:sz w:val="18"/>
          <w:szCs w:val="18"/>
          <w:b w:val="1"/>
          <w:bCs w:val="1"/>
          <w:color w:val="auto"/>
        </w:rPr>
        <w:t>Utilities, Services</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line="236" w:lineRule="auto"/>
        <w:tabs>
          <w:tab w:leader="none" w:pos="1018"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Utilities, Janitorial Services</w:t>
      </w:r>
      <w:r>
        <w:rPr>
          <w:rFonts w:ascii="Arial" w:cs="Arial" w:eastAsia="Arial" w:hAnsi="Arial"/>
          <w:sz w:val="18"/>
          <w:szCs w:val="18"/>
          <w:color w:val="auto"/>
        </w:rPr>
        <w:t>. Landlord shall provide, 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(i) facilities for tepid water,</w:t>
      </w:r>
      <w:r>
        <w:rPr>
          <w:rFonts w:ascii="Arial" w:cs="Arial" w:eastAsia="Arial" w:hAnsi="Arial"/>
          <w:sz w:val="18"/>
          <w:szCs w:val="18"/>
          <w:b w:val="1"/>
          <w:bCs w:val="1"/>
          <w:color w:val="auto"/>
        </w:rPr>
        <w:t xml:space="preserve"> </w:t>
      </w:r>
      <w:r>
        <w:rPr>
          <w:rFonts w:ascii="Arial" w:cs="Arial" w:eastAsia="Arial" w:hAnsi="Arial"/>
          <w:sz w:val="18"/>
          <w:szCs w:val="18"/>
          <w:color w:val="auto"/>
        </w:rPr>
        <w:t>electricity, heat, light, power, sewer, and other utilities (including natural gas and fire sprinklers to the extent the Project is plumbed for such services) (collectively, “</w:t>
      </w:r>
      <w:r>
        <w:rPr>
          <w:rFonts w:ascii="Arial" w:cs="Arial" w:eastAsia="Arial" w:hAnsi="Arial"/>
          <w:sz w:val="18"/>
          <w:szCs w:val="18"/>
          <w:b w:val="1"/>
          <w:bCs w:val="1"/>
          <w:color w:val="auto"/>
        </w:rPr>
        <w:t>Utilities</w:t>
      </w:r>
      <w:r>
        <w:rPr>
          <w:rFonts w:ascii="Arial" w:cs="Arial" w:eastAsia="Arial" w:hAnsi="Arial"/>
          <w:sz w:val="18"/>
          <w:szCs w:val="18"/>
          <w:color w:val="auto"/>
        </w:rPr>
        <w:t>”), and (ii) refuse and trash collection and janitorial services for the Common Areas and, at Landlord’s election, the Premises (collectively, “</w:t>
      </w:r>
      <w:r>
        <w:rPr>
          <w:rFonts w:ascii="Arial" w:cs="Arial" w:eastAsia="Arial" w:hAnsi="Arial"/>
          <w:sz w:val="18"/>
          <w:szCs w:val="18"/>
          <w:b w:val="1"/>
          <w:bCs w:val="1"/>
          <w:color w:val="auto"/>
        </w:rPr>
        <w:t>Janitorial Services</w:t>
      </w:r>
      <w:r>
        <w:rPr>
          <w:rFonts w:ascii="Arial" w:cs="Arial" w:eastAsia="Arial" w:hAnsi="Arial"/>
          <w:sz w:val="18"/>
          <w:szCs w:val="18"/>
          <w:color w:val="auto"/>
        </w:rPr>
        <w:t>”). The Utilities will be installed as set forth in the Work Letter. Landlord shall pay (except as otherwise expressly set forth herein), subject to Tenant’s reimbursement obligation or inclusion of such costs as Operating Expenses, for all Utilities used on the Premises, all maintenance charges for Utilities, and any storm sewer charges or other similar charges for Utilities imposed by any Governmental Authority or Utility provider, and any taxes, penalties, surcharges or similar charges thereon, as well as the cost for Janitorial Services. If any Utilities are not separately metered or check-metered as part of the Tenant Improvements, Landlord may cause such Utilities to be separately metered or check-metered at Landlord’s expense. Landlord may cause any Utilities separately metered or check-metered to be charged directly to Tenant by the provider. Tenant shall pay directly to the Utility provider, prior to delinquency, any separately metered Utilities and services which may be furnished to Tenant or the Premises during the Term. Landlord may cause, at Tenant’s expense, the Janitorial Services to be separately charged or charged directly to Tenant by the provider, in which case, Tenant shall pay directly to the Janitorial Services provider, prior to delinquency, any separately charged Janitorial Services. Tenant shall pay, as part of Operating Expenses, its share of all charges for jointly metered or check-metered Utilities based upon consumption and all charges for Janitorial Services that are not separately charged, as reasonably determined by Landlord. No interruption or failure of Utilities or Janitorial Services, from any cause whatsoever other than Landlord’s willful misconduct, shall result in eviction or constructive eviction of Tenant, termination of this Lease or the abatement of Rent. Tenant agrees to limit use of water and sewer with respect to Common Areas to normal restroom use. To the extent such services are not provided by Landlord, Tenant shall be responsible for obtaining and paying for its own janitorial services for the Premises. Utilities shall be available to the Premises 24 hours per day, 7 days per week, except in the case of emergencies, as the result of Legal Requirements, the failure of any Utility provider to provide such Utilities, the performance by Landlord or any Utility provider of any installation, maintenance or repairs, or any other temporary interruptions.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1288415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135255</wp:posOffset>
            </wp:positionV>
            <wp:extent cx="2425700" cy="41148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2" w:name="page343"/>
    <w:bookmarkEnd w:id="342"/>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15</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both"/>
        <w:ind w:firstLine="757"/>
        <w:spacing w:after="0" w:line="237" w:lineRule="auto"/>
        <w:tabs>
          <w:tab w:leader="none" w:pos="1018"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Service Interruptions</w:t>
      </w:r>
      <w:r>
        <w:rPr>
          <w:rFonts w:ascii="Arial" w:cs="Arial" w:eastAsia="Arial" w:hAnsi="Arial"/>
          <w:sz w:val="18"/>
          <w:szCs w:val="18"/>
          <w:color w:val="auto"/>
        </w:rPr>
        <w:t>. Notwithstanding anything to the contrary set forth herein, if (i) a stoppage of an Essential Service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8"/>
          <w:szCs w:val="18"/>
          <w:b w:val="1"/>
          <w:bCs w:val="1"/>
          <w:color w:val="auto"/>
        </w:rPr>
        <w:t>Service Interruption</w:t>
      </w:r>
      <w:r>
        <w:rPr>
          <w:rFonts w:ascii="Arial" w:cs="Arial" w:eastAsia="Arial" w:hAnsi="Arial"/>
          <w:sz w:val="18"/>
          <w:szCs w:val="18"/>
          <w:color w:val="auto"/>
        </w:rPr>
        <w:t>”), and (ii) such Service Interruption continues for more than 5 consecutive business days after Landlord shall have received written notice thereof from Tenant, and (iii) as a result of such Service Interruption, the conduct of Tenant’s normal operations in the Premises are materially and adversely affected, then there shall be an abatement of one day’s Base Rent for each day during which such Service Interruption continues after such 5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8"/>
          <w:szCs w:val="18"/>
          <w:b w:val="1"/>
          <w:bCs w:val="1"/>
          <w:color w:val="auto"/>
        </w:rPr>
        <w:t>Essential Services</w:t>
      </w:r>
      <w:r>
        <w:rPr>
          <w:rFonts w:ascii="Arial" w:cs="Arial" w:eastAsia="Arial" w:hAnsi="Arial"/>
          <w:sz w:val="18"/>
          <w:szCs w:val="18"/>
          <w:color w:val="auto"/>
        </w:rPr>
        <w:t>” shall mean the following services: HVAC service, water, sewer (but excluding the Acid Neutralization System), electricity, and access to the Premises, but in each case only to the extent that Landlord has an obligation to provide same to Tenant under this Lease.</w:t>
      </w:r>
    </w:p>
    <w:p>
      <w:pPr>
        <w:spacing w:after="0" w:line="187" w:lineRule="exact"/>
        <w:rPr>
          <w:rFonts w:ascii="Arial" w:cs="Arial" w:eastAsia="Arial" w:hAnsi="Arial"/>
          <w:sz w:val="18"/>
          <w:szCs w:val="18"/>
          <w:color w:val="auto"/>
        </w:rPr>
      </w:pPr>
    </w:p>
    <w:p>
      <w:pPr>
        <w:jc w:val="both"/>
        <w:ind w:firstLine="757"/>
        <w:spacing w:after="0" w:line="237" w:lineRule="auto"/>
        <w:tabs>
          <w:tab w:leader="none" w:pos="1018"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Emergency Generators</w:t>
      </w:r>
      <w:r>
        <w:rPr>
          <w:rFonts w:ascii="Arial" w:cs="Arial" w:eastAsia="Arial" w:hAnsi="Arial"/>
          <w:sz w:val="18"/>
          <w:szCs w:val="18"/>
          <w:color w:val="auto"/>
        </w:rPr>
        <w:t>. Landlord’s sole obligation for either providing emergency generators or providing emergency back-up</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Tenant shall be: (i) to provide an emergency generator designed to provide approximately 4 watts per RSF of the Premises based on customary diversity measures (Tenant acknowledging that such generator(s) may serve both Tenant and other tenants, and one or more other generators may be designated for the exclusive use of others from time to time during the Term), and (ii) to contract with a third party to maintain the emergency generators as per the manufacturer’s standard maintenance guidelines. Except as otherwise provided in the immediately preceding sentence,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acknowledges and agrees that (x) in connection with the proper verification of loads and maintenance of the emergency generators, that power will need to be transferred during routine testing, and (y) Tenant is responsible for cooperating with Landlord or Landlord’s third party contractor with respect to scheduling such routine tests and checking its own equipment loads as it operates during load transfer periods, provided Tenant’s obligation to cooperate pursuant to this subsection (y) is conditioned upon Landlord delivering reasonable advance notice to Tenant of such routine tests and checks (except in the case of emergencies in which case no such notice shall be required and such tests and other activities may be at any time; provided that notice is made as soon as practicable given the circumstances). Tenant expressly acknowledges and agrees that Landlord does not guaranty that such emergency generators will be operational at all times or that emergency power will be available to the Premises when needed.</w:t>
      </w:r>
    </w:p>
    <w:p>
      <w:pPr>
        <w:spacing w:after="0" w:line="181" w:lineRule="exact"/>
        <w:rPr>
          <w:rFonts w:ascii="Arial" w:cs="Arial" w:eastAsia="Arial" w:hAnsi="Arial"/>
          <w:sz w:val="18"/>
          <w:szCs w:val="18"/>
          <w:color w:val="auto"/>
        </w:rPr>
      </w:pPr>
    </w:p>
    <w:p>
      <w:pPr>
        <w:jc w:val="both"/>
        <w:ind w:firstLine="757"/>
        <w:spacing w:after="0" w:line="244" w:lineRule="auto"/>
        <w:tabs>
          <w:tab w:leader="none" w:pos="1018"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Usage Data</w:t>
      </w:r>
      <w:r>
        <w:rPr>
          <w:rFonts w:ascii="Arial" w:cs="Arial" w:eastAsia="Arial" w:hAnsi="Arial"/>
          <w:sz w:val="18"/>
          <w:szCs w:val="18"/>
          <w:color w:val="auto"/>
        </w:rPr>
        <w:t>. Tenant agrees to provide Landlord with access to Tenant’s water and/or energy usage data on a monthly basis,</w:t>
      </w:r>
      <w:r>
        <w:rPr>
          <w:rFonts w:ascii="Arial" w:cs="Arial" w:eastAsia="Arial" w:hAnsi="Arial"/>
          <w:sz w:val="18"/>
          <w:szCs w:val="18"/>
          <w:b w:val="1"/>
          <w:bCs w:val="1"/>
          <w:color w:val="auto"/>
        </w:rPr>
        <w:t xml:space="preserve"> </w:t>
      </w:r>
      <w:r>
        <w:rPr>
          <w:rFonts w:ascii="Arial" w:cs="Arial" w:eastAsia="Arial" w:hAnsi="Arial"/>
          <w:sz w:val="18"/>
          <w:szCs w:val="18"/>
          <w:color w:val="auto"/>
        </w:rPr>
        <w:t>either by providing Tenant’s applicable utility login credentials to Landlord’s designated online portal, or by another delivery method reasonably agreed to by Landlord and Tenant. The reasonable third-party, out-of-pocket costs and expenses incurred by Landlord in connection with receiving and analyzing such water and/or energy usage data (including, without limitation, as may be required pursuant to applicable Legal Requirements) shall be included as part of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1276985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123825</wp:posOffset>
            </wp:positionV>
            <wp:extent cx="2425700" cy="41148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6">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3" w:name="page344"/>
    <w:bookmarkEnd w:id="343"/>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16</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both"/>
        <w:ind w:firstLine="757"/>
        <w:spacing w:after="0" w:line="237" w:lineRule="auto"/>
        <w:tabs>
          <w:tab w:leader="none" w:pos="1018"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Acid Neutralization System</w:t>
      </w:r>
      <w:r>
        <w:rPr>
          <w:rFonts w:ascii="Arial" w:cs="Arial" w:eastAsia="Arial" w:hAnsi="Arial"/>
          <w:sz w:val="18"/>
          <w:szCs w:val="18"/>
          <w:color w:val="auto"/>
        </w:rPr>
        <w:t>. Landlord shall provide Tenant with access to an acid neutralization system (“</w:t>
      </w:r>
      <w:r>
        <w:rPr>
          <w:rFonts w:ascii="Arial" w:cs="Arial" w:eastAsia="Arial" w:hAnsi="Arial"/>
          <w:sz w:val="18"/>
          <w:szCs w:val="18"/>
          <w:b w:val="1"/>
          <w:bCs w:val="1"/>
          <w:color w:val="auto"/>
        </w:rPr>
        <w:t>Acid Neutralization System</w:t>
      </w:r>
      <w:r>
        <w:rPr>
          <w:rFonts w:ascii="Arial" w:cs="Arial" w:eastAsia="Arial" w:hAnsi="Arial"/>
          <w:sz w:val="18"/>
          <w:szCs w:val="18"/>
          <w:color w:val="auto"/>
        </w:rPr>
        <w:t>”) pursuant to the terms and conditions of this Lease. Tenant acknowledges and agrees that the Acid Neutralization System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shared with other tenants of the Building, if any, and/or the Project, as applicable. Tenant shall pay its share of ongoing operation costs of the Acid Neutralization System as an Operating Expense, as allocated by Landlord among Tenant and other user tenants, if any, on a pro rata basis, with Tenant’s share based on the ratio of the rentable square footage of the Premises to the sum of the rentable square footages of the Premises and the premises of all other user tenants, if any. Landlord’s sole obligations for providing the Acid Neutralization System, or any acid neutralization system facilities, to Tenant shall be (the “</w:t>
      </w:r>
      <w:r>
        <w:rPr>
          <w:rFonts w:ascii="Arial" w:cs="Arial" w:eastAsia="Arial" w:hAnsi="Arial"/>
          <w:sz w:val="18"/>
          <w:szCs w:val="18"/>
          <w:b w:val="1"/>
          <w:bCs w:val="1"/>
          <w:color w:val="auto"/>
        </w:rPr>
        <w:t>Acid Neutralization Obligations</w:t>
      </w:r>
      <w:r>
        <w:rPr>
          <w:rFonts w:ascii="Arial" w:cs="Arial" w:eastAsia="Arial" w:hAnsi="Arial"/>
          <w:sz w:val="18"/>
          <w:szCs w:val="18"/>
          <w:color w:val="auto"/>
        </w:rPr>
        <w:t>”) to (i) use reasonable efforts to obtain and maintain the permit required from the Massachusetts Water Resources Authority for discharge through the Acid Neutralization System (the “</w:t>
      </w:r>
      <w:r>
        <w:rPr>
          <w:rFonts w:ascii="Arial" w:cs="Arial" w:eastAsia="Arial" w:hAnsi="Arial"/>
          <w:sz w:val="18"/>
          <w:szCs w:val="18"/>
          <w:b w:val="1"/>
          <w:bCs w:val="1"/>
          <w:color w:val="auto"/>
        </w:rPr>
        <w:t>Discharge Permit</w:t>
      </w:r>
      <w:r>
        <w:rPr>
          <w:rFonts w:ascii="Arial" w:cs="Arial" w:eastAsia="Arial" w:hAnsi="Arial"/>
          <w:sz w:val="18"/>
          <w:szCs w:val="18"/>
          <w:color w:val="auto"/>
        </w:rPr>
        <w:t>”), provided that Tenant cooperates with Landlord and provides all information and documents necessary in connection with the Discharge Permit; and (ii) contract with a third party to maintain the Acid Neutralization System as operating as per the manufacturer’s standard maintenance guidelines. Notwithstanding anything herein to the contrary, if the Acid Neutralization System must be replaced and the cost thereof is not included in such third party maintenance contract, then, Landlord shall replace the Acid Neutralization System, it being acknowledged, however, that Tenant shall be responsible for its share of all costs incurred in connection therewith as an Operating Expense.</w:t>
      </w:r>
    </w:p>
    <w:p>
      <w:pPr>
        <w:spacing w:after="0" w:line="189" w:lineRule="exact"/>
        <w:rPr>
          <w:sz w:val="20"/>
          <w:szCs w:val="20"/>
          <w:color w:val="auto"/>
        </w:rPr>
      </w:pPr>
    </w:p>
    <w:p>
      <w:pPr>
        <w:jc w:val="both"/>
        <w:ind w:firstLine="400"/>
        <w:spacing w:after="0" w:line="236" w:lineRule="auto"/>
        <w:rPr>
          <w:sz w:val="20"/>
          <w:szCs w:val="20"/>
          <w:color w:val="auto"/>
        </w:rPr>
      </w:pPr>
      <w:r>
        <w:rPr>
          <w:rFonts w:ascii="Arial" w:cs="Arial" w:eastAsia="Arial" w:hAnsi="Arial"/>
          <w:sz w:val="18"/>
          <w:szCs w:val="18"/>
          <w:color w:val="auto"/>
        </w:rPr>
        <w:t xml:space="preserve">Tenant shall be solely responsible for the use of the Acid Neutralization System by Tenant and all Tenant Parties or any party other than Landlord or Landlord’s contractors, and Tenant shall be jointly and severally responsible for the use of the Acid Neutralization System with the other user tenants, if any. Tenant shall use, and cause other parties under its control or for which it is responsible to use, the Acid Neutralization System in accordance with this Lease and in accordance with all applicable Legal Requirements, the Discharge Permit and any permits and approvals from Governmental Authorities for or applicable to Tenant’s use of the Acid Neutralization System. Tenant shall not take any action or make any omission that would result in a violation of the Discharge Permit or any other permit or Legal Requirements applicable to the Acid Neutralization System. The scope of the Decommissioning and HazMat Closure Plan (as defined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of this Lease) shall include all actions for the proper cleaning, decommissioning and cessation of Tenant’s use of the Acid Neutralization System, and all requirements under this Lease for the surrender of the Premises shall also apply to Tenant’s cessation of use of the Acid Neutralization System, in each case whether at Lease expiration, termination or prior thereto (but Tenant shall not be required to complete the decommissioning of the Acid Neutralization System if other tenants or occupants will continue to use the same after the expiration or earlier termination of this Lease, nor shall Tenant be responsible for or bear any costs of decommissioning arising from the use of the Acid Neutralization System by any party, if any, other than Tenant and the Tenant Parties; it being agreed that if multiple tenants use the Acid Neutralization System, then Landlord shall be responsible for completing the decommissioning thereof, and Tenant shall pay to Landlord within thirty (30) days after invoice therefor Tenant’s share of the reasonable, actual costs of decommissioning based on the ratio of the rentable square footage of the Premises to the rentable square footage of the Premises and the premises of all other user tenants, if any). The obligations of Tenant under this Lease with respect to the Acid Neutralization System shall be joint and several with such other tenants as aforesaid, except in the event that Tenant can prove to Landlord’s reasonable satisfaction that neither Tenant nor any Tenant Party caused, contributed to or exacerbated the matter for which Tenant would otherwise be responsible but for this exception. Without in any way limiting the Acid Neutralization Obligations, Landlord shall have no obligation to provide Tenant with operational emergency or back-up acid neutralization facilities or to supervise, oversee or confirm that the third party maintaining the Acid Neutralization System is maintaining such system as per the manufacturer’s standard guidelines or otherwise. During any period of replacement, repair or maintenance of the Acid Neutralization System when such system is not operational, including any delays thereto due to the inability to obtain parts or replacement equipment, Landlord shall have no obligation to provide Tenant with an alternative back-up system or facilities. Tenant expressly acknowledges and agrees that Landlord does not guaranty that such Acid Neutralization System will be operational at all times or that such system will be available to the Premises when needed. Without in any way limiting the Acid Neutralization Obligations, in no event shall Landlord be liable to Tenant or any other party for any damages of any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1284605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131445</wp:posOffset>
            </wp:positionV>
            <wp:extent cx="2425700" cy="41148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8">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4" w:name="page345"/>
    <w:bookmarkEnd w:id="344"/>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17</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whether actual or consequential, suffered by Tenant or any such other person in the event that the Acid Neutralization System or back-up system, if any, or any replacement thereof fails or does not operate in a manner that meets Tenant’s requirements.</w:t>
      </w:r>
    </w:p>
    <w:p>
      <w:pPr>
        <w:spacing w:after="0" w:line="154" w:lineRule="exact"/>
        <w:rPr>
          <w:sz w:val="20"/>
          <w:szCs w:val="20"/>
          <w:color w:val="auto"/>
        </w:rPr>
      </w:pPr>
    </w:p>
    <w:p>
      <w:pPr>
        <w:jc w:val="both"/>
        <w:ind w:firstLine="757"/>
        <w:spacing w:after="0" w:line="236" w:lineRule="auto"/>
        <w:tabs>
          <w:tab w:leader="none" w:pos="1018"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Alterations and Tenant’s Property</w:t>
      </w:r>
      <w:r>
        <w:rPr>
          <w:rFonts w:ascii="Arial" w:cs="Arial" w:eastAsia="Arial" w:hAnsi="Arial"/>
          <w:sz w:val="18"/>
          <w:szCs w:val="18"/>
          <w:color w:val="auto"/>
        </w:rPr>
        <w:t>. Any alterations, additions, or improvements made to the Premises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Tenant, 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 (“</w:t>
      </w:r>
      <w:r>
        <w:rPr>
          <w:rFonts w:ascii="Arial" w:cs="Arial" w:eastAsia="Arial" w:hAnsi="Arial"/>
          <w:sz w:val="18"/>
          <w:szCs w:val="18"/>
          <w:b w:val="1"/>
          <w:bCs w:val="1"/>
          <w:color w:val="auto"/>
        </w:rPr>
        <w:t>Alterations</w:t>
      </w:r>
      <w:r>
        <w:rPr>
          <w:rFonts w:ascii="Arial" w:cs="Arial" w:eastAsia="Arial" w:hAnsi="Arial"/>
          <w:sz w:val="18"/>
          <w:szCs w:val="18"/>
          <w:color w:val="auto"/>
        </w:rPr>
        <w:t xml:space="preserve">”) and excluding Notice-Only Alterations (as defined below )shall be subject to Landlord’s prior written consent, which may be given or withheld in Landlord’s sole discretion if any such Alteration could reasonably be expected to affect Structural Items or Building Systems but shall not otherwise be unreasonably withheld, conditioned or delayed. Notwithstanding the foregoing, Landlord shall have the right to disapprove in its sole discretion any proposed Alterations which could reasonably be expect to: (a) affect structure, Common Areas or the exterior of the Building or exterior of the Project; (b) affect Building Systems (as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 (c) affect other tenant space in the Building, if any; (d) not be in conformance with any special permits or other Project entitlements; or (e) reduce or enlarge the square footage of the Building. If Landlord approves any Alterations, Landlord may impose such conditions on Tenant in connection with the commencement, performance and completion of such Alterations as Landlord may deem appropriate in Landlord’s sole and absolute discretion. Any request for approval shall be in writing, delivered not less than 15 business days in advance of any proposed work, and accompanied by plans, specifications, bid proposals, work contracts and such other information concerning the nature and cost of the alterations as may be reasonably requested by Landlord, including the identities and mailing addresses of all contractors, subcontractors, or others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applicable Legal Requirements and shall implement at its sole cost and expense any alteration or modification required by applicable Legal Requirements as a result of any Alterations. Tenant shall pay to Landlord, as Additional Rent, within 30 days following written demand, an amount equal to (a) 5% of all charges incurred by Tenant or its contractors or agents in connection with any Alteration to cover Landlord’s overhead and expenses for plan review, coordination, scheduling and supervision, and (b) the reasonable out-of-pocket costs incurred by Landlord with respect to each Alteration.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 “</w:t>
      </w:r>
      <w:r>
        <w:rPr>
          <w:rFonts w:ascii="Arial" w:cs="Arial" w:eastAsia="Arial" w:hAnsi="Arial"/>
          <w:sz w:val="18"/>
          <w:szCs w:val="18"/>
          <w:b w:val="1"/>
          <w:bCs w:val="1"/>
          <w:color w:val="auto"/>
        </w:rPr>
        <w:t>Notice Only Alterations</w:t>
      </w:r>
      <w:r>
        <w:rPr>
          <w:rFonts w:ascii="Arial" w:cs="Arial" w:eastAsia="Arial" w:hAnsi="Arial"/>
          <w:sz w:val="18"/>
          <w:szCs w:val="18"/>
          <w:color w:val="auto"/>
        </w:rPr>
        <w:t>” means non-structural Alterations in Premises (which could not reasonably be excepted to affect Structural Items or Building Systems) that do not exceed $250,000 in the aggregate over any 12-month period;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15 days in advance of any proposed work.</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Tenant shall make arrangements satisfactory to Landlord (which may include furnishing security if the cost of the Alterations will exceed $200,000 for any one project or series of related projects) to assure payment for the completion of all Alterations work free and clear of liens, and shall provide (and cause each contractor or subcontractor to provide) certificates of insurance for workers’ compensation and other coverage, including commercial general liability insurance, in amounts and from an insurance company satisfactory to Landlord to protect Landlord against liability for personal injury or property damage during construction and shall include Landlord as an additional insured thereunder. Upon completion of any Alterations, Tenant shall deliver or cause to be delivered to Landlord: (i) sworn statements setting forth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1282065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129540</wp:posOffset>
            </wp:positionV>
            <wp:extent cx="2425700" cy="41148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5" w:name="page346"/>
    <w:bookmarkEnd w:id="345"/>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18</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names of all contractors and subcontractors who did the work and final lien waivers from all such contractors and subcontractors; and (ii) “as built” plans for any such Alteration.</w:t>
      </w:r>
    </w:p>
    <w:p>
      <w:pPr>
        <w:spacing w:after="0" w:line="15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of its approval of any such Installation is requested,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pacing w:after="0" w:line="189" w:lineRule="exact"/>
        <w:rPr>
          <w:sz w:val="20"/>
          <w:szCs w:val="20"/>
          <w:color w:val="auto"/>
        </w:rPr>
      </w:pPr>
    </w:p>
    <w:p>
      <w:pPr>
        <w:jc w:val="both"/>
        <w:ind w:firstLine="400"/>
        <w:spacing w:after="0" w:line="239" w:lineRule="auto"/>
        <w:rPr>
          <w:sz w:val="20"/>
          <w:szCs w:val="20"/>
          <w:color w:val="auto"/>
        </w:rPr>
      </w:pPr>
      <w:r>
        <w:rPr>
          <w:rFonts w:ascii="Arial" w:cs="Arial" w:eastAsia="Arial" w:hAnsi="Arial"/>
          <w:sz w:val="18"/>
          <w:szCs w:val="18"/>
          <w:color w:val="auto"/>
        </w:rPr>
        <w:t>For purposes of this Lease, (x) “</w:t>
      </w:r>
      <w:r>
        <w:rPr>
          <w:rFonts w:ascii="Arial" w:cs="Arial" w:eastAsia="Arial" w:hAnsi="Arial"/>
          <w:sz w:val="18"/>
          <w:szCs w:val="18"/>
          <w:b w:val="1"/>
          <w:bCs w:val="1"/>
          <w:color w:val="auto"/>
        </w:rPr>
        <w:t>Removable Installations</w:t>
      </w:r>
      <w:r>
        <w:rPr>
          <w:rFonts w:ascii="Arial" w:cs="Arial" w:eastAsia="Arial" w:hAnsi="Arial"/>
          <w:sz w:val="18"/>
          <w:szCs w:val="18"/>
          <w:color w:val="auto"/>
        </w:rPr>
        <w:t xml:space="preserve">” means any items listed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and any items agreed by Landlord in writing to be included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in the future, (y) “</w:t>
      </w:r>
      <w:r>
        <w:rPr>
          <w:rFonts w:ascii="Arial" w:cs="Arial" w:eastAsia="Arial" w:hAnsi="Arial"/>
          <w:sz w:val="18"/>
          <w:szCs w:val="18"/>
          <w:b w:val="1"/>
          <w:bCs w:val="1"/>
          <w:color w:val="auto"/>
        </w:rPr>
        <w:t>Tenant’s Property</w:t>
      </w:r>
      <w:r>
        <w:rPr>
          <w:rFonts w:ascii="Arial" w:cs="Arial" w:eastAsia="Arial" w:hAnsi="Arial"/>
          <w:sz w:val="18"/>
          <w:szCs w:val="18"/>
          <w:color w:val="auto"/>
        </w:rPr>
        <w:t>” means Removable Installations and, other than Installations, any personal property or equipment of Tenant that may be removed without material damage to the Premises, and (z) “</w:t>
      </w:r>
      <w:r>
        <w:rPr>
          <w:rFonts w:ascii="Arial" w:cs="Arial" w:eastAsia="Arial" w:hAnsi="Arial"/>
          <w:sz w:val="18"/>
          <w:szCs w:val="18"/>
          <w:b w:val="1"/>
          <w:bCs w:val="1"/>
          <w:color w:val="auto"/>
        </w:rPr>
        <w:t>Installations</w:t>
      </w:r>
      <w:r>
        <w:rPr>
          <w:rFonts w:ascii="Arial" w:cs="Arial" w:eastAsia="Arial" w:hAnsi="Arial"/>
          <w:sz w:val="18"/>
          <w:szCs w:val="18"/>
          <w:color w:val="auto"/>
        </w:rPr>
        <w:t>” means all property of any kind paid for with the TI Fund (as defined in the Work Letter), all 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183" w:lineRule="exact"/>
        <w:rPr>
          <w:sz w:val="20"/>
          <w:szCs w:val="20"/>
          <w:color w:val="auto"/>
        </w:rPr>
      </w:pPr>
    </w:p>
    <w:p>
      <w:pPr>
        <w:jc w:val="both"/>
        <w:ind w:firstLine="757"/>
        <w:spacing w:after="0" w:line="237" w:lineRule="auto"/>
        <w:tabs>
          <w:tab w:leader="none" w:pos="1018"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Landlord’s Repairs</w:t>
      </w:r>
      <w:r>
        <w:rPr>
          <w:rFonts w:ascii="Arial" w:cs="Arial" w:eastAsia="Arial" w:hAnsi="Arial"/>
          <w:sz w:val="18"/>
          <w:szCs w:val="18"/>
          <w:color w:val="auto"/>
        </w:rPr>
        <w:t>. Landlord shall, at Landlord's sole expense (and not as an Operating Expense), be responsible for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repairs and replacements of the roof (not including the roof membrane), exterior walls and foundation of the Building (“</w:t>
      </w:r>
      <w:r>
        <w:rPr>
          <w:rFonts w:ascii="Arial" w:cs="Arial" w:eastAsia="Arial" w:hAnsi="Arial"/>
          <w:sz w:val="18"/>
          <w:szCs w:val="18"/>
          <w:b w:val="1"/>
          <w:bCs w:val="1"/>
          <w:color w:val="auto"/>
        </w:rPr>
        <w:t>Structural Items</w:t>
      </w:r>
      <w:r>
        <w:rPr>
          <w:rFonts w:ascii="Arial" w:cs="Arial" w:eastAsia="Arial" w:hAnsi="Arial"/>
          <w:sz w:val="18"/>
          <w:szCs w:val="18"/>
          <w:color w:val="auto"/>
        </w:rPr>
        <w:t>”), unless the need for such repairs or replacements is caused by Tenant or any Tenant Parties, in which case Tenant shall bear the full cost to repair or replace such Structural Items. Landlord shall (with all related costs included as an Operating Expense) be responsible for the routine maintenance and repair of such Structural Items. Landlord shall (with all related costs included as an Operating Expense) maintain, repair and replace the roof membrane and all of the exterior, parking and other Common Areas of the Project, including HVAC, plumbing, fire sprinklers and all other building systems serving the Premises and other portions of the Project (“</w:t>
      </w:r>
      <w:r>
        <w:rPr>
          <w:rFonts w:ascii="Arial" w:cs="Arial" w:eastAsia="Arial" w:hAnsi="Arial"/>
          <w:sz w:val="18"/>
          <w:szCs w:val="18"/>
          <w:b w:val="1"/>
          <w:bCs w:val="1"/>
          <w:color w:val="auto"/>
        </w:rPr>
        <w:t>Building Systems</w:t>
      </w:r>
      <w:r>
        <w:rPr>
          <w:rFonts w:ascii="Arial" w:cs="Arial" w:eastAsia="Arial" w:hAnsi="Arial"/>
          <w:sz w:val="18"/>
          <w:szCs w:val="18"/>
          <w:color w:val="auto"/>
        </w:rPr>
        <w:t>”) but excluding those exclusively serving the Premises, reasonable wear and tear and uninsured losses and damages caused by Tenant, or by any of Tenant, or by any of Tenant’s assignees, sublessees, licensees, agents, servants, employees, invitees, vendors and contractors (or any of Tenant’s assignees, sublessees and/or licensees respective agents, servants, employees, invitees, vendors, and contractors) (collectively,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Parties</w:t>
      </w:r>
      <w:r>
        <w:rPr>
          <w:rFonts w:ascii="Arial" w:cs="Arial" w:eastAsia="Arial" w:hAnsi="Arial"/>
          <w:sz w:val="18"/>
          <w:szCs w:val="18"/>
          <w:color w:val="auto"/>
        </w:rPr>
        <w:t>”) excluded. Losses and damages caused by Tenant or any Tenant Party shall be repaired by Landlord, to the extent not covered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1283970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130810</wp:posOffset>
            </wp:positionV>
            <wp:extent cx="2425700" cy="41148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2">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6" w:name="page347"/>
    <w:bookmarkEnd w:id="346"/>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19</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during any such period of interruption;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Landlord shall, except in case of emergency, make a commercially reasonable effort to give Tenant 48 hours advance notice of any planned stoppage of Building Systems services for routine maintenance, repairs, alterations or improvements. Landlord shall use commercially reasonable efforts (at no cost to Landlord) to minimize interruption with Tenant’s operations in the Premises or access thereto in connection with any planned and scheduled stoppage of Building Systems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Tenant shall promptly give Landlord written notice of any repair required by Landlord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after which Landlord shall make a commercially reasonable effort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hurricane, sinkhole, tornado, vandalism, war, or similar cause of damage or destruction shall be controlled by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186" w:lineRule="exact"/>
        <w:rPr>
          <w:sz w:val="20"/>
          <w:szCs w:val="20"/>
          <w:color w:val="auto"/>
        </w:rPr>
      </w:pPr>
    </w:p>
    <w:p>
      <w:pPr>
        <w:jc w:val="both"/>
        <w:ind w:firstLine="757"/>
        <w:spacing w:after="0" w:line="238" w:lineRule="auto"/>
        <w:tabs>
          <w:tab w:leader="none" w:pos="1018"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Tenant’s Repairs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the Work Letter, Tenant, at its expense, shall repair, replace and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good condition all portions of the Premises, the building systems exclusively serving the Premises, and systems installed by Tenant, including, without limitation, entries, doors, ceilings, interior windows, interior walls, and the interior side of demising walls, reasonable wear and tear, damage and casualty not caused by Tenant or any Tenant Party excepted. Such repair and replacement may include capital expenditures and repairs whose benefit may extend beyond the Term. Should Tenant fail to make any such repair or replacement or fail to maintain the Premises, Landlord shall give Tenant notice of such failure. If Tenant fails to commence cure of such failure within 10 days following Landlord’s written notice, and thereafter diligently prosecute such cure to completion (not to exceed 45 days following Landlord’s written notice), Landlord may perform such work and shall be reimbursed by Tenant within 30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8"/>
          <w:szCs w:val="18"/>
          <w:u w:val="single" w:color="auto"/>
          <w:color w:val="auto"/>
        </w:rPr>
        <w:t>Sections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Tenant shall bear the full uninsured cost of any repair or replacement to any part of the Project that results from damage caused by Tenant or any Tenant Party and any repair that benefits only the Premises.</w:t>
      </w:r>
    </w:p>
    <w:p>
      <w:pPr>
        <w:spacing w:after="0" w:line="182" w:lineRule="exact"/>
        <w:rPr>
          <w:rFonts w:ascii="Arial" w:cs="Arial" w:eastAsia="Arial" w:hAnsi="Arial"/>
          <w:sz w:val="18"/>
          <w:szCs w:val="18"/>
          <w:color w:val="auto"/>
        </w:rPr>
      </w:pPr>
    </w:p>
    <w:p>
      <w:pPr>
        <w:jc w:val="both"/>
        <w:ind w:firstLine="757"/>
        <w:spacing w:after="0" w:line="238" w:lineRule="auto"/>
        <w:tabs>
          <w:tab w:leader="none" w:pos="1018"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Mechanic’s Liens</w:t>
      </w:r>
      <w:r>
        <w:rPr>
          <w:rFonts w:ascii="Arial" w:cs="Arial" w:eastAsia="Arial" w:hAnsi="Arial"/>
          <w:sz w:val="18"/>
          <w:szCs w:val="18"/>
          <w:color w:val="auto"/>
        </w:rPr>
        <w:t>. Tenant shall discharge, by bond or otherwise, any mechanic’s lien filed against the Premises or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for work claimed to have been done for, or materials claimed to have been furnished to, Tenant within 10 days after Tenant receives notice or should have been aware of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or lab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within the Premises.</w:t>
      </w:r>
    </w:p>
    <w:p>
      <w:pPr>
        <w:spacing w:after="0" w:line="185"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Subject to the waiver of subrogation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Tenant hereby indemnifies and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defend, save and hold Landlord, its officers, directors, employees, managers, agents, sub-agents, constituent entities, affiliates, and lease signatory(ies) (collectively, “</w:t>
      </w:r>
      <w:r>
        <w:rPr>
          <w:rFonts w:ascii="Arial" w:cs="Arial" w:eastAsia="Arial" w:hAnsi="Arial"/>
          <w:sz w:val="18"/>
          <w:szCs w:val="18"/>
          <w:b w:val="1"/>
          <w:bCs w:val="1"/>
          <w:color w:val="auto"/>
        </w:rPr>
        <w:t>Landlord Indemnified Parties</w:t>
      </w:r>
      <w:r>
        <w:rPr>
          <w:rFonts w:ascii="Arial" w:cs="Arial" w:eastAsia="Arial" w:hAnsi="Arial"/>
          <w:sz w:val="18"/>
          <w:szCs w:val="18"/>
          <w:color w:val="auto"/>
        </w:rPr>
        <w:t>”) harmless from and against any and all actions (including, without limitation, administrative or judicial proceedings, and orders or judgments arising out of or resulting therefrom), costs, claims, damages (including, without limitation, with respect to Hazardous Materials or holding over, consequential damages and damages based upon diminution in value of the Premises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1278890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125095</wp:posOffset>
            </wp:positionV>
            <wp:extent cx="2425700" cy="41148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7" w:name="page348"/>
    <w:bookmarkEnd w:id="347"/>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20</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Project, or the loss of, or restriction on, use of the Premises, or any portion of the Project; provided this parenthetical shall only apply with respect to Hazardous Materials and/or holding over), expenses (including, without limitation, reasonable attorneys’ fees, and consultants’ and experts’ fees, court costs and amounts paid in settlement of any claims or actions), fines, forfeitures or other civil, administrative or criminal penalties, injunctive or other relief (whether or not based upon personal injury, death to persons or property damage occurring within or about the Premises), liabilities or losses (collectively, “</w:t>
      </w:r>
      <w:r>
        <w:rPr>
          <w:rFonts w:ascii="Arial" w:cs="Arial" w:eastAsia="Arial" w:hAnsi="Arial"/>
          <w:sz w:val="18"/>
          <w:szCs w:val="18"/>
          <w:b w:val="1"/>
          <w:bCs w:val="1"/>
          <w:color w:val="auto"/>
        </w:rPr>
        <w:t>Claims</w:t>
      </w:r>
      <w:r>
        <w:rPr>
          <w:rFonts w:ascii="Arial" w:cs="Arial" w:eastAsia="Arial" w:hAnsi="Arial"/>
          <w:sz w:val="18"/>
          <w:szCs w:val="18"/>
          <w:color w:val="auto"/>
        </w:rPr>
        <w:t>”), to the extent arising directly or indirectly out of Tenant’s (or any party claiming by, through or under Tenant) use or occupancy of the Premises or a breach or default by Tenant (or any party claiming by, through or under Tenant) in the performance of any of its obligations hereunder, except to the extent caused by the willful misconduct or negligence of Landlord Indemnified Parties. Landlord Indemnified Parties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other third party.</w:t>
      </w:r>
    </w:p>
    <w:p>
      <w:pPr>
        <w:spacing w:after="0" w:line="183" w:lineRule="exact"/>
        <w:rPr>
          <w:sz w:val="20"/>
          <w:szCs w:val="20"/>
          <w:color w:val="auto"/>
        </w:rPr>
      </w:pPr>
    </w:p>
    <w:p>
      <w:pPr>
        <w:jc w:val="both"/>
        <w:ind w:firstLine="757"/>
        <w:spacing w:after="0" w:line="238" w:lineRule="auto"/>
        <w:tabs>
          <w:tab w:leader="none" w:pos="1018"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Landlord shall maintain all risk property and, if applicable, sprinkler damage insurance covering the full replacement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cost of the Project.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18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employers liability limits of $1,000,000 bodily injury by accident – each accident, $1,000,000 bodily injury by disease – policy limit, and $1,000,000 bodily injury by disease – each employee; and commercial general liability insurance, with a minimum limit of not less than $2,000,000 per occurrence for bodily injury and property damage with respect to the Premises. The commercial general liability insurance maintained by Tenant shall name Alexandria Real Estate Equities, Inc., and Landlord, its officers, directors, employees, managers, agents, sub-agents, constituent entities, affiliates and lease signatory(ies) (collectively, “</w:t>
      </w:r>
      <w:r>
        <w:rPr>
          <w:rFonts w:ascii="Arial" w:cs="Arial" w:eastAsia="Arial" w:hAnsi="Arial"/>
          <w:sz w:val="18"/>
          <w:szCs w:val="18"/>
          <w:b w:val="1"/>
          <w:bCs w:val="1"/>
          <w:color w:val="auto"/>
        </w:rPr>
        <w:t>Landlord Insured Parties</w:t>
      </w:r>
      <w:r>
        <w:rPr>
          <w:rFonts w:ascii="Arial" w:cs="Arial" w:eastAsia="Arial" w:hAnsi="Arial"/>
          <w:sz w:val="18"/>
          <w:szCs w:val="18"/>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10 days prior written notice shall have been given to Landlord from the insurer; not contain a hostile fire exclusion; contain a contractual liability endorsement; and provide primary coverage to Landlord Insured Parties (any policy issued to Landlord Insured Parties providing duplicate or similar coverage shall be deemed excess over Tenant’s policies, regardless of limits).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prior to (i) the earlier to occur of (x) the Commencement Date, or (y) the date that Tenant accesses the Premises under this Lease, and (ii) each renewal of said insurance. Tenant’s policy may be a “blanket policy” with an aggregate per location endorsement which specifically provides that the amount of insurance shall not be prejudiced by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1280795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127635</wp:posOffset>
            </wp:positionV>
            <wp:extent cx="2425700" cy="41148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6">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8" w:name="page349"/>
    <w:bookmarkEnd w:id="348"/>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21</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losses covered by the policy. Tenant shall, at least 5 days prior to the expiration of such policies, furnish Landlord with renewal certificates.</w:t>
      </w:r>
    </w:p>
    <w:p>
      <w:pPr>
        <w:spacing w:after="0" w:line="21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In each instance where insurance is to name Landlord as an additional insured, Tenant shall within 5 business days following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8"/>
          <w:szCs w:val="18"/>
          <w:b w:val="1"/>
          <w:bCs w:val="1"/>
          <w:color w:val="auto"/>
        </w:rPr>
        <w:t>Related Parties</w:t>
      </w:r>
      <w:r>
        <w:rPr>
          <w:rFonts w:ascii="Arial" w:cs="Arial" w:eastAsia="Arial" w:hAnsi="Arial"/>
          <w:sz w:val="18"/>
          <w:szCs w:val="18"/>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8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office/lab tenants within the Project.</w:t>
      </w:r>
    </w:p>
    <w:p>
      <w:pPr>
        <w:spacing w:after="0" w:line="154" w:lineRule="exact"/>
        <w:rPr>
          <w:sz w:val="20"/>
          <w:szCs w:val="20"/>
          <w:color w:val="auto"/>
        </w:rPr>
      </w:pPr>
    </w:p>
    <w:p>
      <w:pPr>
        <w:jc w:val="both"/>
        <w:ind w:firstLine="757"/>
        <w:spacing w:after="0" w:line="251" w:lineRule="auto"/>
        <w:tabs>
          <w:tab w:leader="none" w:pos="1018" w:val="left"/>
        </w:tabs>
        <w:numPr>
          <w:ilvl w:val="0"/>
          <w:numId w:val="216"/>
        </w:numPr>
        <w:rPr>
          <w:rFonts w:ascii="Arial" w:cs="Arial" w:eastAsia="Arial" w:hAnsi="Arial"/>
          <w:sz w:val="17"/>
          <w:szCs w:val="17"/>
          <w:color w:val="auto"/>
        </w:rPr>
      </w:pPr>
      <w:r>
        <w:rPr>
          <w:rFonts w:ascii="Arial" w:cs="Arial" w:eastAsia="Arial" w:hAnsi="Arial"/>
          <w:sz w:val="17"/>
          <w:szCs w:val="17"/>
          <w:b w:val="1"/>
          <w:bCs w:val="1"/>
          <w:color w:val="auto"/>
        </w:rPr>
        <w:t>Restoration</w:t>
      </w:r>
      <w:r>
        <w:rPr>
          <w:rFonts w:ascii="Arial" w:cs="Arial" w:eastAsia="Arial" w:hAnsi="Arial"/>
          <w:sz w:val="17"/>
          <w:szCs w:val="17"/>
          <w:color w:val="auto"/>
        </w:rPr>
        <w:t>. If, at any time during the Term, the Project or the Premises are damaged or destroyed by a fire or other insured</w:t>
      </w:r>
      <w:r>
        <w:rPr>
          <w:rFonts w:ascii="Arial" w:cs="Arial" w:eastAsia="Arial" w:hAnsi="Arial"/>
          <w:sz w:val="17"/>
          <w:szCs w:val="17"/>
          <w:b w:val="1"/>
          <w:bCs w:val="1"/>
          <w:color w:val="auto"/>
        </w:rPr>
        <w:t xml:space="preserve"> </w:t>
      </w:r>
      <w:r>
        <w:rPr>
          <w:rFonts w:ascii="Arial" w:cs="Arial" w:eastAsia="Arial" w:hAnsi="Arial"/>
          <w:sz w:val="17"/>
          <w:szCs w:val="17"/>
          <w:color w:val="auto"/>
        </w:rPr>
        <w:t>casualty, Landlord shall notify Tenant within 60 days after discovery of such damage (the “</w:t>
      </w:r>
      <w:r>
        <w:rPr>
          <w:rFonts w:ascii="Arial" w:cs="Arial" w:eastAsia="Arial" w:hAnsi="Arial"/>
          <w:sz w:val="17"/>
          <w:szCs w:val="17"/>
          <w:b w:val="1"/>
          <w:bCs w:val="1"/>
          <w:color w:val="auto"/>
        </w:rPr>
        <w:t>Restoration Notice</w:t>
      </w:r>
      <w:r>
        <w:rPr>
          <w:rFonts w:ascii="Arial" w:cs="Arial" w:eastAsia="Arial" w:hAnsi="Arial"/>
          <w:sz w:val="17"/>
          <w:szCs w:val="17"/>
          <w:color w:val="auto"/>
        </w:rPr>
        <w:t>”) as to the amount of time Landlord reasonably estimates it will take to restore the Project or the Premises, as applicable (the “</w:t>
      </w:r>
      <w:r>
        <w:rPr>
          <w:rFonts w:ascii="Arial" w:cs="Arial" w:eastAsia="Arial" w:hAnsi="Arial"/>
          <w:sz w:val="17"/>
          <w:szCs w:val="17"/>
          <w:b w:val="1"/>
          <w:bCs w:val="1"/>
          <w:color w:val="auto"/>
        </w:rPr>
        <w:t>Restoration Period</w:t>
      </w:r>
      <w:r>
        <w:rPr>
          <w:rFonts w:ascii="Arial" w:cs="Arial" w:eastAsia="Arial" w:hAnsi="Arial"/>
          <w:sz w:val="17"/>
          <w:szCs w:val="17"/>
          <w:color w:val="auto"/>
        </w:rPr>
        <w:t>”). If the Restoration Period is estimated to exceed 12 months (the “</w:t>
      </w:r>
      <w:r>
        <w:rPr>
          <w:rFonts w:ascii="Arial" w:cs="Arial" w:eastAsia="Arial" w:hAnsi="Arial"/>
          <w:sz w:val="17"/>
          <w:szCs w:val="17"/>
          <w:b w:val="1"/>
          <w:bCs w:val="1"/>
          <w:color w:val="auto"/>
        </w:rPr>
        <w:t>Maximum Restoration Period</w:t>
      </w:r>
      <w:r>
        <w:rPr>
          <w:rFonts w:ascii="Arial" w:cs="Arial" w:eastAsia="Arial" w:hAnsi="Arial"/>
          <w:sz w:val="17"/>
          <w:szCs w:val="17"/>
          <w:color w:val="auto"/>
        </w:rPr>
        <w:t xml:space="preserve">”), Landlord may, in such notice, elect to terminate this Lease as of the date that is 75 days after the date of discovery of such damage or destruction; provided however, notwithstanding Landlord’s election to restore, Tenant may elect to terminate this Lease by written notice delivered to Landlord within 10 business days following receipt of Landlord’s estimate of the Restoration Notice if it specifies a Restoration Period for the Premises longer than the Maximum Restoration Period. Unless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unless covered by the insurance Landlord maintains as an Operating Expense under this Lease, in which case such improvements shall be included, to the extent such insurance proceeds are actually received, in Landlord’s restoration), subject to delays arising from the collection of insurance proceeds (provided that any such delay is not the result of Landlord’s failure to maintain the insurance policies required to be maintained by Landlord under this Lease),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7"/>
          <w:szCs w:val="17"/>
          <w:u w:val="single" w:color="auto"/>
          <w:color w:val="auto"/>
        </w:rPr>
        <w:t>Section 30</w:t>
      </w:r>
      <w:r>
        <w:rPr>
          <w:rFonts w:ascii="Arial" w:cs="Arial" w:eastAsia="Arial" w:hAnsi="Arial"/>
          <w:sz w:val="17"/>
          <w:szCs w:val="17"/>
          <w:color w:val="auto"/>
        </w:rPr>
        <w:t>) in, on or about the Premises (collectively referred to herein as “</w:t>
      </w:r>
      <w:r>
        <w:rPr>
          <w:rFonts w:ascii="Arial" w:cs="Arial" w:eastAsia="Arial" w:hAnsi="Arial"/>
          <w:sz w:val="17"/>
          <w:szCs w:val="17"/>
          <w:b w:val="1"/>
          <w:bCs w:val="1"/>
          <w:color w:val="auto"/>
        </w:rPr>
        <w:t>Hazardous Materials</w:t>
      </w:r>
      <w:r>
        <w:rPr>
          <w:rFonts w:ascii="Arial" w:cs="Arial" w:eastAsia="Arial" w:hAnsi="Arial"/>
          <w:sz w:val="17"/>
          <w:szCs w:val="17"/>
          <w:color w:val="auto"/>
        </w:rPr>
        <w:t xml:space="preserve"> </w:t>
      </w:r>
      <w:r>
        <w:rPr>
          <w:rFonts w:ascii="Arial" w:cs="Arial" w:eastAsia="Arial" w:hAnsi="Arial"/>
          <w:sz w:val="17"/>
          <w:szCs w:val="17"/>
          <w:b w:val="1"/>
          <w:bCs w:val="1"/>
          <w:color w:val="auto"/>
        </w:rPr>
        <w:t>Clearances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repair or restoration of the Premises is not substantially complete as of the end of the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Restoration Period or, if longer, the Restoration Period, Landlord may, in its sole and absolute discretion, elect not to proceed with such repair and restoration, in which event Landlord shall be relieved of its obligation to make such repairs or restoration and this Lease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1409065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255905</wp:posOffset>
            </wp:positionV>
            <wp:extent cx="2425700" cy="41148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8">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9" w:name="page350"/>
    <w:bookmarkEnd w:id="349"/>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22</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16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 xml:space="preserve">Tenant, at its expense, shall promptly perform, subject to delays arising from the collection of insurance proceeds, from Force Majeure events or to obtain Hazardous Material Clearances, all repairs or restoration not required to be done by Landlord and shall promptly re-enter the Premises and commence doing business in accordance with this Lease. Notwithstanding the foregoing, (i) either Party may terminate this Lease if the Premises are damaged during the last 12 months of the Term and Landlord reasonably estimates that it will take more than 4 months to repair such damage, or (ii) Landlord may terminate this Lease if the Premises are damaged and insurance proceeds are not available for such restoration. Rent shall be abated from the date of the casualty, provided that if Hazardous Materials Clearances are required as a condition for the repair or restoration, then Rent shall be abated from the date all required Hazardous Material Clearances are obtained, and in either case, such abatement shall be until the Premises are repaired and restored, and shall be in the proportion which the area of the Premises, if any, which is not usable by Tenant bears to the total area of the Premises, unless Landlord provides Tenant with other space during the period of repair that is suitable for the temporary conduct of Tenant’s business. Such abatement shall be the sole remedy of Tenant, and except as provided in this </w:t>
      </w:r>
      <w:r>
        <w:rPr>
          <w:rFonts w:ascii="Arial" w:cs="Arial" w:eastAsia="Arial" w:hAnsi="Arial"/>
          <w:sz w:val="18"/>
          <w:szCs w:val="18"/>
          <w:u w:val="single" w:color="auto"/>
          <w:color w:val="auto"/>
        </w:rPr>
        <w:t>Section 18</w:t>
      </w:r>
      <w:r>
        <w:rPr>
          <w:rFonts w:ascii="Arial" w:cs="Arial" w:eastAsia="Arial" w:hAnsi="Arial"/>
          <w:sz w:val="18"/>
          <w:szCs w:val="18"/>
          <w:color w:val="auto"/>
        </w:rPr>
        <w:t>, Tenant waives any right to terminate this Lease by reason of damage or casualty loss.</w:t>
      </w:r>
    </w:p>
    <w:p>
      <w:pPr>
        <w:spacing w:after="0" w:line="18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 xml:space="preserve">The provisions of this Lease, including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sets forth their entire understanding and agreement with respect to such matters.</w:t>
      </w:r>
    </w:p>
    <w:p>
      <w:pPr>
        <w:spacing w:after="0" w:line="176" w:lineRule="exact"/>
        <w:rPr>
          <w:sz w:val="20"/>
          <w:szCs w:val="20"/>
          <w:color w:val="auto"/>
        </w:rPr>
      </w:pPr>
    </w:p>
    <w:p>
      <w:pPr>
        <w:jc w:val="both"/>
        <w:ind w:firstLine="757"/>
        <w:spacing w:after="0" w:line="237" w:lineRule="auto"/>
        <w:tabs>
          <w:tab w:leader="none" w:pos="1018"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 If the whole or any material part of the Premises or the Project is taken for any public or quasi-public use under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law, ordinance, or regulation, or by right of eminent domain, or by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or “</w:t>
      </w:r>
      <w:r>
        <w:rPr>
          <w:rFonts w:ascii="Arial" w:cs="Arial" w:eastAsia="Arial" w:hAnsi="Arial"/>
          <w:sz w:val="18"/>
          <w:szCs w:val="18"/>
          <w:b w:val="1"/>
          <w:bCs w:val="1"/>
          <w:color w:val="auto"/>
        </w:rPr>
        <w:t>Taken</w:t>
      </w:r>
      <w:r>
        <w:rPr>
          <w:rFonts w:ascii="Arial" w:cs="Arial" w:eastAsia="Arial" w:hAnsi="Arial"/>
          <w:sz w:val="18"/>
          <w:szCs w:val="18"/>
          <w:color w:val="auto"/>
        </w:rPr>
        <w:t>”), and the Taking would in Landlord’s reasonable judgment, either prevent or materially interfere with Tenant’s use of the Premises or materially interfere with or impair Landlord’s ownership or operation of the Project, then upon written notice by either Party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Landlord determines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87" w:lineRule="exact"/>
        <w:rPr>
          <w:rFonts w:ascii="Arial" w:cs="Arial" w:eastAsia="Arial" w:hAnsi="Arial"/>
          <w:sz w:val="18"/>
          <w:szCs w:val="18"/>
          <w:color w:val="auto"/>
        </w:rPr>
      </w:pPr>
    </w:p>
    <w:p>
      <w:pPr>
        <w:ind w:left="1020" w:hanging="263"/>
        <w:spacing w:after="0"/>
        <w:tabs>
          <w:tab w:leader="none" w:pos="102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212" w:lineRule="exact"/>
        <w:rPr>
          <w:sz w:val="20"/>
          <w:szCs w:val="20"/>
          <w:color w:val="auto"/>
        </w:rPr>
      </w:pPr>
    </w:p>
    <w:p>
      <w:pPr>
        <w:jc w:val="both"/>
        <w:ind w:firstLine="757"/>
        <w:spacing w:after="0" w:line="253" w:lineRule="auto"/>
        <w:tabs>
          <w:tab w:leader="none" w:pos="1018" w:val="left"/>
        </w:tabs>
        <w:numPr>
          <w:ilvl w:val="0"/>
          <w:numId w:val="218"/>
        </w:numPr>
        <w:rPr>
          <w:rFonts w:ascii="Arial" w:cs="Arial" w:eastAsia="Arial" w:hAnsi="Arial"/>
          <w:sz w:val="18"/>
          <w:szCs w:val="18"/>
          <w:color w:val="auto"/>
        </w:rPr>
      </w:pPr>
      <w:r>
        <w:rPr>
          <w:rFonts w:ascii="Arial" w:cs="Arial" w:eastAsia="Arial" w:hAnsi="Arial"/>
          <w:sz w:val="18"/>
          <w:szCs w:val="18"/>
          <w:b w:val="1"/>
          <w:bCs w:val="1"/>
          <w:color w:val="auto"/>
        </w:rPr>
        <w:t>Payment Defaults</w:t>
      </w:r>
      <w:r>
        <w:rPr>
          <w:rFonts w:ascii="Arial" w:cs="Arial" w:eastAsia="Arial" w:hAnsi="Arial"/>
          <w:sz w:val="18"/>
          <w:szCs w:val="18"/>
          <w:color w:val="auto"/>
        </w:rPr>
        <w:t>. Tenant shall fail to pay any installment of Rent or any other payment hereunder when due;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instance within a 12-month period of Tenant’s failure to pay any amounts due hereunder when due, Tenant shall be in Default only if such failure continues for 5 days from the date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1272540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119380</wp:posOffset>
            </wp:positionV>
            <wp:extent cx="2425700" cy="41148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0" w:name="page351"/>
    <w:bookmarkEnd w:id="350"/>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23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both"/>
        <w:ind w:firstLine="757"/>
        <w:spacing w:after="0" w:line="253" w:lineRule="auto"/>
        <w:tabs>
          <w:tab w:leader="none" w:pos="1018"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or shall be reduced or materially changed, or Landlord shall receive a notice of nonrenewal of any such insurance and Tenant shall fail to obtain replacement insurance at least 10 business days before the expiration of the current coverage.</w:t>
      </w:r>
    </w:p>
    <w:p>
      <w:pPr>
        <w:spacing w:after="0" w:line="168" w:lineRule="exact"/>
        <w:rPr>
          <w:rFonts w:ascii="Arial" w:cs="Arial" w:eastAsia="Arial" w:hAnsi="Arial"/>
          <w:sz w:val="18"/>
          <w:szCs w:val="18"/>
          <w:color w:val="auto"/>
        </w:rPr>
      </w:pPr>
    </w:p>
    <w:p>
      <w:pPr>
        <w:jc w:val="both"/>
        <w:ind w:firstLine="757"/>
        <w:spacing w:after="0" w:line="239" w:lineRule="auto"/>
        <w:tabs>
          <w:tab w:leader="none" w:pos="1018"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Tenant shall abandon the Premises, provided, however, that Tenant shall not be deemed to have abandoned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Premises if: (i) prior to vacating the Premises Tenant provides Landlord with prior notice and complies with the requirements pertaining to a Decommissioning and HazMat Closure Plan as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 (ii) Tenant has obtained the release of the Premises of all Hazardous Materials Clearances and the Premises are free from any residual impact from the Tenant HazMat Operations and Tenant provides reasonably detailed documentation to Landlord confirming such matters, (iii) prior to or at the time of vacating the Premises, Tenant has made reasonable arrangements for the security of the Premises for the balance of the Term, and Tenant has notified Landlord of such arrangements, (iv) Tenant continues to maintain in full force and effect any permits and approvals as may be required by any Governmental Authority for the Premises, and (v) Tenant continues during the balance of the Term to satisfy all of its obligations under the Lease as they come due, including without limitation the obligation to pay Rent.</w:t>
      </w:r>
    </w:p>
    <w:p>
      <w:pPr>
        <w:spacing w:after="0" w:line="183"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 of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this Lease or the Premises except as expressly permitted herein, or Tenant’s interest in this Lease shall be attached, executed upon, or otherwise judicially seized and such action is not released within 90 days of the action.</w:t>
      </w:r>
    </w:p>
    <w:p>
      <w:pPr>
        <w:spacing w:after="0" w:line="168" w:lineRule="exact"/>
        <w:rPr>
          <w:rFonts w:ascii="Arial" w:cs="Arial" w:eastAsia="Arial" w:hAnsi="Arial"/>
          <w:sz w:val="18"/>
          <w:szCs w:val="18"/>
          <w:color w:val="auto"/>
        </w:rPr>
      </w:pPr>
    </w:p>
    <w:p>
      <w:pPr>
        <w:ind w:firstLine="757"/>
        <w:spacing w:after="0" w:line="271" w:lineRule="auto"/>
        <w:tabs>
          <w:tab w:leader="none" w:pos="1018"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Lease within the time period required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this Lease.</w:t>
      </w:r>
    </w:p>
    <w:p>
      <w:pPr>
        <w:spacing w:after="0" w:line="153" w:lineRule="exact"/>
        <w:rPr>
          <w:rFonts w:ascii="Arial" w:cs="Arial" w:eastAsia="Arial" w:hAnsi="Arial"/>
          <w:sz w:val="18"/>
          <w:szCs w:val="18"/>
          <w:color w:val="auto"/>
        </w:rPr>
      </w:pPr>
    </w:p>
    <w:p>
      <w:pPr>
        <w:jc w:val="both"/>
        <w:ind w:firstLine="757"/>
        <w:spacing w:after="0"/>
        <w:tabs>
          <w:tab w:leader="none" w:pos="1018"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 general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 for Relief</w:t>
      </w:r>
      <w:r>
        <w:rPr>
          <w:rFonts w:ascii="Arial" w:cs="Arial" w:eastAsia="Arial" w:hAnsi="Arial"/>
          <w:sz w:val="18"/>
          <w:szCs w:val="18"/>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84" w:lineRule="exact"/>
        <w:rPr>
          <w:rFonts w:ascii="Arial" w:cs="Arial" w:eastAsia="Arial" w:hAnsi="Arial"/>
          <w:sz w:val="18"/>
          <w:szCs w:val="18"/>
          <w:color w:val="auto"/>
        </w:rPr>
      </w:pPr>
    </w:p>
    <w:p>
      <w:pPr>
        <w:ind w:firstLine="757"/>
        <w:spacing w:after="0" w:line="271" w:lineRule="auto"/>
        <w:tabs>
          <w:tab w:leader="none" w:pos="1018"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within the time periods set forth in such applicable Section.</w:t>
      </w:r>
    </w:p>
    <w:p>
      <w:pPr>
        <w:spacing w:after="0" w:line="153"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Other Defaults</w:t>
      </w:r>
      <w:r>
        <w:rPr>
          <w:rFonts w:ascii="Arial" w:cs="Arial" w:eastAsia="Arial" w:hAnsi="Arial"/>
          <w:sz w:val="18"/>
          <w:szCs w:val="18"/>
          <w:color w:val="auto"/>
        </w:rPr>
        <w:t>. Tenant shall fail to comply with any provision of this Lease other than those specifically referred to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w:t>
      </w:r>
      <w:r>
        <w:rPr>
          <w:rFonts w:ascii="Arial" w:cs="Arial" w:eastAsia="Arial" w:hAnsi="Arial"/>
          <w:sz w:val="18"/>
          <w:szCs w:val="18"/>
          <w:color w:val="auto"/>
        </w:rPr>
        <w:t>, and, except as otherwise expressly provided herein, such failure shall continue for a period of 30 days after written notice thereof from Landlord to Tenant or Tenant shall not have commenced such cure within 10 days of Landlord’s notice.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Any notice given under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nature of Tenant’s default pursuant to </w:t>
      </w:r>
      <w:r>
        <w:rPr>
          <w:rFonts w:ascii="Arial" w:cs="Arial" w:eastAsia="Arial" w:hAnsi="Arial"/>
          <w:sz w:val="18"/>
          <w:szCs w:val="18"/>
          <w:u w:val="single" w:color="auto"/>
          <w:color w:val="auto"/>
        </w:rPr>
        <w:t>Section 20(h)</w:t>
      </w:r>
      <w:r>
        <w:rPr>
          <w:rFonts w:ascii="Arial" w:cs="Arial" w:eastAsia="Arial" w:hAnsi="Arial"/>
          <w:sz w:val="18"/>
          <w:szCs w:val="18"/>
          <w:color w:val="auto"/>
        </w:rPr>
        <w:t xml:space="preserve"> is such that it cannot be cured by the payment of money and reasonably requires more than 30 days to cure, then Tenant shall not be deemed to be in default if Tenant commences such cure within said initial 10-day period and thereafter diligently prosecutes the same to completion; provided, however, that such cure shall be completed no later than 90 days from the date of Landlord’s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1282065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128905</wp:posOffset>
            </wp:positionV>
            <wp:extent cx="2425700" cy="41148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2">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1" w:name="page352"/>
    <w:bookmarkEnd w:id="351"/>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24</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ind w:left="1020" w:hanging="263"/>
        <w:spacing w:after="0"/>
        <w:tabs>
          <w:tab w:leader="none" w:pos="102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line="238" w:lineRule="auto"/>
        <w:tabs>
          <w:tab w:leader="none" w:pos="1018"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Performance; Payment; Interest</w:t>
      </w:r>
      <w:r>
        <w:rPr>
          <w:rFonts w:ascii="Arial" w:cs="Arial" w:eastAsia="Arial" w:hAnsi="Arial"/>
          <w:sz w:val="18"/>
          <w:szCs w:val="18"/>
          <w:color w:val="auto"/>
        </w:rPr>
        <w:t>. If default by Tenant shall occur in the keeping, observance or performance of any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term, provision or condition herein contained, Landlord, without thereby waiving such default, may perform the same for the account and at the expense of Tenant (a) immediately or at any time thereafter and with only such notice as may be practicable under the circumstances in the case of an emergency or in case such default will result in a violation of any Legal Requirement or insurance requirements, or in the imposition of any lien against all or any portion of the Premises or the Project not discharged, released or bonded over to Landlord’s satisfaction by Tenant within the time period required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this Lease, and (b) in any other case if such default continues after any applicable notice and cure period provided in </w:t>
      </w:r>
      <w:r>
        <w:rPr>
          <w:rFonts w:ascii="Arial" w:cs="Arial" w:eastAsia="Arial" w:hAnsi="Arial"/>
          <w:sz w:val="18"/>
          <w:szCs w:val="18"/>
          <w:u w:val="single" w:color="auto"/>
          <w:color w:val="auto"/>
        </w:rPr>
        <w:t>Section 20</w:t>
      </w:r>
      <w:r>
        <w:rPr>
          <w:rFonts w:ascii="Arial" w:cs="Arial" w:eastAsia="Arial" w:hAnsi="Arial"/>
          <w:sz w:val="18"/>
          <w:szCs w:val="18"/>
          <w:color w:val="auto"/>
        </w:rPr>
        <w:t>. All reasonable costs and expenses incurred by Landlord in connection with any such performance by it for the account of Tenant and also all reasonable costs and expenses, including reasonable attorneys’ fees and disbursements incurred by Landlord in any action or proceeding (including any summary dispossess proceeding) brought by Landlord to enforce any obligation of Tenant under this Lease and/or right of Landlord in or to the Premises, together with interest thereon, from the date such sums were paid or incurred, at the annual rate equal to 12% per annum or the highest rate permitted by law (the “</w:t>
      </w:r>
      <w:r>
        <w:rPr>
          <w:rFonts w:ascii="Arial" w:cs="Arial" w:eastAsia="Arial" w:hAnsi="Arial"/>
          <w:sz w:val="18"/>
          <w:szCs w:val="18"/>
          <w:b w:val="1"/>
          <w:bCs w:val="1"/>
          <w:color w:val="auto"/>
        </w:rPr>
        <w:t>Default Rate</w:t>
      </w:r>
      <w:r>
        <w:rPr>
          <w:rFonts w:ascii="Arial" w:cs="Arial" w:eastAsia="Arial" w:hAnsi="Arial"/>
          <w:sz w:val="18"/>
          <w:szCs w:val="18"/>
          <w:color w:val="auto"/>
        </w:rPr>
        <w:t>”), whichever is less, shall be paid by Tenant to Landlord on demand as Additional Rent. Nothing herein shall be construed to create or impose a duty on Landlord to mitigate any damages resulting from Tenant’s default hereunder.</w:t>
      </w:r>
    </w:p>
    <w:p>
      <w:pPr>
        <w:spacing w:after="0" w:line="180" w:lineRule="exact"/>
        <w:rPr>
          <w:rFonts w:ascii="Arial" w:cs="Arial" w:eastAsia="Arial" w:hAnsi="Arial"/>
          <w:sz w:val="18"/>
          <w:szCs w:val="18"/>
          <w:color w:val="auto"/>
        </w:rPr>
      </w:pPr>
    </w:p>
    <w:p>
      <w:pPr>
        <w:jc w:val="both"/>
        <w:ind w:firstLine="757"/>
        <w:spacing w:after="0" w:line="239" w:lineRule="auto"/>
        <w:tabs>
          <w:tab w:leader="none" w:pos="1018"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Late Payment Rent</w:t>
      </w:r>
      <w:r>
        <w:rPr>
          <w:rFonts w:ascii="Arial" w:cs="Arial" w:eastAsia="Arial" w:hAnsi="Arial"/>
          <w:sz w:val="18"/>
          <w:szCs w:val="18"/>
          <w:color w:val="auto"/>
        </w:rPr>
        <w:t>. Late payment by Tenant to Landlord of Rent and other sums due will cause Landlord to incur costs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of 5% of the overdue Rent as a late charge. Notwithstanding the foregoing, before assessing a late charge for the first delinquency in any calendar year, Landlord shall provide Tenant with written notice of the delinquency and will waive the right to assess a late charge on such delinquency if Tenant pays such delinquency within 5 business days after Landlord’s notice.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79" w:lineRule="exact"/>
        <w:rPr>
          <w:rFonts w:ascii="Arial" w:cs="Arial" w:eastAsia="Arial" w:hAnsi="Arial"/>
          <w:sz w:val="18"/>
          <w:szCs w:val="18"/>
          <w:color w:val="auto"/>
        </w:rPr>
      </w:pPr>
    </w:p>
    <w:p>
      <w:pPr>
        <w:jc w:val="both"/>
        <w:ind w:firstLine="757"/>
        <w:spacing w:after="0"/>
        <w:tabs>
          <w:tab w:leader="none" w:pos="1018"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Additional Remedies</w:t>
      </w:r>
      <w:r>
        <w:rPr>
          <w:rFonts w:ascii="Arial" w:cs="Arial" w:eastAsia="Arial" w:hAnsi="Arial"/>
          <w:sz w:val="18"/>
          <w:szCs w:val="18"/>
          <w:color w:val="auto"/>
        </w:rPr>
        <w:t>. Upon the occurrence of a Default, Landlord, at its option, without further notice or demand to Tenant,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have in addition to all other rights and remedies provided in this Lease, at law or in equity, the option to pursue any one or more of the following remedies, each and all of which shall be cumulative and nonexclusive, without any notice or demand whatsoever (except as otherwise expressly provided in </w:t>
      </w:r>
      <w:r>
        <w:rPr>
          <w:rFonts w:ascii="Arial" w:cs="Arial" w:eastAsia="Arial" w:hAnsi="Arial"/>
          <w:sz w:val="18"/>
          <w:szCs w:val="18"/>
          <w:u w:val="single" w:color="auto"/>
          <w:color w:val="auto"/>
        </w:rPr>
        <w:t>Section 21(c)(v)</w:t>
      </w:r>
      <w:r>
        <w:rPr>
          <w:rFonts w:ascii="Arial" w:cs="Arial" w:eastAsia="Arial" w:hAnsi="Arial"/>
          <w:sz w:val="18"/>
          <w:szCs w:val="18"/>
          <w:color w:val="auto"/>
        </w:rPr>
        <w:t xml:space="preserve"> with respect to Landlord’s Lump Sum Election). No cure in whole or in part of such Default by Tenant after Landlord has taken any action beyond giving Tenant notice of such Default to pursue any remedy provided for herein (including retaining counsel to file an action or otherwise pursue any remedies) shall in any way affect Landlord’s right to pursue such remedy or any other remedy provided Landlord herein or under law or in equity, unless Landlord, in its sole discretion, elects to waive such Default.</w:t>
      </w:r>
    </w:p>
    <w:p>
      <w:pPr>
        <w:spacing w:after="0" w:line="184" w:lineRule="exact"/>
        <w:rPr>
          <w:rFonts w:ascii="Arial" w:cs="Arial" w:eastAsia="Arial" w:hAnsi="Arial"/>
          <w:sz w:val="18"/>
          <w:szCs w:val="18"/>
          <w:color w:val="auto"/>
        </w:rPr>
      </w:pPr>
    </w:p>
    <w:p>
      <w:pPr>
        <w:jc w:val="both"/>
        <w:ind w:left="760" w:firstLine="745"/>
        <w:spacing w:after="0"/>
        <w:tabs>
          <w:tab w:leader="none" w:pos="204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This Lease and the Term and estate hereby granted are subject to the limitation that whenever a Default shall have happened and be continuing, Landlord shall have the right, at its election, then or thereafter while any such Default shall continue and notwithstanding the fact that Landlord may have some other remedy hereunder or at law or in equity, to give Tenant written notice of Landlord’s intention to terminate this Lease on a date specified in such notice, which date shall be not less than 5 days after the giving of such notice, and upon the date so specified, this Lease and the estate hereby granted shall expire and terminate with the same force and effect as if the date specified in such notice were the date hereinbefore fixed for the expiration of this Lease, and all rights of Tenant hereunder shall expire and terminate, and Tenant shall be liable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1282065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128905</wp:posOffset>
            </wp:positionV>
            <wp:extent cx="2425700" cy="41148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25</w:t>
      </w:r>
    </w:p>
    <w:p>
      <w:pPr>
        <w:spacing w:after="0" w:line="14" w:lineRule="exact"/>
        <w:rPr>
          <w:sz w:val="20"/>
          <w:szCs w:val="20"/>
          <w:color w:val="auto"/>
        </w:rPr>
      </w:pPr>
    </w:p>
    <w:p>
      <w:pPr>
        <w:ind w:left="97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ind w:left="360"/>
        <w:spacing w:after="0"/>
        <w:rPr>
          <w:sz w:val="20"/>
          <w:szCs w:val="20"/>
          <w:color w:val="auto"/>
        </w:rPr>
      </w:pPr>
      <w:r>
        <w:rPr>
          <w:rFonts w:ascii="Arial" w:cs="Arial" w:eastAsia="Arial" w:hAnsi="Arial"/>
          <w:sz w:val="18"/>
          <w:szCs w:val="18"/>
          <w:color w:val="auto"/>
        </w:rPr>
        <w:t xml:space="preserve">hereinafter in this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provided. If any such notice is given, Landlord shall have, on such date so specified, the right of re-entry and possession of the Premises and the right to remove all persons and property therefrom and to store such property in a warehouse or elsewhere at the risk and expense, and for the account, of Tenant. Should Landlord elect to re-enter as herein provided or should Landlord take possession pursuant to legal proceedings or pursuant to any notice provided for by law, Landlord may, subject to </w:t>
      </w:r>
      <w:r>
        <w:rPr>
          <w:rFonts w:ascii="Arial" w:cs="Arial" w:eastAsia="Arial" w:hAnsi="Arial"/>
          <w:sz w:val="18"/>
          <w:szCs w:val="18"/>
          <w:u w:val="single" w:color="auto"/>
          <w:color w:val="auto"/>
        </w:rPr>
        <w:t>Section 21(c)(ii)</w:t>
      </w:r>
      <w:r>
        <w:rPr>
          <w:rFonts w:ascii="Arial" w:cs="Arial" w:eastAsia="Arial" w:hAnsi="Arial"/>
          <w:sz w:val="18"/>
          <w:szCs w:val="18"/>
          <w:color w:val="auto"/>
        </w:rPr>
        <w:t xml:space="preserve"> from time to time re-let the Premises or any part thereof for such term or terms and at such rental or rentals and upon such terms and conditions as Landlord may deem advisable, with the right to make commercially reasonable alterations in and repairs to the Premises.</w:t>
      </w:r>
    </w:p>
    <w:p>
      <w:pPr>
        <w:spacing w:after="0" w:line="185" w:lineRule="exact"/>
        <w:rPr>
          <w:sz w:val="20"/>
          <w:szCs w:val="20"/>
          <w:color w:val="auto"/>
        </w:rPr>
      </w:pPr>
    </w:p>
    <w:p>
      <w:pPr>
        <w:jc w:val="both"/>
        <w:ind w:left="360" w:firstLine="745"/>
        <w:spacing w:after="0" w:line="253" w:lineRule="auto"/>
        <w:tabs>
          <w:tab w:leader="none" w:pos="164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Landlord shall be deemed to have satisfied any obligation to mitigate its damages by hiring an experienced commercial real estate broker to market the Premises and directing such broker to advertise and show the Premises to prospective tenants.</w:t>
      </w:r>
    </w:p>
    <w:p>
      <w:pPr>
        <w:spacing w:after="0" w:line="168" w:lineRule="exact"/>
        <w:rPr>
          <w:rFonts w:ascii="Arial" w:cs="Arial" w:eastAsia="Arial" w:hAnsi="Arial"/>
          <w:sz w:val="18"/>
          <w:szCs w:val="18"/>
          <w:color w:val="auto"/>
        </w:rPr>
      </w:pPr>
    </w:p>
    <w:p>
      <w:pPr>
        <w:jc w:val="both"/>
        <w:ind w:left="360" w:firstLine="745"/>
        <w:spacing w:after="0" w:line="244" w:lineRule="auto"/>
        <w:tabs>
          <w:tab w:leader="none" w:pos="164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In the event of any termination of this Lease as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provided or as required or permitted by law or in equity, Tenant shall forthwith quit and surrender the Premises to Landlord, and Landlord may, without further notice, enter upon, re-enter, possess and repossess the same by summary proceedings, ejectment or otherwise, and again have, repossess and enjoy the same free of any rights of Tenant, and in any such event Tenant and no person claiming through or under Tenant by virtue of any law or an order of any court shall be entitled to possession or to remain in possession of the Premises.</w:t>
      </w:r>
    </w:p>
    <w:p>
      <w:pPr>
        <w:spacing w:after="0" w:line="176" w:lineRule="exact"/>
        <w:rPr>
          <w:rFonts w:ascii="Arial" w:cs="Arial" w:eastAsia="Arial" w:hAnsi="Arial"/>
          <w:sz w:val="18"/>
          <w:szCs w:val="18"/>
          <w:color w:val="auto"/>
        </w:rPr>
      </w:pPr>
    </w:p>
    <w:p>
      <w:pPr>
        <w:jc w:val="both"/>
        <w:ind w:left="360" w:firstLine="745"/>
        <w:spacing w:after="0" w:line="237" w:lineRule="auto"/>
        <w:tabs>
          <w:tab w:leader="none" w:pos="164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this Lease is terminated or if Landlord shall re-enter the Premises as aforesaid, or in the event of the termination of this Lease, or of re-entry, by or under any proceeding or action or any provision of law by reason of a Default by Tenant, Tenant covenants and agrees forthwith to pay and be liable for, on the days originally fixed in this Lease for the payment thereof, amounts equal to the installments of Base Rent and all Additional Rent as they would, under the terms of this Lease become due if this Lease had not been terminated or if Landlord had not entered or re-entered, as aforesaid, and whether the Premises be relet or remain vacant, in whole or in part, or for a period less than the remainder of the Term, or for the whole thereof, but in the event that the Premises be relet by Landlord, Tenant shall be entitled to a credit in the net amount of rent and other charges received by Landlord in reletting, after deduction of all of Landlord’s expenses incurred in reletting the Premises (including, without limitation, tenant improvement, demising and remodeling costs, brokerage fees and the like), and in collecting the rent in connection therewith, in the following manner: Amounts received by Landlord after reletting, if any, shall first be applied against such Landlord’s expenses, until the same are recovered, and until such recovery, Tenant shall pay, as of each day when a payment would fall due under this Lease, the amount which Tenant is obligated to pay under the terms of this Lease (Tenant’s liability prior to any such reletting and such recovery by Landlord no in any way to be diminished as a result of the fact that such reletting might be for a rent higher than the rent provided for in this Lease); when and if such expenses have been completely recovered by Landlord, the amounts received from reletting by Landlord as have not previously been applied shall be credited against Tenant’s obligations as of each day when a payment would fall due under this Lease, and only the net amount thereof shall be payable by Tenant. Further, Tenant shall not be entitled to any credit of any kind for any period after the date when the Term of this Lease is scheduled to expire according to its terms.</w:t>
      </w:r>
    </w:p>
    <w:p>
      <w:pPr>
        <w:spacing w:after="0" w:line="182" w:lineRule="exact"/>
        <w:rPr>
          <w:sz w:val="20"/>
          <w:szCs w:val="20"/>
          <w:color w:val="auto"/>
        </w:rPr>
      </w:pPr>
    </w:p>
    <w:p>
      <w:pPr>
        <w:jc w:val="both"/>
        <w:ind w:left="360" w:firstLine="749"/>
        <w:spacing w:after="0" w:line="247" w:lineRule="auto"/>
        <w:rPr>
          <w:sz w:val="20"/>
          <w:szCs w:val="20"/>
          <w:color w:val="auto"/>
        </w:rPr>
      </w:pPr>
      <w:r>
        <w:rPr>
          <w:rFonts w:ascii="Arial" w:cs="Arial" w:eastAsia="Arial" w:hAnsi="Arial"/>
          <w:sz w:val="18"/>
          <w:szCs w:val="18"/>
          <w:color w:val="auto"/>
        </w:rPr>
        <w:t>Actions, proceedings or suits for the recovery of damages, whether liquidated or other damages, under this Lease, or any installments thereof, may be brought by Landlord from time to time at its election, and nothing contained herein shall be deemed to require Landlord to postpone suit until the date when the Term of this Lease would have expired if it had not been terminated hereunder.</w:t>
      </w:r>
    </w:p>
    <w:p>
      <w:pPr>
        <w:spacing w:after="0" w:line="174" w:lineRule="exact"/>
        <w:rPr>
          <w:sz w:val="20"/>
          <w:szCs w:val="20"/>
          <w:color w:val="auto"/>
        </w:rPr>
      </w:pPr>
    </w:p>
    <w:p>
      <w:pPr>
        <w:ind w:left="360" w:firstLine="745"/>
        <w:spacing w:after="0" w:line="281" w:lineRule="auto"/>
        <w:tabs>
          <w:tab w:leader="none" w:pos="164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addition, Landlord, at its election, notwithstanding any other provision of this Lease, by written notice to Tenant (the “</w:t>
      </w:r>
      <w:r>
        <w:rPr>
          <w:rFonts w:ascii="Arial" w:cs="Arial" w:eastAsia="Arial" w:hAnsi="Arial"/>
          <w:sz w:val="18"/>
          <w:szCs w:val="18"/>
          <w:b w:val="1"/>
          <w:bCs w:val="1"/>
          <w:color w:val="auto"/>
        </w:rPr>
        <w:t>Lump Sum Election</w:t>
      </w:r>
      <w:r>
        <w:rPr>
          <w:rFonts w:ascii="Arial" w:cs="Arial" w:eastAsia="Arial" w:hAnsi="Arial"/>
          <w:sz w:val="18"/>
          <w:szCs w:val="18"/>
          <w:color w:val="auto"/>
        </w:rPr>
        <w:t>”), shall be entitled to recover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1251585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98425</wp:posOffset>
            </wp:positionV>
            <wp:extent cx="2425700" cy="41148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6">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26</w:t>
      </w:r>
    </w:p>
    <w:p>
      <w:pPr>
        <w:spacing w:after="0" w:line="14" w:lineRule="exact"/>
        <w:rPr>
          <w:sz w:val="20"/>
          <w:szCs w:val="20"/>
          <w:color w:val="auto"/>
        </w:rPr>
      </w:pPr>
    </w:p>
    <w:p>
      <w:pPr>
        <w:ind w:left="97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ind w:left="360" w:right="20"/>
        <w:spacing w:after="0" w:line="271" w:lineRule="auto"/>
        <w:rPr>
          <w:sz w:val="20"/>
          <w:szCs w:val="20"/>
          <w:color w:val="auto"/>
        </w:rPr>
      </w:pPr>
      <w:r>
        <w:rPr>
          <w:rFonts w:ascii="Arial" w:cs="Arial" w:eastAsia="Arial" w:hAnsi="Arial"/>
          <w:sz w:val="18"/>
          <w:szCs w:val="18"/>
          <w:color w:val="auto"/>
        </w:rPr>
        <w:t>Tenant, as and for liquidated damages, at any time following any termination of this Lease, a lump sum payment representing, at the time of Landlord’s written notice of its Lump Sum Election, the sum of:</w:t>
      </w:r>
    </w:p>
    <w:p>
      <w:pPr>
        <w:spacing w:after="0" w:line="154" w:lineRule="exact"/>
        <w:rPr>
          <w:sz w:val="20"/>
          <w:szCs w:val="20"/>
          <w:color w:val="auto"/>
        </w:rPr>
      </w:pPr>
    </w:p>
    <w:p>
      <w:pPr>
        <w:jc w:val="both"/>
        <w:ind w:left="1100" w:firstLine="754"/>
        <w:spacing w:after="0" w:line="247" w:lineRule="auto"/>
        <w:tabs>
          <w:tab w:leader="none" w:pos="214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then present value (calculated in accordance with accepted financial practice using as the discount rate the yield to maturity on United States Treasury Notes as set forth below) of the amount of unpaid Base Rent and Additional Rent that would have been payable pursuant to this Lease for the remainder of the Term following Landlord’s Lump Sum Election if this Lease had not been terminated, and</w:t>
      </w:r>
    </w:p>
    <w:p>
      <w:pPr>
        <w:spacing w:after="0" w:line="173" w:lineRule="exact"/>
        <w:rPr>
          <w:rFonts w:ascii="Arial" w:cs="Arial" w:eastAsia="Arial" w:hAnsi="Arial"/>
          <w:sz w:val="18"/>
          <w:szCs w:val="18"/>
          <w:color w:val="auto"/>
        </w:rPr>
      </w:pPr>
    </w:p>
    <w:p>
      <w:pPr>
        <w:ind w:left="1100" w:firstLine="754"/>
        <w:spacing w:after="0" w:line="271" w:lineRule="auto"/>
        <w:tabs>
          <w:tab w:leader="none" w:pos="214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all other damages and expenses (including reasonable attorneys’ fees and expenses), if any, which Landlord shall have sustained by reason of the breach of any provision of this Lease; less</w:t>
      </w:r>
    </w:p>
    <w:p>
      <w:pPr>
        <w:spacing w:after="0" w:line="153" w:lineRule="exact"/>
        <w:rPr>
          <w:rFonts w:ascii="Arial" w:cs="Arial" w:eastAsia="Arial" w:hAnsi="Arial"/>
          <w:sz w:val="18"/>
          <w:szCs w:val="18"/>
          <w:color w:val="auto"/>
        </w:rPr>
      </w:pPr>
    </w:p>
    <w:p>
      <w:pPr>
        <w:jc w:val="both"/>
        <w:ind w:left="1100" w:firstLine="754"/>
        <w:spacing w:after="0"/>
        <w:tabs>
          <w:tab w:leader="none" w:pos="214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the net rental revenue that Landlord may expect to obtain for the Premises for the balance of the Term, calculated based on the then present value (calculated in accordance with accepted financial practice using as the discount rate the yield to maturity on United States Treasury Notes as set forth below) of the aggregate net fair market rent plus additional charges payable for the Premises (if less than the then present value of Base Rent and Additional Rent that would have been payable pursuant to this Lease) for the remainder of the Term following Landlord’s Lump Sum Election, calculated as of the date of Landlord’s Lump Sum Election, and taking into account reasonable estimates of the length of time until the space will be leased and rent will commence to be paid, and future costs to relet any then vacant portions of the Premises (except to the extent that Tenant has actually paid such costs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80" w:lineRule="exact"/>
        <w:rPr>
          <w:sz w:val="20"/>
          <w:szCs w:val="20"/>
          <w:color w:val="auto"/>
        </w:rPr>
      </w:pPr>
    </w:p>
    <w:p>
      <w:pPr>
        <w:jc w:val="both"/>
        <w:ind w:left="360" w:firstLine="749"/>
        <w:spacing w:after="0" w:line="237" w:lineRule="auto"/>
        <w:rPr>
          <w:sz w:val="20"/>
          <w:szCs w:val="20"/>
          <w:color w:val="auto"/>
        </w:rPr>
      </w:pPr>
      <w:r>
        <w:rPr>
          <w:rFonts w:ascii="Arial" w:cs="Arial" w:eastAsia="Arial" w:hAnsi="Arial"/>
          <w:sz w:val="18"/>
          <w:szCs w:val="18"/>
          <w:color w:val="auto"/>
        </w:rPr>
        <w:t>Landlord’s recovery under its Lump Sum Election shall be in addition to Tenant’s obligations to pay Base Rent and Additional Rent due and costs incurred prior to the date of Landlord’s Lump Sum Election, and in lieu of any Base Rent and Additional Rent which would otherwise have been due under this Section from and after the date of Landlord’s Lump Sum Election. The yield to maturity on United States Treasury Notes having a maturity date that is nearest the date that would have been the last day of the Term of this Lease, as reported in T</w:t>
      </w:r>
      <w:r>
        <w:rPr>
          <w:rFonts w:ascii="Arial" w:cs="Arial" w:eastAsia="Arial" w:hAnsi="Arial"/>
          <w:sz w:val="12"/>
          <w:szCs w:val="12"/>
          <w:color w:val="auto"/>
        </w:rPr>
        <w:t>he</w:t>
      </w:r>
      <w:r>
        <w:rPr>
          <w:rFonts w:ascii="Arial" w:cs="Arial" w:eastAsia="Arial" w:hAnsi="Arial"/>
          <w:sz w:val="18"/>
          <w:szCs w:val="18"/>
          <w:color w:val="auto"/>
        </w:rPr>
        <w:t xml:space="preserve"> W</w:t>
      </w:r>
      <w:r>
        <w:rPr>
          <w:rFonts w:ascii="Arial" w:cs="Arial" w:eastAsia="Arial" w:hAnsi="Arial"/>
          <w:sz w:val="12"/>
          <w:szCs w:val="12"/>
          <w:color w:val="auto"/>
        </w:rPr>
        <w:t>all</w:t>
      </w:r>
      <w:r>
        <w:rPr>
          <w:rFonts w:ascii="Arial" w:cs="Arial" w:eastAsia="Arial" w:hAnsi="Arial"/>
          <w:sz w:val="18"/>
          <w:szCs w:val="18"/>
          <w:color w:val="auto"/>
        </w:rPr>
        <w:t xml:space="preserve"> S</w:t>
      </w:r>
      <w:r>
        <w:rPr>
          <w:rFonts w:ascii="Arial" w:cs="Arial" w:eastAsia="Arial" w:hAnsi="Arial"/>
          <w:sz w:val="12"/>
          <w:szCs w:val="12"/>
          <w:color w:val="auto"/>
        </w:rPr>
        <w:t>treet</w:t>
      </w:r>
      <w:r>
        <w:rPr>
          <w:rFonts w:ascii="Arial" w:cs="Arial" w:eastAsia="Arial" w:hAnsi="Arial"/>
          <w:sz w:val="18"/>
          <w:szCs w:val="18"/>
          <w:color w:val="auto"/>
        </w:rPr>
        <w:t xml:space="preserve"> J</w:t>
      </w:r>
      <w:r>
        <w:rPr>
          <w:rFonts w:ascii="Arial" w:cs="Arial" w:eastAsia="Arial" w:hAnsi="Arial"/>
          <w:sz w:val="12"/>
          <w:szCs w:val="12"/>
          <w:color w:val="auto"/>
        </w:rPr>
        <w:t>ournal</w:t>
      </w:r>
      <w:r>
        <w:rPr>
          <w:rFonts w:ascii="Arial" w:cs="Arial" w:eastAsia="Arial" w:hAnsi="Arial"/>
          <w:sz w:val="18"/>
          <w:szCs w:val="18"/>
          <w:color w:val="auto"/>
        </w:rPr>
        <w:t xml:space="preserve"> or a comparable publication if it ceases to publish such yields, shall be used in calculating present values for purposes of Landlord’s Lump Sum Election. For the purposes of this Section, if Landlord makes the Lump Sum Election to recover liquidated damages in accordance with this Section, the total Additional Rent shall be computed based upon Landlord’s reasonable estimate of Tenant’s Share of Operating Expenses and other Additional Rent for each 12-month period in what would have been the remainder of the Term of this Lease and any part thereof at the end of such remainder of the Term, but in no event less than the amounts therefor payable for the twelve (12) calendar months (or if less than twelve (12) calendar months have elapsed since the date hereof, the partial year increased to be on an annualized basis) immediately preceding the date of Landlord’s Lump Sum Election. Amounts of Tenant’s Share of Operating Expenses and any other Additional Rent for any partial year at the beginning of the Term, for the month in which the Lump Sum Election is made, or at the end of what would have been the remainder of the Term shall be prorated.</w:t>
      </w:r>
    </w:p>
    <w:p>
      <w:pPr>
        <w:spacing w:after="0" w:line="189" w:lineRule="exact"/>
        <w:rPr>
          <w:sz w:val="20"/>
          <w:szCs w:val="20"/>
          <w:color w:val="auto"/>
        </w:rPr>
      </w:pPr>
    </w:p>
    <w:p>
      <w:pPr>
        <w:jc w:val="both"/>
        <w:ind w:left="360" w:firstLine="745"/>
        <w:spacing w:after="0" w:line="244" w:lineRule="auto"/>
        <w:tabs>
          <w:tab w:leader="none" w:pos="164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Nothing herein contained shall limit or prejudice the right of Landlord, in any bankruptcy or insolvency proceeding, to prove for and obtain as liquidated damages by reason of such termination an amount equal to the maximum allowed by any bankruptcy or insolvency proceedings, or to prove for and obtain as liquidated damages by reason of such termination, an amount equal to the maximum allowed by any statute or rule of law, whether such amount shall be greater or less than the excess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1276985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123825</wp:posOffset>
            </wp:positionV>
            <wp:extent cx="2425700" cy="41148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8">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27</w:t>
      </w:r>
    </w:p>
    <w:p>
      <w:pPr>
        <w:spacing w:after="0" w:line="14" w:lineRule="exact"/>
        <w:rPr>
          <w:sz w:val="20"/>
          <w:szCs w:val="20"/>
          <w:color w:val="auto"/>
        </w:rPr>
      </w:pPr>
    </w:p>
    <w:p>
      <w:pPr>
        <w:ind w:left="97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ind w:left="360" w:firstLine="745"/>
        <w:spacing w:after="0" w:line="271" w:lineRule="auto"/>
        <w:tabs>
          <w:tab w:leader="none" w:pos="164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deemed to affect the right of either party to indemnifications pursuant to this Lease, which shall be in addition to the remedies set forth in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left="360" w:firstLine="745"/>
        <w:spacing w:after="0" w:line="247" w:lineRule="auto"/>
        <w:tabs>
          <w:tab w:leader="none" w:pos="164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If Landlord terminates this Lease upon the occurrence of a Default, Tenant will quit and surrender the Premises to Landlord or its agents, and Landlord may, without further notice, enter upon, re-enter and repossess the Premises by summary proceedings, ejectment or otherwise. The words “enter”, “re-enter”, and “re-entry” are not restricted to their technical legal meanings.</w:t>
      </w:r>
    </w:p>
    <w:p>
      <w:pPr>
        <w:spacing w:after="0" w:line="173" w:lineRule="exact"/>
        <w:rPr>
          <w:rFonts w:ascii="Arial" w:cs="Arial" w:eastAsia="Arial" w:hAnsi="Arial"/>
          <w:sz w:val="18"/>
          <w:szCs w:val="18"/>
          <w:color w:val="auto"/>
        </w:rPr>
      </w:pPr>
    </w:p>
    <w:p>
      <w:pPr>
        <w:jc w:val="both"/>
        <w:ind w:left="360" w:firstLine="745"/>
        <w:spacing w:after="0" w:line="247" w:lineRule="auto"/>
        <w:tabs>
          <w:tab w:leader="none" w:pos="164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If Tenant shall be in default in the observance or performance of any provision of this Lease, and an action shall be brought for the enforcement thereof in which it shall be determined that Tenant was in default, Tenant shall pay to Landlord all reasonable, out of pocket fees, costs and other expenses which may become payable as a result thereof or in connection therewith, including reasonable attorneys’ fees and expenses.</w:t>
      </w:r>
    </w:p>
    <w:p>
      <w:pPr>
        <w:spacing w:after="0" w:line="173" w:lineRule="exact"/>
        <w:rPr>
          <w:rFonts w:ascii="Arial" w:cs="Arial" w:eastAsia="Arial" w:hAnsi="Arial"/>
          <w:sz w:val="18"/>
          <w:szCs w:val="18"/>
          <w:color w:val="auto"/>
        </w:rPr>
      </w:pPr>
    </w:p>
    <w:p>
      <w:pPr>
        <w:ind w:left="360" w:firstLine="745"/>
        <w:spacing w:after="0" w:line="271" w:lineRule="auto"/>
        <w:tabs>
          <w:tab w:leader="none" w:pos="164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8"/>
          <w:szCs w:val="18"/>
          <w:u w:val="single" w:color="auto"/>
          <w:color w:val="auto"/>
        </w:rPr>
        <w:t>Section 30(d)</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jc w:val="both"/>
        <w:ind w:left="360" w:firstLine="745"/>
        <w:spacing w:after="0"/>
        <w:tabs>
          <w:tab w:leader="none" w:pos="164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In the event that Tenant is in breach or Default under this Lease, whether or not Landlord exercises its right to terminate or any other remedy, Tenant shall reimburse Landlord upon demand for any out of pocket costs and expenses that Landlord may incur in connection with any such breach or Default, as provided in this </w:t>
      </w:r>
      <w:r>
        <w:rPr>
          <w:rFonts w:ascii="Arial" w:cs="Arial" w:eastAsia="Arial" w:hAnsi="Arial"/>
          <w:sz w:val="18"/>
          <w:szCs w:val="18"/>
          <w:u w:val="single" w:color="auto"/>
          <w:color w:val="auto"/>
        </w:rPr>
        <w:t>Section 21(c)</w:t>
      </w:r>
      <w:r>
        <w:rPr>
          <w:rFonts w:ascii="Arial" w:cs="Arial" w:eastAsia="Arial" w:hAnsi="Arial"/>
          <w:sz w:val="18"/>
          <w:szCs w:val="18"/>
          <w:color w:val="auto"/>
        </w:rPr>
        <w:t>. Such costs shall include legal fees and costs incurred for the negotiation of a settlement, enforcement of rights or otherwise. Tenant shall also indemnify Landlord against and hold Landlord harmless from all costs, expenses, demands and liability, including without limitation, legal fees and costs Landlord shall incur if Landlord shall become or be made a party to any claim or action instituted by Tenant against any third party, by any third party against Tenant or by or against any person holding any interest under or using the Premises by license of or agreement with Tenant.</w:t>
      </w:r>
    </w:p>
    <w:p>
      <w:pPr>
        <w:spacing w:after="0" w:line="180" w:lineRule="exact"/>
        <w:rPr>
          <w:rFonts w:ascii="Arial" w:cs="Arial" w:eastAsia="Arial" w:hAnsi="Arial"/>
          <w:sz w:val="18"/>
          <w:szCs w:val="18"/>
          <w:color w:val="auto"/>
        </w:rPr>
      </w:pPr>
    </w:p>
    <w:p>
      <w:pPr>
        <w:jc w:val="both"/>
        <w:ind w:left="-400" w:firstLine="757"/>
        <w:spacing w:after="0" w:line="242" w:lineRule="auto"/>
        <w:tabs>
          <w:tab w:leader="none" w:pos="74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21</w:t>
      </w:r>
      <w:r>
        <w:rPr>
          <w:rFonts w:ascii="Arial" w:cs="Arial" w:eastAsia="Arial" w:hAnsi="Arial"/>
          <w:sz w:val="18"/>
          <w:szCs w:val="18"/>
          <w:color w:val="auto"/>
        </w:rPr>
        <w:t>, no right or remedy herein conferred upon or reserved to Landlord is intended to be exclusive of any other right or remedy, and every right and remedy shall be cumulative and in addition to any other legal or equitable right or remedy given hereunder, or now or hereafter existing. No waiver by Landlord of any provision of this Lease shall be deemed to have been made unless expressly so made in writing by Landlord expressly waiving such provision. Landlord shall be entitled, to the extent permitted by law, to seek injunctive relief in case of the violation, or attempted or threatened violation, of any provision of this Lease, or to seek a decree compelling observance or performance of any provision of this Lease, or to seek any other legal or equitable remedy.</w:t>
      </w:r>
    </w:p>
    <w:p>
      <w:pPr>
        <w:spacing w:after="0" w:line="179" w:lineRule="exact"/>
        <w:rPr>
          <w:sz w:val="20"/>
          <w:szCs w:val="20"/>
          <w:color w:val="auto"/>
        </w:rPr>
      </w:pPr>
    </w:p>
    <w:p>
      <w:pPr>
        <w:ind w:left="620" w:hanging="263"/>
        <w:spacing w:after="0"/>
        <w:tabs>
          <w:tab w:leader="none" w:pos="620"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212" w:lineRule="exact"/>
        <w:rPr>
          <w:sz w:val="20"/>
          <w:szCs w:val="20"/>
          <w:color w:val="auto"/>
        </w:rPr>
      </w:pPr>
    </w:p>
    <w:p>
      <w:pPr>
        <w:jc w:val="both"/>
        <w:ind w:left="-400" w:firstLine="757"/>
        <w:spacing w:after="0" w:line="239" w:lineRule="auto"/>
        <w:tabs>
          <w:tab w:leader="none" w:pos="618"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General Prohibition</w:t>
      </w:r>
      <w:r>
        <w:rPr>
          <w:rFonts w:ascii="Arial" w:cs="Arial" w:eastAsia="Arial" w:hAnsi="Arial"/>
          <w:sz w:val="18"/>
          <w:szCs w:val="18"/>
          <w:color w:val="auto"/>
        </w:rPr>
        <w:t>. Without Landlord’s prior written consent subject to and on the conditions described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not, directly or indirectly, voluntarily or by operation of law, assign this Lease or sublease the Premises or any part thereof or mortgage, pledge, or hypothecate its leasehold interest or grant any concession or license within the Premises or any part thereof, and any attempt to do any of the foregoing shall be void and of no effect. If Tenant is a corporation, partnership (limited, general or other) or limited liability company (or other business associations), the shares or other ownership interests thereof which are not actively traded upon a stock exchange or in the over-the-counter market, a transfer or series of transfers whereby 50% or more of the issued and outstanding shares or other ownership interests of such corporation, partnership (limited, general or other) or limited liability company (or other business associations) are, or voting control is, transferred (but excepting transfers upon deaths of individual owners) from a person or persons or entity or entities (or other business associations) which were owners thereof at time of execution of this Lease to persons or entities (or other business associations)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1279525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126365</wp:posOffset>
            </wp:positionV>
            <wp:extent cx="2425700" cy="41148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sectPr>
      </w:pPr>
    </w:p>
    <w:bookmarkStart w:id="355" w:name="page356"/>
    <w:bookmarkEnd w:id="355"/>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28</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who were not owners of shares or other ownership interests of the corporation, partnership or limited liability company (or other business associations) at time of execution of this Lease, shall be deemed an assignment of this Lease requiring the consent of Landlord as provided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to the contrary, any public offering of shares or other ownership interest in Tenant on a nationally recognized stock exchange shall not be deemed an assignment requiring consent of the Landlord.</w:t>
      </w:r>
    </w:p>
    <w:p>
      <w:pPr>
        <w:spacing w:after="0" w:line="174" w:lineRule="exact"/>
        <w:rPr>
          <w:sz w:val="20"/>
          <w:szCs w:val="20"/>
          <w:color w:val="auto"/>
        </w:rPr>
      </w:pPr>
    </w:p>
    <w:p>
      <w:pPr>
        <w:jc w:val="both"/>
        <w:ind w:firstLine="757"/>
        <w:spacing w:after="0" w:line="235" w:lineRule="auto"/>
        <w:tabs>
          <w:tab w:leader="none" w:pos="1018"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Permitted Transfers</w:t>
      </w:r>
      <w:r>
        <w:rPr>
          <w:rFonts w:ascii="Arial" w:cs="Arial" w:eastAsia="Arial" w:hAnsi="Arial"/>
          <w:sz w:val="18"/>
          <w:szCs w:val="18"/>
          <w:color w:val="auto"/>
        </w:rPr>
        <w:t>. If Tenant desires to assign, sublease, hypothecate or otherwise transfer this Lease or sublet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other than pursuant to a Permitted Assignment (as defined below), then at least 15 business days, but not more than 60 days, before the date Tenant desires the assignment or sublease to be effective (the “</w:t>
      </w:r>
      <w:r>
        <w:rPr>
          <w:rFonts w:ascii="Arial" w:cs="Arial" w:eastAsia="Arial" w:hAnsi="Arial"/>
          <w:sz w:val="18"/>
          <w:szCs w:val="18"/>
          <w:b w:val="1"/>
          <w:bCs w:val="1"/>
          <w:color w:val="auto"/>
        </w:rPr>
        <w:t>Assignment Date</w:t>
      </w:r>
      <w:r>
        <w:rPr>
          <w:rFonts w:ascii="Arial" w:cs="Arial" w:eastAsia="Arial" w:hAnsi="Arial"/>
          <w:sz w:val="18"/>
          <w:szCs w:val="18"/>
          <w:color w:val="auto"/>
        </w:rPr>
        <w:t>”), Tenant shall give Landlord a notice (the “</w:t>
      </w:r>
      <w:r>
        <w:rPr>
          <w:rFonts w:ascii="Arial" w:cs="Arial" w:eastAsia="Arial" w:hAnsi="Arial"/>
          <w:sz w:val="18"/>
          <w:szCs w:val="18"/>
          <w:b w:val="1"/>
          <w:bCs w:val="1"/>
          <w:color w:val="auto"/>
        </w:rPr>
        <w:t>Assignment Notice</w:t>
      </w:r>
      <w:r>
        <w:rPr>
          <w:rFonts w:ascii="Arial" w:cs="Arial" w:eastAsia="Arial" w:hAnsi="Arial"/>
          <w:sz w:val="18"/>
          <w:szCs w:val="18"/>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provided Landlord will not unreasonably withhold, condition or delay consent (provided that, in the case of a sublease, Landlord shall further have the right to review and approve or disapprove the proposed form of sublease prior to the effective date of any such subletting), or (iii) terminate this Lease with respect to the space described in the Assignment Notice as of the Assignment Date (an “</w:t>
      </w:r>
      <w:r>
        <w:rPr>
          <w:rFonts w:ascii="Arial" w:cs="Arial" w:eastAsia="Arial" w:hAnsi="Arial"/>
          <w:sz w:val="18"/>
          <w:szCs w:val="18"/>
          <w:b w:val="1"/>
          <w:bCs w:val="1"/>
          <w:color w:val="auto"/>
        </w:rPr>
        <w:t>Assignment Termination</w:t>
      </w:r>
      <w:r>
        <w:rPr>
          <w:rFonts w:ascii="Arial" w:cs="Arial" w:eastAsia="Arial" w:hAnsi="Arial"/>
          <w:sz w:val="18"/>
          <w:szCs w:val="18"/>
          <w:color w:val="auto"/>
        </w:rPr>
        <w:t>”). Without limiting the other grounds upon which it may be reasonable for Landlord to refuse consent, it shall be deemed reasonable for Landlord to refuse consent if (1) the proposed assignee or subtenant is a governmental agency; (2) in Landlord’s reasonable judgment, the use of the Premises by the proposed assignee or subtenant would require increased services by Landlord; (3) the proposed assignee or subtenant is engaged in areas of scientific research or other business concerns that are controversial such that Landlord reasonably determines the same could reasonably be expected to (A) attract or cause negative publicity for or about the Building or the Project, (B) negatively affect the reputation of the Building, the Project or Landlord, (C) attract protestors to the Building or the Project, or (D) lessen the attractiveness of the Building or the Project to any tenants or prospective tenants, purchasers or lenders; (4) in Landlord’s reasonable judgment, the proposed assignee or subtenant lacks the creditworthiness to support the financial obligations it will incur under the proposed assignment or sublease; (5) in Landlord’s reasonable judgment, the character, reputation, or business of the proposed assignee or subtenant is inconsistent with the desired tenant-mix or the quality of other tenancies in the Project or is inconsistent with the type and quality of the nature of the Building; (6) Landlord has received from any prior landlord to the proposed assignee or subtenant a negative report concerning such prior landlord’s experience with the proposed assignee or subtenant; (7) Landlord has experienced previous defaults by or is in litigation with the proposed assignee or subtenant; (8) the use of the Premises by the proposed assignee or subtenant will violate any applicable Legal Requirement; (9) the proposed assignee or subtenant, or any entity that, directly or indirectly, controls, is controlled by, or is under common control with the proposed assignee or subtenant, is then an occupant of the Project and the Landlord has available space of substantially similar size and use at the Project; (10) the proposed assignee or subtenant is an entity with whom Landlord is actively negotiating (e.g., a proposal being shared and responded to) to lease space in the Project; (11) the proposed assignee or subtenant (or such party’s affiliates, principals or predecessors) has been requested to take remedial action in connection with Hazardous Materials contamination or Landlord otherwise determines the proposed assignee’s or subtenant’s use of the Premises presents a risk associated with Hazardous Materials or is not compatible with the Project; or (12) the assignment or sublease is prohibited by Landlord’s lender. If Landlord 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1298575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144780</wp:posOffset>
            </wp:positionV>
            <wp:extent cx="2425700" cy="41148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2">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6" w:name="page357"/>
    <w:bookmarkEnd w:id="356"/>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29</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Two Thousand Five Hundred Dollars ($2,500) in connection with its consideration of any Assignment Notice and/or its preparation or review of any consent documents.</w:t>
      </w:r>
    </w:p>
    <w:p>
      <w:pPr>
        <w:spacing w:after="0" w:line="17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In addition, Tenant shall have the right to assign this Lease, upon 30 days prior written notice to Landlord (except to the extent (a) prohibited by applicable securities or other laws or regulations, in which case such notice shall be provided as soon as permitted, or (b) prohibited by confidentiality requirements, in which case such notice shall be provided as soon as permitted but in no event later than 10 days before such transaction)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(i) such merger or consolidation, or such acquisition or assumption, as the case may be, is for a good business purpose and not principally for the purpose of transferring this Lease, and (ii) the net worth (as determined in accordance with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of the assignee is not less than the net worth (as determined in accordance with GAAP) of Tenant as of the Commencement Date, and (iii) such assignee shall agree in writing to assume all of the terms, covenants and conditions of this Lease (a “</w:t>
      </w:r>
      <w:r>
        <w:rPr>
          <w:rFonts w:ascii="Arial" w:cs="Arial" w:eastAsia="Arial" w:hAnsi="Arial"/>
          <w:sz w:val="18"/>
          <w:szCs w:val="18"/>
          <w:b w:val="1"/>
          <w:bCs w:val="1"/>
          <w:color w:val="auto"/>
        </w:rPr>
        <w:t>Permitted Assignment</w:t>
      </w:r>
      <w:r>
        <w:rPr>
          <w:rFonts w:ascii="Arial" w:cs="Arial" w:eastAsia="Arial" w:hAnsi="Arial"/>
          <w:sz w:val="18"/>
          <w:szCs w:val="18"/>
          <w:color w:val="auto"/>
        </w:rPr>
        <w:t>”).</w:t>
      </w:r>
    </w:p>
    <w:p>
      <w:pPr>
        <w:spacing w:after="0" w:line="180" w:lineRule="exact"/>
        <w:rPr>
          <w:sz w:val="20"/>
          <w:szCs w:val="20"/>
          <w:color w:val="auto"/>
        </w:rPr>
      </w:pPr>
    </w:p>
    <w:p>
      <w:pPr>
        <w:ind w:firstLine="757"/>
        <w:spacing w:after="0" w:line="271" w:lineRule="auto"/>
        <w:tabs>
          <w:tab w:leader="none" w:pos="1018"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Additional Conditions</w:t>
      </w:r>
      <w:r>
        <w:rPr>
          <w:rFonts w:ascii="Arial" w:cs="Arial" w:eastAsia="Arial" w:hAnsi="Arial"/>
          <w:sz w:val="18"/>
          <w:szCs w:val="18"/>
          <w:color w:val="auto"/>
        </w:rPr>
        <w:t>. As a condition to any such assignment or subletting, whether or not Landlord’s consent is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may require:</w:t>
      </w:r>
    </w:p>
    <w:p>
      <w:pPr>
        <w:spacing w:after="0" w:line="153" w:lineRule="exact"/>
        <w:rPr>
          <w:rFonts w:ascii="Arial" w:cs="Arial" w:eastAsia="Arial" w:hAnsi="Arial"/>
          <w:sz w:val="18"/>
          <w:szCs w:val="18"/>
          <w:color w:val="auto"/>
        </w:rPr>
      </w:pPr>
    </w:p>
    <w:p>
      <w:pPr>
        <w:jc w:val="both"/>
        <w:ind w:left="760" w:firstLine="745"/>
        <w:spacing w:after="0" w:line="242" w:lineRule="auto"/>
        <w:tabs>
          <w:tab w:leader="none" w:pos="204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this Lease, and any such third party shall agree to attorn to Landlord or its successors and assigns should this Lease be terminated for any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Landlord or its successors or assigns be obligated to accept such attornment; and</w:t>
      </w:r>
    </w:p>
    <w:p>
      <w:pPr>
        <w:spacing w:after="0" w:line="178" w:lineRule="exact"/>
        <w:rPr>
          <w:rFonts w:ascii="Arial" w:cs="Arial" w:eastAsia="Arial" w:hAnsi="Arial"/>
          <w:sz w:val="18"/>
          <w:szCs w:val="18"/>
          <w:color w:val="auto"/>
        </w:rPr>
      </w:pPr>
    </w:p>
    <w:p>
      <w:pPr>
        <w:jc w:val="both"/>
        <w:ind w:left="760" w:firstLine="745"/>
        <w:spacing w:after="0" w:line="238" w:lineRule="auto"/>
        <w:tabs>
          <w:tab w:leader="none" w:pos="204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85" w:lineRule="exact"/>
        <w:rPr>
          <w:rFonts w:ascii="Arial" w:cs="Arial" w:eastAsia="Arial" w:hAnsi="Arial"/>
          <w:sz w:val="18"/>
          <w:szCs w:val="18"/>
          <w:color w:val="auto"/>
        </w:rPr>
      </w:pPr>
    </w:p>
    <w:p>
      <w:pPr>
        <w:jc w:val="both"/>
        <w:ind w:firstLine="757"/>
        <w:spacing w:after="0" w:line="244" w:lineRule="auto"/>
        <w:tabs>
          <w:tab w:leader="none" w:pos="1018"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No Release of Tenant, Sharing of Excess Rents</w:t>
      </w:r>
      <w:r>
        <w:rPr>
          <w:rFonts w:ascii="Arial" w:cs="Arial" w:eastAsia="Arial" w:hAnsi="Arial"/>
          <w:sz w:val="18"/>
          <w:szCs w:val="18"/>
          <w:color w:val="auto"/>
        </w:rPr>
        <w:t>. Notwithstanding any assignment or subletting, Tenant shall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1276985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123825</wp:posOffset>
            </wp:positionV>
            <wp:extent cx="2425700" cy="41148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7" w:name="page358"/>
    <w:bookmarkEnd w:id="357"/>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30</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reasonable brokerage fees, legal costs and any design or construction fees directly related to and required pursuant to the terms of any such sublease or market concessions (“</w:t>
      </w:r>
      <w:r>
        <w:rPr>
          <w:rFonts w:ascii="Arial" w:cs="Arial" w:eastAsia="Arial" w:hAnsi="Arial"/>
          <w:sz w:val="18"/>
          <w:szCs w:val="18"/>
          <w:b w:val="1"/>
          <w:bCs w:val="1"/>
          <w:color w:val="auto"/>
        </w:rPr>
        <w:t>Excess Rent</w:t>
      </w:r>
      <w:r>
        <w:rPr>
          <w:rFonts w:ascii="Arial" w:cs="Arial" w:eastAsia="Arial" w:hAnsi="Arial"/>
          <w:sz w:val="18"/>
          <w:szCs w:val="18"/>
          <w:color w:val="auto"/>
        </w:rPr>
        <w:t>”), then Tenant shall be bound and obligated to pay Landlord as Additional Rent hereunder 50% of such Excess Rent within 30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solely for the limited purpose of receiving such rent from subletting, or a receiver for Tenant appointed on Landlord’s application, may collect such rent and apply it toward Tenant’s obligations under this Lease; except that, until the occurrence of a Default, Tenant shall have the right to collect such rent.</w:t>
      </w:r>
    </w:p>
    <w:p>
      <w:pPr>
        <w:spacing w:after="0" w:line="185" w:lineRule="exact"/>
        <w:rPr>
          <w:sz w:val="20"/>
          <w:szCs w:val="20"/>
          <w:color w:val="auto"/>
        </w:rPr>
      </w:pPr>
    </w:p>
    <w:p>
      <w:pPr>
        <w:jc w:val="both"/>
        <w:ind w:firstLine="757"/>
        <w:spacing w:after="0" w:line="244" w:lineRule="auto"/>
        <w:tabs>
          <w:tab w:leader="none" w:pos="1018" w:val="left"/>
        </w:tabs>
        <w:numPr>
          <w:ilvl w:val="1"/>
          <w:numId w:val="232"/>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 Lease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sublessees of 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76" w:lineRule="exact"/>
        <w:rPr>
          <w:rFonts w:ascii="Arial" w:cs="Arial" w:eastAsia="Arial" w:hAnsi="Arial"/>
          <w:sz w:val="18"/>
          <w:szCs w:val="18"/>
          <w:color w:val="auto"/>
        </w:rPr>
      </w:pPr>
    </w:p>
    <w:p>
      <w:pPr>
        <w:jc w:val="both"/>
        <w:ind w:firstLine="757"/>
        <w:spacing w:after="0" w:line="241" w:lineRule="auto"/>
        <w:tabs>
          <w:tab w:leader="none" w:pos="1018" w:val="left"/>
        </w:tabs>
        <w:numPr>
          <w:ilvl w:val="1"/>
          <w:numId w:val="232"/>
        </w:numPr>
        <w:rPr>
          <w:rFonts w:ascii="Arial" w:cs="Arial" w:eastAsia="Arial" w:hAnsi="Arial"/>
          <w:sz w:val="18"/>
          <w:szCs w:val="18"/>
          <w:color w:val="auto"/>
        </w:rPr>
      </w:pPr>
      <w:r>
        <w:rPr>
          <w:rFonts w:ascii="Arial" w:cs="Arial" w:eastAsia="Arial" w:hAnsi="Arial"/>
          <w:sz w:val="18"/>
          <w:szCs w:val="18"/>
          <w:b w:val="1"/>
          <w:bCs w:val="1"/>
          <w:color w:val="auto"/>
        </w:rPr>
        <w:t>Prior Conduct of Proposed Transferee</w:t>
      </w:r>
      <w:r>
        <w:rPr>
          <w:rFonts w:ascii="Arial" w:cs="Arial" w:eastAsia="Arial" w:hAnsi="Arial"/>
          <w:sz w:val="18"/>
          <w:szCs w:val="18"/>
          <w:color w:val="auto"/>
        </w:rPr>
        <w:t>. Notwithstanding any other provision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if (i) the proposed assignee or</w:t>
      </w:r>
      <w:r>
        <w:rPr>
          <w:rFonts w:ascii="Arial" w:cs="Arial" w:eastAsia="Arial" w:hAnsi="Arial"/>
          <w:sz w:val="18"/>
          <w:szCs w:val="18"/>
          <w:b w:val="1"/>
          <w:bCs w:val="1"/>
          <w:color w:val="auto"/>
        </w:rPr>
        <w:t xml:space="preserve"> </w:t>
      </w:r>
      <w:r>
        <w:rPr>
          <w:rFonts w:ascii="Arial" w:cs="Arial" w:eastAsia="Arial" w:hAnsi="Arial"/>
          <w:sz w:val="18"/>
          <w:szCs w:val="18"/>
          <w:color w:val="auto"/>
        </w:rPr>
        <w:t>sublessee of Tenant has been required by any prior landlord, lender or Governmental Authority to take remedial action in connection with Hazardous Materials contaminating a property, where the contamination resulted from such party’s action or use of the property in question,</w:t>
      </w:r>
    </w:p>
    <w:p>
      <w:pPr>
        <w:spacing w:after="0" w:line="1" w:lineRule="exact"/>
        <w:rPr>
          <w:rFonts w:ascii="Arial" w:cs="Arial" w:eastAsia="Arial" w:hAnsi="Arial"/>
          <w:sz w:val="18"/>
          <w:szCs w:val="18"/>
          <w:color w:val="auto"/>
        </w:rPr>
      </w:pPr>
    </w:p>
    <w:p>
      <w:pPr>
        <w:jc w:val="both"/>
        <w:ind w:firstLine="8"/>
        <w:spacing w:after="0" w:line="237" w:lineRule="auto"/>
        <w:tabs>
          <w:tab w:leader="none" w:pos="2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85" w:lineRule="exact"/>
        <w:rPr>
          <w:sz w:val="20"/>
          <w:szCs w:val="20"/>
          <w:color w:val="auto"/>
        </w:rPr>
      </w:pPr>
    </w:p>
    <w:p>
      <w:pPr>
        <w:jc w:val="both"/>
        <w:ind w:firstLine="757"/>
        <w:spacing w:after="0" w:line="239" w:lineRule="auto"/>
        <w:tabs>
          <w:tab w:leader="none" w:pos="1018"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Estoppel Certificate</w:t>
      </w:r>
      <w:r>
        <w:rPr>
          <w:rFonts w:ascii="Arial" w:cs="Arial" w:eastAsia="Arial" w:hAnsi="Arial"/>
          <w:sz w:val="18"/>
          <w:szCs w:val="18"/>
          <w:color w:val="auto"/>
        </w:rPr>
        <w:t>. Tenant shall, within 10 business days of written notice from Landlord, execute, acknowledge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a 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are a part. Tenant’s failure to deliver such statement within such time shall be conclusive upon Tenant that this Lease is in full force and effect and without modification except as may be represented by Landlord in any certificate prepared by Landlord and delivered to Tenant for execution.</w:t>
      </w:r>
    </w:p>
    <w:p>
      <w:pPr>
        <w:spacing w:after="0" w:line="183" w:lineRule="exact"/>
        <w:rPr>
          <w:rFonts w:ascii="Arial" w:cs="Arial" w:eastAsia="Arial" w:hAnsi="Arial"/>
          <w:sz w:val="18"/>
          <w:szCs w:val="18"/>
          <w:color w:val="auto"/>
        </w:rPr>
      </w:pPr>
    </w:p>
    <w:p>
      <w:pPr>
        <w:ind w:right="20" w:firstLine="757"/>
        <w:spacing w:after="0" w:line="271" w:lineRule="auto"/>
        <w:tabs>
          <w:tab w:leader="none" w:pos="1018"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is not in Default under this Lease, Tenant shall, subject to the terms of this Lease, at all</w:t>
      </w:r>
      <w:r>
        <w:rPr>
          <w:rFonts w:ascii="Arial" w:cs="Arial" w:eastAsia="Arial" w:hAnsi="Arial"/>
          <w:sz w:val="18"/>
          <w:szCs w:val="18"/>
          <w:b w:val="1"/>
          <w:bCs w:val="1"/>
          <w:color w:val="auto"/>
        </w:rPr>
        <w:t xml:space="preserve"> </w:t>
      </w:r>
      <w:r>
        <w:rPr>
          <w:rFonts w:ascii="Arial" w:cs="Arial" w:eastAsia="Arial" w:hAnsi="Arial"/>
          <w:sz w:val="18"/>
          <w:szCs w:val="18"/>
          <w:color w:val="auto"/>
        </w:rPr>
        <w:t>times during the Term, have peaceful and quiet enjoyment of the Premises against any person claiming by, through or under Landlord.</w:t>
      </w:r>
    </w:p>
    <w:p>
      <w:pPr>
        <w:spacing w:after="0" w:line="153" w:lineRule="exact"/>
        <w:rPr>
          <w:rFonts w:ascii="Arial" w:cs="Arial" w:eastAsia="Arial" w:hAnsi="Arial"/>
          <w:sz w:val="18"/>
          <w:szCs w:val="18"/>
          <w:color w:val="auto"/>
        </w:rPr>
      </w:pPr>
    </w:p>
    <w:p>
      <w:pPr>
        <w:ind w:left="1020" w:hanging="263"/>
        <w:spacing w:after="0"/>
        <w:tabs>
          <w:tab w:leader="none" w:pos="1020"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Prorations</w:t>
      </w:r>
      <w:r>
        <w:rPr>
          <w:rFonts w:ascii="Arial" w:cs="Arial" w:eastAsia="Arial" w:hAnsi="Arial"/>
          <w:sz w:val="18"/>
          <w:szCs w:val="18"/>
          <w:color w:val="auto"/>
        </w:rPr>
        <w:t>.  All prorations required or permitted to be made hereunder shall be made on the basis of a 360-day year and 30-</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day months.</w:t>
      </w:r>
    </w:p>
    <w:p>
      <w:pPr>
        <w:spacing w:after="0" w:line="193" w:lineRule="exact"/>
        <w:rPr>
          <w:rFonts w:ascii="Arial" w:cs="Arial" w:eastAsia="Arial" w:hAnsi="Arial"/>
          <w:sz w:val="18"/>
          <w:szCs w:val="18"/>
          <w:color w:val="auto"/>
        </w:rPr>
      </w:pPr>
    </w:p>
    <w:p>
      <w:pPr>
        <w:ind w:firstLine="757"/>
        <w:spacing w:after="0" w:line="271" w:lineRule="auto"/>
        <w:tabs>
          <w:tab w:leader="none" w:pos="1018"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and any and all Tenant Parties shall, at all times during the Term and any extension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all reasonable rules and regulations at any time or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1262380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109855</wp:posOffset>
            </wp:positionV>
            <wp:extent cx="2425700" cy="41148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6">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8" w:name="page359"/>
    <w:bookmarkEnd w:id="358"/>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31</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time to time established, modified or amended by Landlord covering use of the Premises and the Project. The current rules and regulations are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Landlord shall not enforce such rules and regulations in a discriminatory manner.</w:t>
      </w:r>
    </w:p>
    <w:p>
      <w:pPr>
        <w:spacing w:after="0" w:line="174"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In addition to the foregoing, Landlord shall have the right to institute, modify or amend at any time or from time to time reasonable rules and regulations related to Tenant’s use of the Amenities, including by way of example but not limitation, requirements related to reservation systems for conference facilities, designation of permitted caterers or restaurants that may serve any conference facilities, reasonable fees for the use of conference facilities, liability waivers for individuals using gyms, and access card entry requirements. Tenant and any and all Tenant Parties shall comply with all such rules and regulations, provided notice of such modified or amended rules and regulations are delivered in writing to Tenant.</w:t>
      </w:r>
    </w:p>
    <w:p>
      <w:pPr>
        <w:spacing w:after="0" w:line="17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 xml:space="preserve">Tenant shall cause all Tenant Parties to comply with all rules and regulations established from time to time by Landlord pursuant to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Tenant will reimburse Landlord for all damages caused by Tenant’s or any Tenant Party’s failure to comply with the provisions of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 will also pay to Landlord, as Additional Rent, an amount equal to any increase in insurance premiums caused by such failure to comply.</w:t>
      </w:r>
    </w:p>
    <w:p>
      <w:pPr>
        <w:spacing w:after="0" w:line="174" w:lineRule="exact"/>
        <w:rPr>
          <w:sz w:val="20"/>
          <w:szCs w:val="20"/>
          <w:color w:val="auto"/>
        </w:rPr>
      </w:pPr>
    </w:p>
    <w:p>
      <w:pPr>
        <w:jc w:val="both"/>
        <w:ind w:firstLine="757"/>
        <w:spacing w:after="0" w:line="237" w:lineRule="auto"/>
        <w:tabs>
          <w:tab w:leader="none" w:pos="1018"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Subordination</w:t>
      </w:r>
      <w:r>
        <w:rPr>
          <w:rFonts w:ascii="Arial" w:cs="Arial" w:eastAsia="Arial" w:hAnsi="Arial"/>
          <w:sz w:val="18"/>
          <w:szCs w:val="18"/>
          <w:color w:val="auto"/>
        </w:rPr>
        <w:t>. This Lease and Tenant’s interest and rights hereunder are hereby made and shall be subject and subordinate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all times to the lien of any Mortgage now existing or hereafter created on or against the Project, the Building,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within 5 business days following demand to execute, acknowledge and deliver such commercially customary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8"/>
          <w:szCs w:val="18"/>
          <w:b w:val="1"/>
          <w:bCs w:val="1"/>
          <w:color w:val="auto"/>
        </w:rPr>
        <w:t>Mortgage</w:t>
      </w:r>
      <w:r>
        <w:rPr>
          <w:rFonts w:ascii="Arial" w:cs="Arial" w:eastAsia="Arial" w:hAnsi="Arial"/>
          <w:sz w:val="18"/>
          <w:szCs w:val="18"/>
          <w:color w:val="auto"/>
        </w:rPr>
        <w:t>” whenever used in this Lease shall be deemed to include mortgages, deeds of trust, security assignments and any other encumbrances, and any reference to the “</w:t>
      </w:r>
      <w:r>
        <w:rPr>
          <w:rFonts w:ascii="Arial" w:cs="Arial" w:eastAsia="Arial" w:hAnsi="Arial"/>
          <w:sz w:val="18"/>
          <w:szCs w:val="18"/>
          <w:b w:val="1"/>
          <w:bCs w:val="1"/>
          <w:color w:val="auto"/>
        </w:rPr>
        <w:t>Holder</w:t>
      </w:r>
      <w:r>
        <w:rPr>
          <w:rFonts w:ascii="Arial" w:cs="Arial" w:eastAsia="Arial" w:hAnsi="Arial"/>
          <w:sz w:val="18"/>
          <w:szCs w:val="18"/>
          <w:color w:val="auto"/>
        </w:rPr>
        <w:t>” of a Mortgage shall be deemed to include the mortgagee or beneficiary under a deed of trust.</w:t>
      </w:r>
    </w:p>
    <w:p>
      <w:pPr>
        <w:spacing w:after="0" w:line="188"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As of the date of this Lease, Landlord represents there is no existing Mortgage encumbering the Project. If during the Term there is a Mortgage encumbering the Project, Landlord agrees to use reasonable efforts to cause the Holder of the then-current Mortgage to enter into a subordination, non -disturbance and attornment agreement ("</w:t>
      </w:r>
      <w:r>
        <w:rPr>
          <w:rFonts w:ascii="Arial" w:cs="Arial" w:eastAsia="Arial" w:hAnsi="Arial"/>
          <w:sz w:val="18"/>
          <w:szCs w:val="18"/>
          <w:b w:val="1"/>
          <w:bCs w:val="1"/>
          <w:color w:val="auto"/>
        </w:rPr>
        <w:t>SNDA</w:t>
      </w:r>
      <w:r>
        <w:rPr>
          <w:rFonts w:ascii="Arial" w:cs="Arial" w:eastAsia="Arial" w:hAnsi="Arial"/>
          <w:sz w:val="18"/>
          <w:szCs w:val="18"/>
          <w:color w:val="auto"/>
        </w:rPr>
        <w:t>") with Tenant with respect to this Lease. The SNDA shall be on the commercially customary form proscribed by the Holder, and Landlord shall request that Holder make any commercially reasonable changes to the SNDA requested by Tenant. Landlord’s failure to cause the Holder to enter into the SNDA with Tenant (or make any of the changes requested by Tenant) shall not be a default by Landlord under this Lease.</w:t>
      </w:r>
    </w:p>
    <w:p>
      <w:pPr>
        <w:spacing w:after="0" w:line="179" w:lineRule="exact"/>
        <w:rPr>
          <w:sz w:val="20"/>
          <w:szCs w:val="20"/>
          <w:color w:val="auto"/>
        </w:rPr>
      </w:pPr>
    </w:p>
    <w:p>
      <w:pPr>
        <w:jc w:val="both"/>
        <w:ind w:firstLine="757"/>
        <w:spacing w:after="0" w:line="250" w:lineRule="auto"/>
        <w:tabs>
          <w:tab w:leader="none" w:pos="1018"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Surrender</w:t>
      </w:r>
      <w:r>
        <w:rPr>
          <w:rFonts w:ascii="Arial" w:cs="Arial" w:eastAsia="Arial" w:hAnsi="Arial"/>
          <w:sz w:val="18"/>
          <w:szCs w:val="18"/>
          <w:color w:val="auto"/>
        </w:rPr>
        <w:t>. Upon the expiration of the Term or earlier termination of Tenant’s right of possession, Tenant shall surrender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to Landlord in the same 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8"/>
          <w:szCs w:val="18"/>
          <w:b w:val="1"/>
          <w:bCs w:val="1"/>
          <w:color w:val="auto"/>
        </w:rPr>
        <w:t>Tenant HazMat Operations</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1268730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116205</wp:posOffset>
            </wp:positionV>
            <wp:extent cx="2425700" cy="41148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8">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9" w:name="page360"/>
    <w:bookmarkEnd w:id="359"/>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32</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released of all Hazardous Materials Clearances, broom clean, ordinary wear and tear, Landlord’s repair and maintenance obligations, and casualty loss and condemnation covered by </w:t>
      </w:r>
      <w:r>
        <w:rPr>
          <w:rFonts w:ascii="Arial" w:cs="Arial" w:eastAsia="Arial" w:hAnsi="Arial"/>
          <w:sz w:val="18"/>
          <w:szCs w:val="18"/>
          <w:u w:val="single" w:color="auto"/>
          <w:color w:val="auto"/>
        </w:rPr>
        <w:t>Sections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excepted. At least 3 months prior to the surrender of the Premises or such earlier date as Tenant may elect to cease operations at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8"/>
          <w:szCs w:val="18"/>
          <w:b w:val="1"/>
          <w:bCs w:val="1"/>
          <w:color w:val="auto"/>
        </w:rPr>
        <w:t>Decommissioning and HazMat Closure</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Such Decommissioning and HazMat Closure Plan shall be accompanied by a current listing of (i) all Hazardous Materials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Decommissioning and HazMat Closure Plan, upon the request of Landlord, Tenant shall deliver to Landlord or its consultant such additional non-proprietary information concerning Tenant HazMat Operations as Landlord shall request. On or before such surrender, Tenant shall deliver to Landlord evidence that the approved Decommissioning and HazMat Closure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this Lease, free from any residual impact from Tenant HazMat Operations. Tenant shall reimburse Landlord, as Additional Rent, for the actual out-of-pocket expense incurred by Landlord for Landlord’s environmental consultant to review and approve the Decommissioning and HazMat Closure Plan and to visit the Premises and verify satisfactory completion of the same, which cost shall not exceed $5,000. Landlord shall have the unrestricted right to deliver such Decommissioning and HazMat Closure Plan and any report by Landlord’s environmental consultant with respect to the surrender of the Premises to third parties.</w:t>
      </w:r>
    </w:p>
    <w:p>
      <w:pPr>
        <w:spacing w:after="0" w:line="19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 xml:space="preserve">If Tenant shall fail to prepare or submit a Decommissioning and HazMat Closure Plan approved by Landlord, or if Tenant shall fail to complete the approved Decommissioning and HazMat Closure Plan, or if such Decommissioning and HazMat Closure Plan, whether or not approved by Landlord, shall fail to adequately address any residual effect of Tenant HazMat Operations in, on or about the Premises, then following written notice to Tenant of such failure and Tenant’s failure to commence a cure within 10 days of the delivery of such notice and to complete such cure within 30 days of the delivery of such notice (except in the case of emergencies in which case no such notice or cure period is required),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72" w:lineRule="exact"/>
        <w:rPr>
          <w:sz w:val="20"/>
          <w:szCs w:val="20"/>
          <w:color w:val="auto"/>
        </w:rPr>
      </w:pPr>
    </w:p>
    <w:p>
      <w:pPr>
        <w:jc w:val="both"/>
        <w:ind w:firstLine="400"/>
        <w:spacing w:after="0" w:line="239" w:lineRule="auto"/>
        <w:rPr>
          <w:sz w:val="20"/>
          <w:szCs w:val="20"/>
          <w:color w:val="auto"/>
        </w:rPr>
      </w:pPr>
      <w:r>
        <w:rPr>
          <w:rFonts w:ascii="Arial" w:cs="Arial" w:eastAsia="Arial" w:hAnsi="Arial"/>
          <w:sz w:val="18"/>
          <w:szCs w:val="18"/>
          <w:color w:val="auto"/>
        </w:rPr>
        <w:t xml:space="preserve">Upon the expiration or earlier termination of the Term, 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8"/>
          <w:szCs w:val="18"/>
          <w:u w:val="single" w:color="auto"/>
          <w:color w:val="auto"/>
        </w:rPr>
        <w:t>Section 30</w:t>
      </w:r>
      <w:r>
        <w:rPr>
          <w:rFonts w:ascii="Arial" w:cs="Arial" w:eastAsia="Arial" w:hAnsi="Arial"/>
          <w:sz w:val="18"/>
          <w:szCs w:val="18"/>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1279525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125730</wp:posOffset>
            </wp:positionV>
            <wp:extent cx="2425700" cy="41148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0" w:name="page361"/>
    <w:bookmarkEnd w:id="360"/>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33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both"/>
        <w:ind w:firstLine="757"/>
        <w:spacing w:after="0" w:line="247" w:lineRule="auto"/>
        <w:tabs>
          <w:tab w:leader="none" w:pos="1018"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TO THE EXTENT PERMITTED BY LAW, TENANT AND LANDLORD WAIVE ANY RIGHT TO TRIAL BY</w:t>
      </w:r>
      <w:r>
        <w:rPr>
          <w:rFonts w:ascii="Arial" w:cs="Arial" w:eastAsia="Arial" w:hAnsi="Arial"/>
          <w:sz w:val="18"/>
          <w:szCs w:val="18"/>
          <w:b w:val="1"/>
          <w:bCs w:val="1"/>
          <w:color w:val="auto"/>
        </w:rPr>
        <w:t xml:space="preserve"> </w:t>
      </w:r>
      <w:r>
        <w:rPr>
          <w:rFonts w:ascii="Arial" w:cs="Arial" w:eastAsia="Arial" w:hAnsi="Arial"/>
          <w:sz w:val="18"/>
          <w:szCs w:val="18"/>
          <w:color w:val="auto"/>
        </w:rPr>
        <w:t>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73" w:lineRule="exact"/>
        <w:rPr>
          <w:rFonts w:ascii="Arial" w:cs="Arial" w:eastAsia="Arial" w:hAnsi="Arial"/>
          <w:sz w:val="18"/>
          <w:szCs w:val="18"/>
          <w:color w:val="auto"/>
        </w:rPr>
      </w:pPr>
    </w:p>
    <w:p>
      <w:pPr>
        <w:ind w:left="1020" w:hanging="263"/>
        <w:spacing w:after="0"/>
        <w:tabs>
          <w:tab w:leader="none" w:pos="1020"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p>
    <w:p>
      <w:pPr>
        <w:spacing w:after="0" w:line="212" w:lineRule="exact"/>
        <w:rPr>
          <w:sz w:val="20"/>
          <w:szCs w:val="20"/>
          <w:color w:val="auto"/>
        </w:rPr>
      </w:pPr>
    </w:p>
    <w:p>
      <w:pPr>
        <w:jc w:val="both"/>
        <w:ind w:firstLine="757"/>
        <w:spacing w:after="0" w:line="236" w:lineRule="auto"/>
        <w:tabs>
          <w:tab w:leader="none" w:pos="1018"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Prohibition/Compliance/Indemnity</w:t>
      </w:r>
      <w:r>
        <w:rPr>
          <w:rFonts w:ascii="Arial" w:cs="Arial" w:eastAsia="Arial" w:hAnsi="Arial"/>
          <w:sz w:val="18"/>
          <w:szCs w:val="18"/>
          <w:color w:val="auto"/>
        </w:rPr>
        <w:t>. Tenant shall not cause or permit any Hazardous Materials (as hereinafter defined)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brought upon, 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Building, the Project and/or any adjacent property or if contamination of the Premises, the Building, the Project and/or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managers, agents, sub-agents, affiliates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Building, or the Project, the loss of, or restriction on, use of the Premises, the Building, or any portion of the Project), expenses (including, without limitation, reasonable attorneys’ fees, and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8"/>
          <w:szCs w:val="18"/>
          <w:b w:val="1"/>
          <w:bCs w:val="1"/>
          <w:color w:val="auto"/>
        </w:rPr>
        <w:t>Environmental Claims</w:t>
      </w:r>
      <w:r>
        <w:rPr>
          <w:rFonts w:ascii="Arial" w:cs="Arial" w:eastAsia="Arial" w:hAnsi="Arial"/>
          <w:sz w:val="18"/>
          <w:szCs w:val="18"/>
          <w:color w:val="auto"/>
        </w:rPr>
        <w:t>”)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the Building, the Project or any other adjacent property. Without limiting the foregoing, if the presence of any Hazardous Materials in, on or under the Premises, the Building, the Project or any adjacent property caused or permitted by Tenant or any Tenant Party results in any contamination, Tenant shall promptly take all actions at its sole expense and in accordance with applicable Environmental Requirements as are necessary to return the Premises, the Building, the Project and/or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the Building or the Project. Notwithstanding the foregoing, Tenant shall not be responsible for the clean-up or remediation of, and the indemnification and hold harmless obligation set forth in this paragraph shall not apply to (“</w:t>
      </w:r>
      <w:r>
        <w:rPr>
          <w:rFonts w:ascii="Arial" w:cs="Arial" w:eastAsia="Arial" w:hAnsi="Arial"/>
          <w:sz w:val="18"/>
          <w:szCs w:val="18"/>
          <w:b w:val="1"/>
          <w:bCs w:val="1"/>
          <w:color w:val="auto"/>
        </w:rPr>
        <w:t>Excluded Matters</w:t>
      </w:r>
      <w:r>
        <w:rPr>
          <w:rFonts w:ascii="Arial" w:cs="Arial" w:eastAsia="Arial" w:hAnsi="Arial"/>
          <w:sz w:val="18"/>
          <w:szCs w:val="18"/>
          <w:color w:val="auto"/>
        </w:rPr>
        <w:t>”), (i) contamination in the Premises that Tenant demonstrates to Landlord was present in the Premises prior to the date of Substantial Completion of the Tenant Improvements (or any earlier date of entry onto the Premises by Tenant or any Tenant Parties during which early entry Tenant or the Tenant Parties utilize or introduce Hazardous Materials), (ii) contamination on the Project (including the Premises) that Tenant demonstrates to Landlord was not introduced by, or caused by an act or omission, of Tenant or any of the Tenant Parties, or (iii) any environmental condition that Tenant demonstrates to Landlord resulted from the presence of any Hazardous Material that migrates into the Premises from outside the Premises, except, in any case of clauses (i) – (iii), to the extent Tenant and/or any of the Tenant Parties have exacerbated or contributed to such contamination or migration. If Tenant encounters any pre-existing Hazardous Materials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1280160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127000</wp:posOffset>
            </wp:positionV>
            <wp:extent cx="2425700" cy="41148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2">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1" w:name="page362"/>
    <w:bookmarkEnd w:id="361"/>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34</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with any Alterations, it shall promptly notify Landlord and cease any action that may disturb such Hazardous Materials until Landlord has the opportunity to remediate the same if required by law.</w:t>
      </w:r>
    </w:p>
    <w:p>
      <w:pPr>
        <w:spacing w:after="0" w:line="154" w:lineRule="exact"/>
        <w:rPr>
          <w:sz w:val="20"/>
          <w:szCs w:val="20"/>
          <w:color w:val="auto"/>
        </w:rPr>
      </w:pPr>
    </w:p>
    <w:p>
      <w:pPr>
        <w:jc w:val="both"/>
        <w:ind w:firstLine="757"/>
        <w:spacing w:after="0" w:line="236" w:lineRule="auto"/>
        <w:tabs>
          <w:tab w:leader="none" w:pos="1018"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 Landlord acknowledges that it is not the intent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to prohibit Tenant from using the Premises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8"/>
          <w:szCs w:val="18"/>
          <w:b w:val="1"/>
          <w:bCs w:val="1"/>
          <w:color w:val="auto"/>
        </w:rPr>
        <w:t>Hazardous Materials List</w:t>
      </w:r>
      <w:r>
        <w:rPr>
          <w:rFonts w:ascii="Arial" w:cs="Arial" w:eastAsia="Arial" w:hAnsi="Arial"/>
          <w:sz w:val="18"/>
          <w:szCs w:val="18"/>
          <w:color w:val="auto"/>
        </w:rPr>
        <w:t>”). Upon Landlord’s request, or any time that Tenant is required to deliver a Hazardous Materials List to any Governmental Authority (e.g., the fire department) in connection with Tenant’s use or occupancy of the Premises, Tenant shall deliver to Landlord a copy of such Hazardous Materials List. Tenant shall deliver to Landlord true and correct copies of the following documents (the “</w:t>
      </w:r>
      <w:r>
        <w:rPr>
          <w:rFonts w:ascii="Arial" w:cs="Arial" w:eastAsia="Arial" w:hAnsi="Arial"/>
          <w:sz w:val="18"/>
          <w:szCs w:val="18"/>
          <w:b w:val="1"/>
          <w:bCs w:val="1"/>
          <w:color w:val="auto"/>
        </w:rPr>
        <w:t>Haz Mat Documents</w:t>
      </w:r>
      <w:r>
        <w:rPr>
          <w:rFonts w:ascii="Arial" w:cs="Arial" w:eastAsia="Arial" w:hAnsi="Arial"/>
          <w:sz w:val="18"/>
          <w:szCs w:val="18"/>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Decommissioning and HazMat Closure Plan (to the extent surrender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194" w:lineRule="exact"/>
        <w:rPr>
          <w:rFonts w:ascii="Arial" w:cs="Arial" w:eastAsia="Arial" w:hAnsi="Arial"/>
          <w:sz w:val="18"/>
          <w:szCs w:val="18"/>
          <w:color w:val="auto"/>
        </w:rPr>
      </w:pPr>
    </w:p>
    <w:p>
      <w:pPr>
        <w:jc w:val="both"/>
        <w:ind w:firstLine="757"/>
        <w:spacing w:after="0"/>
        <w:tabs>
          <w:tab w:leader="none" w:pos="1018"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Tenant Representation and Warranty</w:t>
      </w:r>
      <w:r>
        <w:rPr>
          <w:rFonts w:ascii="Arial" w:cs="Arial" w:eastAsia="Arial" w:hAnsi="Arial"/>
          <w:sz w:val="18"/>
          <w:szCs w:val="18"/>
          <w:color w:val="auto"/>
        </w:rPr>
        <w:t>. Tenant hereby represents and warrants to Landlord that (i) neither Tenant nor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legal 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80" w:lineRule="exact"/>
        <w:rPr>
          <w:rFonts w:ascii="Arial" w:cs="Arial" w:eastAsia="Arial" w:hAnsi="Arial"/>
          <w:sz w:val="18"/>
          <w:szCs w:val="18"/>
          <w:color w:val="auto"/>
        </w:rPr>
      </w:pPr>
    </w:p>
    <w:p>
      <w:pPr>
        <w:jc w:val="both"/>
        <w:ind w:firstLine="757"/>
        <w:spacing w:after="0" w:line="239" w:lineRule="auto"/>
        <w:tabs>
          <w:tab w:leader="none" w:pos="1018"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Testing</w:t>
      </w:r>
      <w:r>
        <w:rPr>
          <w:rFonts w:ascii="Arial" w:cs="Arial" w:eastAsia="Arial" w:hAnsi="Arial"/>
          <w:sz w:val="18"/>
          <w:szCs w:val="18"/>
          <w:color w:val="auto"/>
        </w:rPr>
        <w:t>. Landlord shall have the right but not the obligation to conduct annual tests of the Premises to determine whether any</w:t>
      </w:r>
      <w:r>
        <w:rPr>
          <w:rFonts w:ascii="Arial" w:cs="Arial" w:eastAsia="Arial" w:hAnsi="Arial"/>
          <w:sz w:val="18"/>
          <w:szCs w:val="18"/>
          <w:b w:val="1"/>
          <w:bCs w:val="1"/>
          <w:color w:val="auto"/>
        </w:rPr>
        <w:t xml:space="preserve"> </w:t>
      </w:r>
      <w:r>
        <w:rPr>
          <w:rFonts w:ascii="Arial" w:cs="Arial" w:eastAsia="Arial" w:hAnsi="Arial"/>
          <w:sz w:val="18"/>
          <w:szCs w:val="18"/>
          <w:color w:val="auto"/>
        </w:rPr>
        <w:t>contamination of the Premises, the Building, or the Project has occurred as a result of Tenant’s use. Tenant shall be required to pay the cost of such annual test of the Premises;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additional appropriate tests of the Premises, the Building,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1281430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128270</wp:posOffset>
            </wp:positionV>
            <wp:extent cx="2425700" cy="41148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2" w:name="page363"/>
    <w:bookmarkEnd w:id="362"/>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35</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occurred for which Tenant is liable under this </w:t>
      </w:r>
      <w:r>
        <w:rPr>
          <w:rFonts w:ascii="Arial" w:cs="Arial" w:eastAsia="Arial" w:hAnsi="Arial"/>
          <w:sz w:val="18"/>
          <w:szCs w:val="18"/>
          <w:u w:val="single" w:color="auto"/>
          <w:color w:val="auto"/>
        </w:rPr>
        <w:t>Section 30</w:t>
      </w:r>
      <w:r>
        <w:rPr>
          <w:rFonts w:ascii="Arial" w:cs="Arial" w:eastAsia="Arial" w:hAnsi="Arial"/>
          <w:sz w:val="18"/>
          <w:szCs w:val="18"/>
          <w:color w:val="auto"/>
        </w:rPr>
        <w:t>,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179" w:lineRule="exact"/>
        <w:rPr>
          <w:sz w:val="20"/>
          <w:szCs w:val="20"/>
          <w:color w:val="auto"/>
        </w:rPr>
      </w:pPr>
    </w:p>
    <w:p>
      <w:pPr>
        <w:jc w:val="both"/>
        <w:ind w:firstLine="757"/>
        <w:spacing w:after="0"/>
        <w:tabs>
          <w:tab w:leader="none" w:pos="1018"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Control Areas</w:t>
      </w:r>
      <w:r>
        <w:rPr>
          <w:rFonts w:ascii="Arial" w:cs="Arial" w:eastAsia="Arial" w:hAnsi="Arial"/>
          <w:sz w:val="18"/>
          <w:szCs w:val="18"/>
          <w:color w:val="auto"/>
        </w:rPr>
        <w:t>. Tenant shall be allowed to utilize up to its pro rata share of the Hazardous Materials inventory within any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area or zone (located within the areas of the Premises designated on </w:t>
      </w:r>
      <w:r>
        <w:rPr>
          <w:rFonts w:ascii="Arial" w:cs="Arial" w:eastAsia="Arial" w:hAnsi="Arial"/>
          <w:sz w:val="18"/>
          <w:szCs w:val="18"/>
          <w:b w:val="1"/>
          <w:bCs w:val="1"/>
          <w:color w:val="auto"/>
        </w:rPr>
        <w:t>Exhibit G</w:t>
      </w:r>
      <w:r>
        <w:rPr>
          <w:rFonts w:ascii="Arial" w:cs="Arial" w:eastAsia="Arial" w:hAnsi="Arial"/>
          <w:sz w:val="18"/>
          <w:szCs w:val="18"/>
          <w:color w:val="auto"/>
        </w:rPr>
        <w:t>), as designated by the applicable building code, for chemical use or storage. As used in the preceding sentence, Tenant's pro rata share of any control areas or zones located within the Premises shall be determined based on the rentable square footage that Tenant leases within the applicable control area or zone. For purposes of example only, if a control area or zone contains 10,000 rentable square feet and 2,000 rentable square feet of a tenant's premises are located within such control area or zone (while such premises as a whole contains 5,000 rentable square feet), the applicable tenant's pro rata share of such control area or zone would be 20%.</w:t>
      </w:r>
    </w:p>
    <w:p>
      <w:pPr>
        <w:spacing w:after="0" w:line="184" w:lineRule="exact"/>
        <w:rPr>
          <w:rFonts w:ascii="Arial" w:cs="Arial" w:eastAsia="Arial" w:hAnsi="Arial"/>
          <w:sz w:val="18"/>
          <w:szCs w:val="18"/>
          <w:color w:val="auto"/>
        </w:rPr>
      </w:pPr>
    </w:p>
    <w:p>
      <w:pPr>
        <w:ind w:left="1020" w:hanging="263"/>
        <w:spacing w:after="0"/>
        <w:tabs>
          <w:tab w:leader="none" w:pos="1020"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Underground Tanks</w:t>
      </w:r>
      <w:r>
        <w:rPr>
          <w:rFonts w:ascii="Arial" w:cs="Arial" w:eastAsia="Arial" w:hAnsi="Arial"/>
          <w:sz w:val="18"/>
          <w:szCs w:val="18"/>
          <w:color w:val="auto"/>
        </w:rPr>
        <w:t>. Tenant shall have no right to install any underground or other storage tanks at the Project.</w:t>
      </w:r>
    </w:p>
    <w:p>
      <w:pPr>
        <w:spacing w:after="0" w:line="211"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Tenant’s Obligations</w:t>
      </w:r>
      <w:r>
        <w:rPr>
          <w:rFonts w:ascii="Arial" w:cs="Arial" w:eastAsia="Arial" w:hAnsi="Arial"/>
          <w:sz w:val="18"/>
          <w:szCs w:val="18"/>
          <w:color w:val="auto"/>
        </w:rPr>
        <w:t>. Tenant’s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expiration or earlier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During any 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Decommissioning and HazMat Closure Plan), Tenant shall continue to pay the full Rent in accordance with this Lease for any portion of the Premises not relet by Landlord in Landlord’s sole discretion, which Rent shall be prorated daily.</w:t>
      </w:r>
    </w:p>
    <w:p>
      <w:pPr>
        <w:spacing w:after="0" w:line="178" w:lineRule="exact"/>
        <w:rPr>
          <w:rFonts w:ascii="Arial" w:cs="Arial" w:eastAsia="Arial" w:hAnsi="Arial"/>
          <w:sz w:val="18"/>
          <w:szCs w:val="18"/>
          <w:color w:val="auto"/>
        </w:rPr>
      </w:pPr>
    </w:p>
    <w:p>
      <w:pPr>
        <w:jc w:val="both"/>
        <w:ind w:firstLine="757"/>
        <w:spacing w:after="0" w:line="238" w:lineRule="auto"/>
        <w:tabs>
          <w:tab w:leader="none" w:pos="1018"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term “</w:t>
      </w:r>
      <w:r>
        <w:rPr>
          <w:rFonts w:ascii="Arial" w:cs="Arial" w:eastAsia="Arial" w:hAnsi="Arial"/>
          <w:sz w:val="18"/>
          <w:szCs w:val="18"/>
          <w:b w:val="1"/>
          <w:bCs w:val="1"/>
          <w:color w:val="auto"/>
        </w:rPr>
        <w:t>Environmental Requirements</w:t>
      </w:r>
      <w:r>
        <w:rPr>
          <w:rFonts w:ascii="Arial" w:cs="Arial" w:eastAsia="Arial" w:hAnsi="Arial"/>
          <w:sz w:val="18"/>
          <w:szCs w:val="18"/>
          <w:color w:val="auto"/>
        </w:rPr>
        <w:t>” means all applicable present and future statutes,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8"/>
          <w:szCs w:val="18"/>
          <w:b w:val="1"/>
          <w:bCs w:val="1"/>
          <w:color w:val="auto"/>
        </w:rPr>
        <w:t>operator</w:t>
      </w:r>
      <w:r>
        <w:rPr>
          <w:rFonts w:ascii="Arial" w:cs="Arial" w:eastAsia="Arial" w:hAnsi="Arial"/>
          <w:sz w:val="18"/>
          <w:szCs w:val="18"/>
          <w:color w:val="auto"/>
        </w:rPr>
        <w:t>” of Tenant’s “</w:t>
      </w:r>
      <w:r>
        <w:rPr>
          <w:rFonts w:ascii="Arial" w:cs="Arial" w:eastAsia="Arial" w:hAnsi="Arial"/>
          <w:sz w:val="18"/>
          <w:szCs w:val="18"/>
          <w:b w:val="1"/>
          <w:bCs w:val="1"/>
          <w:color w:val="auto"/>
        </w:rPr>
        <w:t>facility</w:t>
      </w:r>
      <w:r>
        <w:rPr>
          <w:rFonts w:ascii="Arial" w:cs="Arial" w:eastAsia="Arial" w:hAnsi="Arial"/>
          <w:sz w:val="18"/>
          <w:szCs w:val="18"/>
          <w:color w:val="auto"/>
        </w:rPr>
        <w:t>” and the “</w:t>
      </w:r>
      <w:r>
        <w:rPr>
          <w:rFonts w:ascii="Arial" w:cs="Arial" w:eastAsia="Arial" w:hAnsi="Arial"/>
          <w:sz w:val="18"/>
          <w:szCs w:val="18"/>
          <w:b w:val="1"/>
          <w:bCs w:val="1"/>
          <w:color w:val="auto"/>
        </w:rPr>
        <w:t>owner</w:t>
      </w:r>
      <w:r>
        <w:rPr>
          <w:rFonts w:ascii="Arial" w:cs="Arial" w:eastAsia="Arial" w:hAnsi="Arial"/>
          <w:sz w:val="18"/>
          <w:szCs w:val="18"/>
          <w:color w:val="auto"/>
        </w:rPr>
        <w:t>” of all Hazardous Materials brought on the Premises by Tenant or any Tenant Party, and the wastes, by-products, or residues generated, resulting, or produced therefrom.</w:t>
      </w:r>
    </w:p>
    <w:p>
      <w:pPr>
        <w:spacing w:after="0" w:line="186" w:lineRule="exact"/>
        <w:rPr>
          <w:sz w:val="20"/>
          <w:szCs w:val="20"/>
          <w:color w:val="auto"/>
        </w:rPr>
      </w:pPr>
    </w:p>
    <w:p>
      <w:pPr>
        <w:ind w:left="1020" w:hanging="263"/>
        <w:spacing w:after="0"/>
        <w:tabs>
          <w:tab w:leader="none" w:pos="1020"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Tenant’s Remedies/Limitation of Liability</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line="244" w:lineRule="auto"/>
        <w:tabs>
          <w:tab w:leader="none" w:pos="1018"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Notice of Landlord’s Default</w:t>
      </w:r>
      <w:r>
        <w:rPr>
          <w:rFonts w:ascii="Arial" w:cs="Arial" w:eastAsia="Arial" w:hAnsi="Arial"/>
          <w:sz w:val="18"/>
          <w:szCs w:val="18"/>
          <w:color w:val="auto"/>
        </w:rPr>
        <w:t>. Landlord shall not be in default hereunder unless Landlord fails to perform any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1276985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123825</wp:posOffset>
            </wp:positionV>
            <wp:extent cx="2425700" cy="41148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6">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3" w:name="page364"/>
    <w:bookmarkEnd w:id="363"/>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36</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76" w:lineRule="exact"/>
        <w:rPr>
          <w:sz w:val="20"/>
          <w:szCs w:val="20"/>
          <w:color w:val="auto"/>
        </w:rPr>
      </w:pPr>
    </w:p>
    <w:p>
      <w:pPr>
        <w:jc w:val="both"/>
        <w:ind w:firstLine="757"/>
        <w:spacing w:after="0" w:line="237" w:lineRule="auto"/>
        <w:tabs>
          <w:tab w:leader="none" w:pos="1018"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 xml:space="preserve">Tenant’s Right to Cure. </w:t>
      </w:r>
      <w:r>
        <w:rPr>
          <w:rFonts w:ascii="Arial" w:cs="Arial" w:eastAsia="Arial" w:hAnsi="Arial"/>
          <w:sz w:val="18"/>
          <w:szCs w:val="18"/>
          <w:color w:val="auto"/>
        </w:rPr>
        <w:t>Notwithstanding the foregoing, if, at any time after the Commencement Date, any claimed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hereunder will immediately, materially and adversely affect Tenant’s ability to conduct its business in the Premises (a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Landlord Default</w:t>
      </w:r>
      <w:r>
        <w:rPr>
          <w:rFonts w:ascii="Arial" w:cs="Arial" w:eastAsia="Arial" w:hAnsi="Arial"/>
          <w:sz w:val="18"/>
          <w:szCs w:val="18"/>
          <w:color w:val="auto"/>
        </w:rPr>
        <w:t>”), Tenant shall, as soon as reasonably possible, but in any event within 2 business days of obtaining knowledge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claimed Material Landlord Default, give Landlord written notice of such claim (which notice shall specifically state that a Material Landlord Default exists and shall specify that Tenant intends to exercise its self help rights under this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and telephonic notice to Tenant’s principal contact with Landlord. Landlord shall then have the right within 5 business days after receipt of both written notice and telephonic notice to commence cure of such claimed Material Landlord Default and if commenced shall diligently prosecute such cure to completion. If such claimed Material Landlord Default is not a default by Landlord hereunder, Landlord shall be entitled to recover from Tenant, as Additional Rent, any costs incurred by Landlord in connection with such cure. If Landlord fails to commence cure of any claimed Material Landlord Default as provided above, then Tenant may commence and prosecute such cure to completion; provided that Tenant’s cure efforts do not affect (i) any Building Systems affecting other tenants or areas outside the Premises, (ii) the Building exterior, structure and structural components, (iii) Common Areas, or (iv) any other tenant’s use and enjoyment of their premises or the Project. Tenant shall be entitled to recover the costs of such cure (but not any consequential or other damages) from Landlord by way of reimbursement from Landlord within 30 days after invoice with no right to offset against Rent, to the extent of Landlord’s obligation to cure such claimed Material Landlord Default hereunder, subject to the limitations set forth in the immediately preceding sentence of this paragraph and the other provisions of this Lease. Tenant, at its option, may elect to pursue any and all other rights and remedies expressly provided in this Lease. In no event shall the provisions of this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benefit any subtenant or be exercisable by subtenants against Landlord.</w:t>
      </w:r>
    </w:p>
    <w:p>
      <w:pPr>
        <w:spacing w:after="0" w:line="183" w:lineRule="exact"/>
        <w:rPr>
          <w:rFonts w:ascii="Arial" w:cs="Arial" w:eastAsia="Arial" w:hAnsi="Arial"/>
          <w:sz w:val="18"/>
          <w:szCs w:val="18"/>
          <w:color w:val="auto"/>
        </w:rPr>
      </w:pPr>
    </w:p>
    <w:p>
      <w:pPr>
        <w:jc w:val="both"/>
        <w:ind w:firstLine="757"/>
        <w:spacing w:after="0" w:line="244" w:lineRule="auto"/>
        <w:tabs>
          <w:tab w:leader="none" w:pos="1018" w:val="left"/>
        </w:tabs>
        <w:numPr>
          <w:ilvl w:val="0"/>
          <w:numId w:val="243"/>
        </w:numPr>
        <w:rPr>
          <w:rFonts w:ascii="Arial" w:cs="Arial" w:eastAsia="Arial" w:hAnsi="Arial"/>
          <w:sz w:val="18"/>
          <w:szCs w:val="18"/>
          <w:color w:val="auto"/>
        </w:rPr>
      </w:pPr>
      <w:r>
        <w:rPr>
          <w:rFonts w:ascii="Arial" w:cs="Arial" w:eastAsia="Arial" w:hAnsi="Arial"/>
          <w:sz w:val="18"/>
          <w:szCs w:val="18"/>
          <w:b w:val="1"/>
          <w:bCs w:val="1"/>
          <w:color w:val="auto"/>
        </w:rPr>
        <w:t>Limitation of Liability</w:t>
      </w:r>
      <w:r>
        <w:rPr>
          <w:rFonts w:ascii="Arial" w:cs="Arial" w:eastAsia="Arial" w:hAnsi="Arial"/>
          <w:sz w:val="18"/>
          <w:szCs w:val="18"/>
          <w:color w:val="auto"/>
        </w:rPr>
        <w:t>. All obligations of Landlord under this Lease will be binding upon Landlord only during the period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the Premises and not thereafter. The term “</w:t>
      </w:r>
      <w:r>
        <w:rPr>
          <w:rFonts w:ascii="Arial" w:cs="Arial" w:eastAsia="Arial" w:hAnsi="Arial"/>
          <w:sz w:val="18"/>
          <w:szCs w:val="18"/>
          <w:b w:val="1"/>
          <w:bCs w:val="1"/>
          <w:color w:val="auto"/>
        </w:rPr>
        <w:t>Landlord</w:t>
      </w:r>
      <w:r>
        <w:rPr>
          <w:rFonts w:ascii="Arial" w:cs="Arial" w:eastAsia="Arial" w:hAnsi="Arial"/>
          <w:sz w:val="18"/>
          <w:szCs w:val="18"/>
          <w:color w:val="auto"/>
        </w:rPr>
        <w:t>” in this Lease shall mean only the fee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76" w:lineRule="exact"/>
        <w:rPr>
          <w:sz w:val="20"/>
          <w:szCs w:val="20"/>
          <w:color w:val="auto"/>
        </w:rPr>
      </w:pPr>
    </w:p>
    <w:p>
      <w:pPr>
        <w:jc w:val="both"/>
        <w:ind w:firstLine="757"/>
        <w:spacing w:after="0" w:line="253" w:lineRule="auto"/>
        <w:tabs>
          <w:tab w:leader="none" w:pos="1018" w:val="left"/>
        </w:tabs>
        <w:numPr>
          <w:ilvl w:val="0"/>
          <w:numId w:val="244"/>
        </w:numPr>
        <w:rPr>
          <w:rFonts w:ascii="Arial" w:cs="Arial" w:eastAsia="Arial" w:hAnsi="Arial"/>
          <w:sz w:val="17"/>
          <w:szCs w:val="17"/>
          <w:color w:val="auto"/>
        </w:rPr>
      </w:pPr>
      <w:r>
        <w:rPr>
          <w:rFonts w:ascii="Arial" w:cs="Arial" w:eastAsia="Arial" w:hAnsi="Arial"/>
          <w:sz w:val="17"/>
          <w:szCs w:val="17"/>
          <w:b w:val="1"/>
          <w:bCs w:val="1"/>
          <w:color w:val="auto"/>
        </w:rPr>
        <w:t>Inspection and Access</w:t>
      </w:r>
      <w:r>
        <w:rPr>
          <w:rFonts w:ascii="Arial" w:cs="Arial" w:eastAsia="Arial" w:hAnsi="Arial"/>
          <w:sz w:val="17"/>
          <w:szCs w:val="17"/>
          <w:color w:val="auto"/>
        </w:rPr>
        <w:t>. Landlord and its agents, representatives, and contractors may enter the Premises at any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time on not less than 48 hours advance written notice (except in the case of emergencies in which case no such notice shall be required and such entry may be at any time) to inspect the Premises and to make such repairs as may be required or permitted pursuant to this Lease 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18 months of the Term, to prospective tenants or for any other business purpose, provided that Landlord shall use commercially reasonable efforts to minimize any interference with Tenant’s use of the Premises for the Permitted Use as a result of such entry. During the last 18 months of the Term, Landlord may erect a suitable sign on the Building exterior or the property adjacent thereto stating the Premises are available to let, and at any time during the Term Landlord may erect suitable signage on the Project stating that the Project is available for sale. Landlord may grant easements, make public dedications, designate Common Areas and create restrictions on or about the Premises,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easement, dedication, or restriction materially, adversely affects Tenant’s use or occupancy of the Premises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1275080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121920</wp:posOffset>
            </wp:positionV>
            <wp:extent cx="2425700" cy="41148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8">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4" w:name="page365"/>
    <w:bookmarkEnd w:id="364"/>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37</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Permitted Use or access nor materially increases Tenant’s obligations as provided in this Lease. At Landlord’s request, Tenant shall execute such instruments as may be reasonably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 and Landlord shall not be required to reschedule its access more than once if Tenant’s escort is unavailable. To the extent that the access requirements set forth in this section prevent or delay Landlord’s performance of its obligations under this Lease, then Landlord’s failure to perform shall be excused and extended until such access is granted. Landlord and its employees shall, and shall use commercially reasonable efforts to cause Landlord’s agents and contractors to, cooperate and comply with Tenant’s reasonable security protocols and measures (provided that such security protocols and measures have been previously provided in writing by Tenant to Landlord).</w:t>
      </w:r>
    </w:p>
    <w:p>
      <w:pPr>
        <w:spacing w:after="0" w:line="183" w:lineRule="exact"/>
        <w:rPr>
          <w:sz w:val="20"/>
          <w:szCs w:val="20"/>
          <w:color w:val="auto"/>
        </w:rPr>
      </w:pPr>
    </w:p>
    <w:p>
      <w:pPr>
        <w:jc w:val="both"/>
        <w:ind w:firstLine="757"/>
        <w:spacing w:after="0"/>
        <w:tabs>
          <w:tab w:leader="none" w:pos="1018"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 crime may not in</w:t>
      </w:r>
      <w:r>
        <w:rPr>
          <w:rFonts w:ascii="Arial" w:cs="Arial" w:eastAsia="Arial" w:hAnsi="Arial"/>
          <w:sz w:val="18"/>
          <w:szCs w:val="18"/>
          <w:b w:val="1"/>
          <w:bCs w:val="1"/>
          <w:color w:val="auto"/>
        </w:rPr>
        <w:t xml:space="preserve"> </w:t>
      </w:r>
      <w:r>
        <w:rPr>
          <w:rFonts w:ascii="Arial" w:cs="Arial" w:eastAsia="Arial" w:hAnsi="Arial"/>
          <w:sz w:val="18"/>
          <w:szCs w:val="18"/>
          <w:color w:val="auto"/>
        </w:rPr>
        <w:t>given 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84" w:lineRule="exact"/>
        <w:rPr>
          <w:rFonts w:ascii="Arial" w:cs="Arial" w:eastAsia="Arial" w:hAnsi="Arial"/>
          <w:sz w:val="18"/>
          <w:szCs w:val="18"/>
          <w:color w:val="auto"/>
        </w:rPr>
      </w:pPr>
    </w:p>
    <w:p>
      <w:pPr>
        <w:jc w:val="both"/>
        <w:ind w:firstLine="757"/>
        <w:spacing w:after="0" w:line="239" w:lineRule="auto"/>
        <w:tabs>
          <w:tab w:leader="none" w:pos="1018"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 Except for Tenant’s obligation to timely pay Rent or either party’s obligation to make any other payment due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(which such obligation shall not under any circumstance be delayed or excused), neither Landlord nor Tenant shall be responsible or liable for delays in the performance of its obligations hereunder when such delay in performance is caused by, related to or arises out of acts of God, sinkholes or subsidence, strikes, labor stoppages, lockouts, or other labor disputes, embargoes, quarantines, declared states of emergency or public health emergencies, pandemics, epidemics, infectious disease, weather, national, regional, or local disasters, calamities, or catastrophes, inability to obtain labor or materials (or reasonable substitutes therefor) at reasonable costs or failure of, or inability to obtain, utilities necessary for performance, governmental decrees, laws, actions, restrictions, orders, limitations, regulations, or controls, regional, state, local, or national emergencies, delay in inspection by federal, state or local inspectors, officials or other applicable Governmental Authorities, delay in issuance or revocation of permits, approvals, certificates of occupancy, or entitlements, enemy or hostile governmental action, terrorism, insurrection, riots, civil disturbance or commotion, fire or other casualty, and any other causes or events beyond the reasonable control of the obligated party (“</w:t>
      </w:r>
      <w:r>
        <w:rPr>
          <w:rFonts w:ascii="Arial" w:cs="Arial" w:eastAsia="Arial" w:hAnsi="Arial"/>
          <w:sz w:val="18"/>
          <w:szCs w:val="18"/>
          <w:b w:val="1"/>
          <w:bCs w:val="1"/>
          <w:color w:val="auto"/>
        </w:rPr>
        <w:t>Force Majeure</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Landlord and Tenant each represents and warrants that, other than Cushman &amp; Wakefield and CBRE (the “</w:t>
      </w:r>
      <w:r>
        <w:rPr>
          <w:rFonts w:ascii="Arial" w:cs="Arial" w:eastAsia="Arial" w:hAnsi="Arial"/>
          <w:sz w:val="18"/>
          <w:szCs w:val="18"/>
          <w:b w:val="1"/>
          <w:bCs w:val="1"/>
          <w:color w:val="auto"/>
        </w:rPr>
        <w:t>Brokers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it has not dealt with any broker, agent or other person entitled to a commission, compensation or fee in connection with this transaction. Landlord and Tenant each hereby agree to indemnify and hold the other harmless from and against any claims by any broker, agent or other person or entity, other than the Brokers, claiming a commission or other form of compensation by virtue of having dealt with Tenant or Landlord, as applicable, with regard to this leasing transaction. Landlord shall be responsible for all commissions due to the Brokers arising out of the execution of this Lease subject to and in accordance with the terms of a separate agreement(s) with the Brokers.</w:t>
      </w:r>
    </w:p>
    <w:p>
      <w:pPr>
        <w:spacing w:after="0" w:line="178"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Limitation on Landlord’s Liability</w:t>
      </w:r>
      <w:r>
        <w:rPr>
          <w:rFonts w:ascii="Arial" w:cs="Arial" w:eastAsia="Arial" w:hAnsi="Arial"/>
          <w:sz w:val="18"/>
          <w:szCs w:val="18"/>
          <w:color w:val="auto"/>
        </w:rPr>
        <w:t>. NOTWITHSTANDING ANYTHING SET FORTH HEREIN OR IN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1278890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125730</wp:posOffset>
            </wp:positionV>
            <wp:extent cx="2425700" cy="41148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5" w:name="page366"/>
    <w:bookmarkEnd w:id="365"/>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38</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 NOR SHALL ANY RECOURSE BE HAD TO ANY OTHER PROPERTY OR ASSETS OF LANDLORD OR ANY OF LANDLORD’S OFFICERS, DIRECTORS, EMPLOYEES, MANAGERS, AFFILIATES, AGENTS OR CONTRACTORS. UNDER NO CIRCUMSTANCES SHALL LANDLORD OR ANY OF LANDLORD’S OFFICERS, DIRECTORS, EMPLOYEES, MANAGERS, AFFILIATES, AGENTS OR CONTRACTORS BE LIABLE FOR INJURY TO TENANT’S BUSINESS OR FOR ANY LOSS OF INCOME OR PROFIT THEREFROM. TENANT ACKNOWLEDGES AND AGREES THAT ANY MEASURES AND/OR SERVICES IMPLEMENTED AT THE PROJECT, IF ANY, INTENDED TO ENCOURAGE SOCIAL DISTANCING (ALSO REFERRED TO AS PHYSICAL DISTANCING), PROMOTE AND PROTECT HEALTH AND PHYSICAL WELL-BEING AND/OR PREVENT OR LIMIT THE SPREAD OR TRANSMISSION OF INFECTIOUS CONDITIONS, MAY NOT PREVENT OR LIMIT THE SPREAD OR TRANSMISSION OF SUCH INFECTIOUS CONDITIONS (IT BEING UNDERSTOOD AND AGREED THAT LANDLORD HAS NO OBLIGATION TO UNDERTAKE ANY SUCH MEASURES OR SERVICES AND HAS MADE NO REPRESENTATION THAT IT WILL UNDERTAKE (OR IF UNDERTAKEN, ENFORCE) ANY SUCH MEASURES OR SERVICES, NOR AS TO THE SUFFICIENCY OF ANY MEASURES OR SERVICES UNDERTAKEN BY LANDLORD IF LANDLORD UNDERTAKES ANY MEASURES OR SERVICES, AND TENANT WILL NOT RELY ON ANY MEASURES OR SERVICES UNDERTAKEN BY LANDLORD IF LANDLORD UNDERTAKES ANY MEASURES OR SERVICES). NEITHER LANDLORD NOR ANY LANDLORD INDEMNIFIED PARTIES SHALL HAVE ANY LIABILITY AND TENANT IRREVOCABLY RELEASES AND WAIVES ANY CLAIMS AGAINST LANDLORD AND THE LANDLORD INDEMNIFIED PARTIES WITH RESPECT TO ANY LOSS, DAMAGE, INJURY OR DEATH IN CONNECTION WITH (X) THE IMPLEMENTATION, MANNER OF IMPLEMENTATION, OR FAILURE OF LANDLORD OR ANY LANDLORD INDEMNIFIED PARTIES TO IMPLEMENT OR ENFORCE, ANY MEASURES AND/OR SERVICES AT THE PROJECT INTENDED TO ENCOURAGE SOCIAL DISTANCING (ALSO REFERRED TO AS PHYSICAL DISTANCING), PROMOTE AND PROTECT HEALTH AND PHYSICAL WELL-BEING AND/OR PREVENT OR LIMIT THE SPREAD OR TRANSMISSION OF INFECTIOUS CONDITIONS, OR (Y) THE FAILURE OF ANY MEASURES AND/OR SERVICES IMPLEMENTED AT THE PROJECT, IF ANY, TO PREVENT OR LIMIT THE SPREAD OR TRANSMISSION OF ANY INFECTIOUS CONDITIONS.</w:t>
      </w:r>
    </w:p>
    <w:p>
      <w:pPr>
        <w:spacing w:after="0" w:line="186"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IN NO EVENT SHALL ANY PERSONAL LIABILITY BE ASSERTED AGAINST ANY OF TENANT’S OFFICERS, DIRECTORS, EMPLOYEES ON ACCOUNT OF A DEFAULT BY TENANT.</w:t>
      </w:r>
    </w:p>
    <w:p>
      <w:pPr>
        <w:spacing w:after="0" w:line="154" w:lineRule="exact"/>
        <w:rPr>
          <w:sz w:val="20"/>
          <w:szCs w:val="20"/>
          <w:color w:val="auto"/>
        </w:rPr>
      </w:pPr>
    </w:p>
    <w:p>
      <w:pPr>
        <w:jc w:val="both"/>
        <w:ind w:firstLine="757"/>
        <w:spacing w:after="0" w:line="244" w:lineRule="auto"/>
        <w:tabs>
          <w:tab w:leader="none" w:pos="1018" w:val="left"/>
        </w:tabs>
        <w:numPr>
          <w:ilvl w:val="0"/>
          <w:numId w:val="24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clause or provision of this Lease is illegal, invalid or unenforceable under present or future laws, then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76"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246"/>
        </w:numPr>
        <w:rPr>
          <w:rFonts w:ascii="Arial" w:cs="Arial" w:eastAsia="Arial" w:hAnsi="Arial"/>
          <w:sz w:val="18"/>
          <w:szCs w:val="18"/>
          <w:color w:val="auto"/>
        </w:rPr>
      </w:pPr>
      <w:r>
        <w:rPr>
          <w:rFonts w:ascii="Arial" w:cs="Arial" w:eastAsia="Arial" w:hAnsi="Arial"/>
          <w:sz w:val="18"/>
          <w:szCs w:val="18"/>
          <w:b w:val="1"/>
          <w:bCs w:val="1"/>
          <w:color w:val="auto"/>
        </w:rPr>
        <w:t>Signs; Exterior Appearance</w:t>
      </w:r>
      <w:r>
        <w:rPr>
          <w:rFonts w:ascii="Arial" w:cs="Arial" w:eastAsia="Arial" w:hAnsi="Arial"/>
          <w:sz w:val="18"/>
          <w:szCs w:val="18"/>
          <w:color w:val="auto"/>
        </w:rPr>
        <w:t>. Except as expressly provided in this Section 38, Tenant shall not, without the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Landlord, which may be granted or withheld in Landlord’s sole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1275715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122555</wp:posOffset>
            </wp:positionV>
            <wp:extent cx="2425700" cy="41148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2">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6" w:name="page367"/>
    <w:bookmarkEnd w:id="366"/>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39</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windows, (iv) place any bottles, parcels, or other articles on the window sills, (v) place any equipment, furniture or other items of personal property on any exterior balcony or terrace (including, without limitation, any terraces contained within the Premises), or (vi) paint, affix or exhibit on any part of the Premises or the Project any signs, notices, window or door lettering, graphics, placards, decorations, or advertising media of any type which can be viewed from the exterior of the Premises. At Tenant’s election, to the extent permitted by Legal Requirements, and subject to Landlord’s prior written approval of size, location and design (such approval not to be unreasonably withheld, conditioned or delayed), Landlord shall cause to be installed (at Tenant’s sole cost and expense) the following signage: (i) suite-entry signage on the entryway or immediately adjacent to such entryway of the Premises, (ii) Tenant’s pro rata share (as reasonably determined by Landlord) of non-exclusive signage bearing Tenant’s name and logo on the multi-tenant monument sign serving the Building, and (iii) Tenant’s pro rata share (as reasonable determined by Landlord) of non-exclusive signage bearing Tenant’s name and logo on the lobby multi-tenant signage of the Building, if any. Tenant shall provide Landlord with the applicable signs and/or placards to be installed pursuant to the foregoing sentence. All costs associated with the design, permitting, approval, fabrication, installation, maintenance, and removal (and associated repairs of damage to the Building and/or the monument sign due to Tenant’s signage removal), shall be borne exclusively by Tenant. Tenant understands that light pollution from the interior of the Building would be a serious issue. Accordingly, Tenant acknowledges and agrees that: (x) all lighting in in Exterior Rooms must be controlled (at Tenant’s expense) by switches with motion detectors that automatically turn off when the area is unoccupied, and Tenant will not override such switches; and (y) for any period from dusk to dawn that Tenant’s lights are on in an Exterior Room, Tenant will use commercially reasonable efforts to keep its blinds closed in such Exterior Room unless there is a reasonable reason to keep them the blinds open. If either (a) Tenant complies with the foregoing clauses (x) and (y) but the neighbors or City complain in writing to Landlord about light escaping from the Tenant’s windows (an email being considered to be a writing for these purposes, and Landlord agreeing to share such written complaint with Tenant), or (b) Tenant does not comply with the foregoing clauses (i) and (ii) (either (a) or (b), a “</w:t>
      </w:r>
      <w:r>
        <w:rPr>
          <w:rFonts w:ascii="Arial" w:cs="Arial" w:eastAsia="Arial" w:hAnsi="Arial"/>
          <w:sz w:val="18"/>
          <w:szCs w:val="18"/>
          <w:b w:val="1"/>
          <w:bCs w:val="1"/>
          <w:color w:val="auto"/>
        </w:rPr>
        <w:t>Lighting Issue</w:t>
      </w:r>
      <w:r>
        <w:rPr>
          <w:rFonts w:ascii="Arial" w:cs="Arial" w:eastAsia="Arial" w:hAnsi="Arial"/>
          <w:sz w:val="18"/>
          <w:szCs w:val="18"/>
          <w:color w:val="auto"/>
        </w:rPr>
        <w:t>”), then Landlord will have the following rights (without derogation of Landlord’s other rights and remedies set forth in this Lease). The first (and any subsequent) time Landlord notifies Tenant of a Lighting Issue, Tenant will promptly propose and implement a plan to address the same, such plan being subject to Landlord’s approval. The second (and any subsequent) time Landlord notifies Tenant of a Lighting Issue, Landlord shall have the right (but not the obligation) to install powered blinds in some or all Exterior Rooms, as Landlord may elect, and at Tenant’s expense. The third (and any subsequent) time Landlord notifies Tenant of a Lighting Issue, Landlord shall have the right (but not the obligation) to program or reprogram any powered blinds installed by Landlord or Tenant to be closed from dusk to dawn (or any shorter period as Landlord may elect), and Tenant will not override the same. The foregoing Landlord rights are cumulative and not alternative, meaning, by way of example, the third time Landlord notifies Tenant of a Lighting Issue, the Tenant must come up with and implement a remediation plan, Landlord may install powered blinds where it has not already done so already (if any windows remain), and Landlord may program or reprogram the powered blinds (if any). For the purposes of the foregoing provisions, “</w:t>
      </w:r>
      <w:r>
        <w:rPr>
          <w:rFonts w:ascii="Arial" w:cs="Arial" w:eastAsia="Arial" w:hAnsi="Arial"/>
          <w:sz w:val="18"/>
          <w:szCs w:val="18"/>
          <w:b w:val="1"/>
          <w:bCs w:val="1"/>
          <w:color w:val="auto"/>
        </w:rPr>
        <w:t>Exterior Room</w:t>
      </w:r>
      <w:r>
        <w:rPr>
          <w:rFonts w:ascii="Arial" w:cs="Arial" w:eastAsia="Arial" w:hAnsi="Arial"/>
          <w:sz w:val="18"/>
          <w:szCs w:val="18"/>
          <w:color w:val="auto"/>
        </w:rPr>
        <w:t>” shall mean any office, room and other area with a window visible from the exterior of the Building.</w:t>
      </w:r>
    </w:p>
    <w:p>
      <w:pPr>
        <w:spacing w:after="0" w:line="185" w:lineRule="exact"/>
        <w:rPr>
          <w:sz w:val="20"/>
          <w:szCs w:val="20"/>
          <w:color w:val="auto"/>
        </w:rPr>
      </w:pPr>
    </w:p>
    <w:p>
      <w:pPr>
        <w:ind w:left="1020" w:hanging="263"/>
        <w:spacing w:after="0"/>
        <w:tabs>
          <w:tab w:leader="none" w:pos="1020" w:val="left"/>
        </w:tabs>
        <w:numPr>
          <w:ilvl w:val="0"/>
          <w:numId w:val="247"/>
        </w:numPr>
        <w:rPr>
          <w:rFonts w:ascii="Arial" w:cs="Arial" w:eastAsia="Arial" w:hAnsi="Arial"/>
          <w:sz w:val="18"/>
          <w:szCs w:val="18"/>
          <w:color w:val="auto"/>
        </w:rPr>
      </w:pPr>
      <w:r>
        <w:rPr>
          <w:rFonts w:ascii="Arial" w:cs="Arial" w:eastAsia="Arial" w:hAnsi="Arial"/>
          <w:sz w:val="18"/>
          <w:szCs w:val="18"/>
          <w:b w:val="1"/>
          <w:bCs w:val="1"/>
          <w:color w:val="auto"/>
        </w:rPr>
        <w:t>Right to Expand</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line="239" w:lineRule="auto"/>
        <w:tabs>
          <w:tab w:leader="none" w:pos="1018"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Expansion in the Building</w:t>
      </w:r>
      <w:r>
        <w:rPr>
          <w:rFonts w:ascii="Arial" w:cs="Arial" w:eastAsia="Arial" w:hAnsi="Arial"/>
          <w:sz w:val="18"/>
          <w:szCs w:val="18"/>
          <w:color w:val="auto"/>
        </w:rPr>
        <w:t>. Tenant shall have the right, but not the obligation, to expand the Premises (the “</w:t>
      </w:r>
      <w:r>
        <w:rPr>
          <w:rFonts w:ascii="Arial" w:cs="Arial" w:eastAsia="Arial" w:hAnsi="Arial"/>
          <w:sz w:val="18"/>
          <w:szCs w:val="18"/>
          <w:b w:val="1"/>
          <w:bCs w:val="1"/>
          <w:color w:val="auto"/>
        </w:rPr>
        <w:t>Expansion Right</w:t>
      </w:r>
      <w:r>
        <w:rPr>
          <w:rFonts w:ascii="Arial" w:cs="Arial" w:eastAsia="Arial" w:hAnsi="Arial"/>
          <w:sz w:val="18"/>
          <w:szCs w:val="18"/>
          <w:color w:val="auto"/>
        </w:rPr>
        <w:t>”) to include any Available Space upon the terms and conditions in this Section. For purposes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39(a)</w:t>
      </w:r>
      <w:r>
        <w:rPr>
          <w:rFonts w:ascii="Arial" w:cs="Arial" w:eastAsia="Arial" w:hAnsi="Arial"/>
          <w:sz w:val="18"/>
          <w:szCs w:val="18"/>
          <w:color w:val="auto"/>
        </w:rPr>
        <w:t>, “</w:t>
      </w:r>
      <w:r>
        <w:rPr>
          <w:rFonts w:ascii="Arial" w:cs="Arial" w:eastAsia="Arial" w:hAnsi="Arial"/>
          <w:sz w:val="18"/>
          <w:szCs w:val="18"/>
          <w:b w:val="1"/>
          <w:bCs w:val="1"/>
          <w:color w:val="auto"/>
        </w:rPr>
        <w:t>Available Space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space in the Building, which after the initial lease-up of such space is not occupied by a tenant or which is occupied by an existing tenant whose lease is expiring within 6 months or less and such tenant does not wish to renew (whether or not such tenant has a right to renew) its occupancy of such space. If there is any Available Space in the Building, Landlord shall, at such time as Landlord shall elect so long as Tenant’s rights hereunder are preserved, deliver to Tenant written notice (the “</w:t>
      </w:r>
      <w:r>
        <w:rPr>
          <w:rFonts w:ascii="Arial" w:cs="Arial" w:eastAsia="Arial" w:hAnsi="Arial"/>
          <w:sz w:val="18"/>
          <w:szCs w:val="18"/>
          <w:b w:val="1"/>
          <w:bCs w:val="1"/>
          <w:color w:val="auto"/>
        </w:rPr>
        <w:t>Expansion Notice</w:t>
      </w:r>
      <w:r>
        <w:rPr>
          <w:rFonts w:ascii="Arial" w:cs="Arial" w:eastAsia="Arial" w:hAnsi="Arial"/>
          <w:sz w:val="18"/>
          <w:szCs w:val="18"/>
          <w:color w:val="auto"/>
        </w:rPr>
        <w:t>”) of such Available Space, together with the terms and conditions on which Landlord is prepared to lease Tenant such Available Space (provided in the event there are at least five (5) years remaining on the Term as of the date of Landlord’s delivery of the Expansion Notice, the Expansion Notice for such Available Space shall be for a term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1281430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128270</wp:posOffset>
            </wp:positionV>
            <wp:extent cx="2425700" cy="41148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7" w:name="page368"/>
    <w:bookmarkEnd w:id="367"/>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40</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co-terminus with the existing Term). Tenant shall have 10 business days following delivery of the Expansion Notice to deliver to Landlord written notification of Tenant’s exercise of the Expansion Right. Provided that no right to expand is exercised by any tenant with superior rights, Tenant shall be entitled to lease such Available Space upon the terms and conditions set forth in the Expansion Notice. Notwithstanding the foregoing, nothing herein shall prevent Landlord from keeping space vacant or from using space for Amenities or for Landlord’s other purpose (or from leasing the space to affiliates of Landlord in connection therewith), and in any such case, Landlord shall not be required to give an Expansion Notice, Tenant shall not have an Expansion Right with respect thereto and such space shall not be considered Available Space.</w:t>
      </w:r>
    </w:p>
    <w:p>
      <w:pPr>
        <w:spacing w:after="0" w:line="185" w:lineRule="exact"/>
        <w:rPr>
          <w:sz w:val="20"/>
          <w:szCs w:val="20"/>
          <w:color w:val="auto"/>
        </w:rPr>
      </w:pPr>
    </w:p>
    <w:p>
      <w:pPr>
        <w:jc w:val="both"/>
        <w:ind w:firstLine="757"/>
        <w:spacing w:after="0" w:line="238" w:lineRule="auto"/>
        <w:tabs>
          <w:tab w:leader="none" w:pos="1018"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Amended Lease</w:t>
      </w:r>
      <w:r>
        <w:rPr>
          <w:rFonts w:ascii="Arial" w:cs="Arial" w:eastAsia="Arial" w:hAnsi="Arial"/>
          <w:sz w:val="18"/>
          <w:szCs w:val="18"/>
          <w:color w:val="auto"/>
        </w:rPr>
        <w:t>. If: (i) Tenant fails to timely deliver notice accepting the terms of an Expansion Notice, or (ii)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of a period of 30 days from the date Tenant gives notice accepting Landlord’s offer to lease such Available Space, no lease amendment or lease agreement for the Available Space has been executed, and Landlord tenders to Tenant an amendment to this Lease setting forth the terms for the rental of the Available Space consistent with those set forth in the Expansion Notice and otherwise consistent with the terms of this Lease and Tenant fails to execute such Lease amendment within 10 business days following such tender, Tenant shall be deemed to have waived its right to lease such Available Space; provided that in the case of clause (i) Landlord shall again be required to deliver an Expansion Notice prior to leasing the Available Space (or a portion thereof) to a third party if Landlord does not enter into lease(s) for the subject Available Space or portion thereof, as applicable, within 12 months of the original Expansion Notice to a third party(ies) for at least 92.5% of the Net Effective Rental Rate offered to Tenant. For purposes of this paragraph, the “</w:t>
      </w:r>
      <w:r>
        <w:rPr>
          <w:rFonts w:ascii="Arial" w:cs="Arial" w:eastAsia="Arial" w:hAnsi="Arial"/>
          <w:sz w:val="18"/>
          <w:szCs w:val="18"/>
          <w:b w:val="1"/>
          <w:bCs w:val="1"/>
          <w:color w:val="auto"/>
        </w:rPr>
        <w:t>Net Effective Rental Rate</w:t>
      </w:r>
      <w:r>
        <w:rPr>
          <w:rFonts w:ascii="Arial" w:cs="Arial" w:eastAsia="Arial" w:hAnsi="Arial"/>
          <w:sz w:val="18"/>
          <w:szCs w:val="18"/>
          <w:color w:val="auto"/>
        </w:rPr>
        <w:t>” shall mean the annual net rental rate payable to Landlord under a lease net of all tenant inducements (e.g., tenant improvement allowances, rental abatements, moving allowances), operating expense, and taxes, with the cost of such tenant inducements, together with interest thereon at a rate of eight percent (8%) per annum, amortized over the term of such lease.</w:t>
      </w:r>
    </w:p>
    <w:p>
      <w:pPr>
        <w:spacing w:after="0" w:line="182" w:lineRule="exact"/>
        <w:rPr>
          <w:rFonts w:ascii="Arial" w:cs="Arial" w:eastAsia="Arial" w:hAnsi="Arial"/>
          <w:sz w:val="18"/>
          <w:szCs w:val="18"/>
          <w:color w:val="auto"/>
        </w:rPr>
      </w:pPr>
    </w:p>
    <w:p>
      <w:pPr>
        <w:ind w:right="20" w:firstLine="757"/>
        <w:spacing w:after="0" w:line="271" w:lineRule="auto"/>
        <w:tabs>
          <w:tab w:leader="none" w:pos="1018"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the above, the Expansion Right shall, at Landlord’s option, not be in effect and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by Tenant:</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if Tenant is not then occupying at least 67% of the Premises;</w:t>
      </w:r>
    </w:p>
    <w:p>
      <w:pPr>
        <w:spacing w:after="0" w:line="211" w:lineRule="exact"/>
        <w:rPr>
          <w:rFonts w:ascii="Arial" w:cs="Arial" w:eastAsia="Arial" w:hAnsi="Arial"/>
          <w:sz w:val="18"/>
          <w:szCs w:val="18"/>
          <w:color w:val="auto"/>
        </w:rPr>
      </w:pPr>
    </w:p>
    <w:p>
      <w:pPr>
        <w:ind w:left="760" w:firstLine="745"/>
        <w:spacing w:after="0" w:line="271" w:lineRule="auto"/>
        <w:tabs>
          <w:tab w:leader="none" w:pos="204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 xml:space="preserve">during the final 24 months of the Term (unless Tenant then has the right to and validly concurrently exercises its right to extend the term in accordance with the requirements set forth in </w:t>
      </w:r>
      <w:r>
        <w:rPr>
          <w:rFonts w:ascii="Arial" w:cs="Arial" w:eastAsia="Arial" w:hAnsi="Arial"/>
          <w:sz w:val="18"/>
          <w:szCs w:val="18"/>
          <w:u w:val="single" w:color="auto"/>
          <w:color w:val="auto"/>
        </w:rPr>
        <w:t>Section 40</w:t>
      </w:r>
      <w:r>
        <w:rPr>
          <w:rFonts w:ascii="Arial" w:cs="Arial" w:eastAsia="Arial" w:hAnsi="Arial"/>
          <w:sz w:val="18"/>
          <w:szCs w:val="18"/>
          <w:color w:val="auto"/>
        </w:rPr>
        <w:t xml:space="preserve"> hereof);</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under any provision of this Lease; or</w:t>
      </w:r>
    </w:p>
    <w:p>
      <w:pPr>
        <w:spacing w:after="0" w:line="211" w:lineRule="exact"/>
        <w:rPr>
          <w:rFonts w:ascii="Arial" w:cs="Arial" w:eastAsia="Arial" w:hAnsi="Arial"/>
          <w:sz w:val="18"/>
          <w:szCs w:val="18"/>
          <w:color w:val="auto"/>
        </w:rPr>
      </w:pPr>
    </w:p>
    <w:p>
      <w:pPr>
        <w:jc w:val="both"/>
        <w:ind w:left="760" w:firstLine="745"/>
        <w:spacing w:after="0" w:line="253" w:lineRule="auto"/>
        <w:tabs>
          <w:tab w:leader="none" w:pos="204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if Tenant has been in Default under any provision of this Lease 3 or more times, whether or not the Defaults are cured, during any 12 month period prior to the date on which Tenant seeks to exercise the Expansion Right, whether or not the Defaults are cured.</w:t>
      </w:r>
    </w:p>
    <w:p>
      <w:pPr>
        <w:spacing w:after="0" w:line="168"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Expansion Right shall, at Landlord’s option, terminate and be of no further force or effect even after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due and timely exercise of the Expansion Right, if, after such exercise, but prior to the commencement date of the lease of such Available Space, Tenant fails to timely cure any default by Tenant under this Lease.</w:t>
      </w:r>
    </w:p>
    <w:p>
      <w:pPr>
        <w:spacing w:after="0" w:line="168"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Subordinate</w:t>
      </w:r>
      <w:r>
        <w:rPr>
          <w:rFonts w:ascii="Arial" w:cs="Arial" w:eastAsia="Arial" w:hAnsi="Arial"/>
          <w:sz w:val="18"/>
          <w:szCs w:val="18"/>
          <w:color w:val="auto"/>
        </w:rPr>
        <w:t>. Tenant’s Expansion Rights granted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39(a)</w:t>
      </w:r>
      <w:r>
        <w:rPr>
          <w:rFonts w:ascii="Arial" w:cs="Arial" w:eastAsia="Arial" w:hAnsi="Arial"/>
          <w:sz w:val="18"/>
          <w:szCs w:val="18"/>
          <w:b w:val="1"/>
          <w:bCs w:val="1"/>
          <w:color w:val="auto"/>
        </w:rPr>
        <w:t xml:space="preserve"> </w:t>
      </w:r>
      <w:r>
        <w:rPr>
          <w:rFonts w:ascii="Arial" w:cs="Arial" w:eastAsia="Arial" w:hAnsi="Arial"/>
          <w:sz w:val="18"/>
          <w:szCs w:val="18"/>
          <w:color w:val="auto"/>
        </w:rPr>
        <w:t>above are and shall remain subject and</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subordinate to the right of Landlord and/or Landlord’s affiliates (and/or any of their respective affiliates, successors and/or assigns) (i) to occupy all or a portion of the Available Space for its own purposes as a management and/or marketing office, or for common amenities serving the Project, or (ii) to elect to lease all or a portion of the Available Space to an affiliate of or third party to Landlord in connection with providing one or more of Alexandria Real Estate Equities, Inc.’s proprietary products (such as, by way of example, LaunchLabs® and GradLabs®);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1410970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257810</wp:posOffset>
            </wp:positionV>
            <wp:extent cx="2425700" cy="41148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6">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8" w:name="page369"/>
    <w:bookmarkEnd w:id="368"/>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41</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both"/>
        <w:ind w:firstLine="757"/>
        <w:spacing w:after="0" w:line="253" w:lineRule="auto"/>
        <w:tabs>
          <w:tab w:leader="none" w:pos="1018"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Expansion Rights are personal to Kymera Therapeutics, Inc. and any assignee of this Lease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Assignment (but not a subtenant) and otherwise are not assignable without Landlord’s consent, which may be granted or withheld in Landlord’s sole discretion separate and apart from any consent by Landlord to an assignment of Tenant’s interest in this Lease.</w:t>
      </w:r>
    </w:p>
    <w:p>
      <w:pPr>
        <w:spacing w:after="0" w:line="168" w:lineRule="exact"/>
        <w:rPr>
          <w:rFonts w:ascii="Arial" w:cs="Arial" w:eastAsia="Arial" w:hAnsi="Arial"/>
          <w:sz w:val="18"/>
          <w:szCs w:val="18"/>
          <w:color w:val="auto"/>
        </w:rPr>
      </w:pPr>
    </w:p>
    <w:p>
      <w:pPr>
        <w:ind w:right="20" w:firstLine="757"/>
        <w:spacing w:after="0" w:line="271" w:lineRule="auto"/>
        <w:tabs>
          <w:tab w:leader="none" w:pos="1018"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any Expansion Rights may be exercised shall not be extended or enlarged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Tenant’s inability to exercise the Expansion Rights.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18"/>
          <w:szCs w:val="18"/>
          <w:b w:val="1"/>
          <w:bCs w:val="1"/>
          <w:color w:val="auto"/>
        </w:rPr>
        <w:t>Right to Extend Term</w:t>
      </w:r>
      <w:r>
        <w:rPr>
          <w:rFonts w:ascii="Arial" w:cs="Arial" w:eastAsia="Arial" w:hAnsi="Arial"/>
          <w:sz w:val="18"/>
          <w:szCs w:val="18"/>
          <w:color w:val="auto"/>
        </w:rPr>
        <w:t>. Tenant shall have the right to extend the Term of this Lease upon the following terms and conditions:</w:t>
      </w:r>
    </w:p>
    <w:p>
      <w:pPr>
        <w:spacing w:after="0" w:line="212" w:lineRule="exact"/>
        <w:rPr>
          <w:sz w:val="20"/>
          <w:szCs w:val="20"/>
          <w:color w:val="auto"/>
        </w:rPr>
      </w:pPr>
    </w:p>
    <w:p>
      <w:pPr>
        <w:jc w:val="both"/>
        <w:ind w:firstLine="757"/>
        <w:spacing w:after="0" w:line="244" w:lineRule="auto"/>
        <w:tabs>
          <w:tab w:leader="none" w:pos="1018"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Extension Rights</w:t>
      </w:r>
      <w:r>
        <w:rPr>
          <w:rFonts w:ascii="Arial" w:cs="Arial" w:eastAsia="Arial" w:hAnsi="Arial"/>
          <w:sz w:val="18"/>
          <w:szCs w:val="18"/>
          <w:color w:val="auto"/>
        </w:rPr>
        <w:t>. Tenant shall have 2 consecutive rights (each, an “</w:t>
      </w:r>
      <w:r>
        <w:rPr>
          <w:rFonts w:ascii="Arial" w:cs="Arial" w:eastAsia="Arial" w:hAnsi="Arial"/>
          <w:sz w:val="18"/>
          <w:szCs w:val="18"/>
          <w:b w:val="1"/>
          <w:bCs w:val="1"/>
          <w:color w:val="auto"/>
        </w:rPr>
        <w:t>Extension Right</w:t>
      </w:r>
      <w:r>
        <w:rPr>
          <w:rFonts w:ascii="Arial" w:cs="Arial" w:eastAsia="Arial" w:hAnsi="Arial"/>
          <w:sz w:val="18"/>
          <w:szCs w:val="18"/>
          <w:color w:val="auto"/>
        </w:rPr>
        <w:t>”) to extend the term of this Lease for 5</w:t>
      </w:r>
      <w:r>
        <w:rPr>
          <w:rFonts w:ascii="Arial" w:cs="Arial" w:eastAsia="Arial" w:hAnsi="Arial"/>
          <w:sz w:val="18"/>
          <w:szCs w:val="18"/>
          <w:b w:val="1"/>
          <w:bCs w:val="1"/>
          <w:color w:val="auto"/>
        </w:rPr>
        <w:t xml:space="preserve"> </w:t>
      </w:r>
      <w:r>
        <w:rPr>
          <w:rFonts w:ascii="Arial" w:cs="Arial" w:eastAsia="Arial" w:hAnsi="Arial"/>
          <w:sz w:val="18"/>
          <w:szCs w:val="18"/>
          <w:color w:val="auto"/>
        </w:rPr>
        <w:t>years each (each, an “</w:t>
      </w:r>
      <w:r>
        <w:rPr>
          <w:rFonts w:ascii="Arial" w:cs="Arial" w:eastAsia="Arial" w:hAnsi="Arial"/>
          <w:sz w:val="18"/>
          <w:szCs w:val="18"/>
          <w:b w:val="1"/>
          <w:bCs w:val="1"/>
          <w:color w:val="auto"/>
        </w:rPr>
        <w:t>Extension Term</w:t>
      </w:r>
      <w:r>
        <w:rPr>
          <w:rFonts w:ascii="Arial" w:cs="Arial" w:eastAsia="Arial" w:hAnsi="Arial"/>
          <w:sz w:val="18"/>
          <w:szCs w:val="18"/>
          <w:color w:val="auto"/>
        </w:rPr>
        <w:t>”) on the same terms and conditions as this Lease (other than with respect to Base Rent, which shall be determined as set forth below, and the Work Letter, which shall not be applicable) by giving Landlord written notice (“</w:t>
      </w:r>
      <w:r>
        <w:rPr>
          <w:rFonts w:ascii="Arial" w:cs="Arial" w:eastAsia="Arial" w:hAnsi="Arial"/>
          <w:sz w:val="18"/>
          <w:szCs w:val="18"/>
          <w:b w:val="1"/>
          <w:bCs w:val="1"/>
          <w:color w:val="auto"/>
        </w:rPr>
        <w:t>Extension Notice</w:t>
      </w:r>
      <w:r>
        <w:rPr>
          <w:rFonts w:ascii="Arial" w:cs="Arial" w:eastAsia="Arial" w:hAnsi="Arial"/>
          <w:sz w:val="18"/>
          <w:szCs w:val="18"/>
          <w:color w:val="auto"/>
        </w:rPr>
        <w:t>”) of its election to exercise each Extension Right at least 12 months prior (but no earlier than 18 months prior) to the expiration of the Base Term of this Lease or the expiration of the then-current Extension Term.</w:t>
      </w:r>
    </w:p>
    <w:p>
      <w:pPr>
        <w:spacing w:after="0" w:line="176" w:lineRule="exact"/>
        <w:rPr>
          <w:rFonts w:ascii="Arial" w:cs="Arial" w:eastAsia="Arial" w:hAnsi="Arial"/>
          <w:sz w:val="18"/>
          <w:szCs w:val="18"/>
          <w:color w:val="auto"/>
        </w:rPr>
      </w:pPr>
    </w:p>
    <w:p>
      <w:pPr>
        <w:jc w:val="both"/>
        <w:ind w:firstLine="757"/>
        <w:spacing w:after="0" w:line="238" w:lineRule="auto"/>
        <w:tabs>
          <w:tab w:leader="none" w:pos="1018"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Upon the commencement of any Extension Term, Base Rent shall be payable at the Market Rate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Base Rent shall thereafter be adjusted on each annual anniversary of the commencement of such Extension Term by a percentage as determined by Landlord and agreed to by Tenant at the time the Market Rate is determined or determined by arbitration as provided below. As used herein, “</w:t>
      </w:r>
      <w:r>
        <w:rPr>
          <w:rFonts w:ascii="Arial" w:cs="Arial" w:eastAsia="Arial" w:hAnsi="Arial"/>
          <w:sz w:val="18"/>
          <w:szCs w:val="18"/>
          <w:b w:val="1"/>
          <w:bCs w:val="1"/>
          <w:color w:val="auto"/>
        </w:rPr>
        <w:t>Market Rate</w:t>
      </w:r>
      <w:r>
        <w:rPr>
          <w:rFonts w:ascii="Arial" w:cs="Arial" w:eastAsia="Arial" w:hAnsi="Arial"/>
          <w:sz w:val="18"/>
          <w:szCs w:val="18"/>
          <w:color w:val="auto"/>
        </w:rPr>
        <w:t>” shall mean the rate that comparable landlords of comparable buildings have accepted in current transactions from non-equity (i.e., not being offered equity in the buildings) and nonaffiliated tenants of similar financial strength for space of comparable size, quality (including all Tenant Improvements, Alterations and other improvements) and floor height in Class A laboratory/office buildings in the Project and in the Watertown, Allston, Brighton and West Cambridge markets for a comparable term, with the determination of the Market Rate to take into account all relevant factors, including, without limitation, tenant inducements, views, available amenities (including, without limitation, the Amenities), age of the Building, age of mechanical systems serving the Premises, parking availability, leasing commissions, and allowances or concessions, if any. Notwithstanding the foregoing, the Market Rate shall in no event be less than 95% of the Base Rent payable as of the date immediately preceding the commencement of the Extension Term increased by the Rent Adjustment Percentage multiplied by such Base Rent.</w:t>
      </w:r>
    </w:p>
    <w:p>
      <w:pPr>
        <w:spacing w:after="0" w:line="183"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 xml:space="preserve">If Tenant gives a valid Extension Notice, then Landlord shall deliver to Tenant Landlord’s determination of the Market Rate no later than the later of (x) 30 days after delivery of Tenant’s Extension Notice or (y) 11 months prior to the expiration of the Term. If, on or before the date which is 180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8"/>
          <w:szCs w:val="18"/>
          <w:u w:val="single" w:color="auto"/>
          <w:color w:val="auto"/>
        </w:rPr>
        <w:t>Section 40(c)</w:t>
      </w:r>
      <w:r>
        <w:rPr>
          <w:rFonts w:ascii="Arial" w:cs="Arial" w:eastAsia="Arial" w:hAnsi="Arial"/>
          <w:sz w:val="18"/>
          <w:szCs w:val="18"/>
          <w:color w:val="auto"/>
        </w:rPr>
        <w:t xml:space="preserve">. Tenant acknowledges and agrees that, if Tenant has elected to exercise the Extension Right by delivering notice to Landlord as required in this </w:t>
      </w:r>
      <w:r>
        <w:rPr>
          <w:rFonts w:ascii="Arial" w:cs="Arial" w:eastAsia="Arial" w:hAnsi="Arial"/>
          <w:sz w:val="18"/>
          <w:szCs w:val="18"/>
          <w:u w:val="single" w:color="auto"/>
          <w:color w:val="auto"/>
        </w:rPr>
        <w:t>Section 40(a)</w:t>
      </w:r>
      <w:r>
        <w:rPr>
          <w:rFonts w:ascii="Arial" w:cs="Arial" w:eastAsia="Arial" w:hAnsi="Arial"/>
          <w:sz w:val="18"/>
          <w:szCs w:val="18"/>
          <w:color w:val="auto"/>
        </w:rPr>
        <w:t>, Tenant shall have no right thereafter to rescind or elect not to extend the term of this Lease for the Extension Term.</w:t>
      </w:r>
    </w:p>
    <w:p>
      <w:pPr>
        <w:spacing w:after="0" w:line="185" w:lineRule="exact"/>
        <w:rPr>
          <w:sz w:val="20"/>
          <w:szCs w:val="20"/>
          <w:color w:val="auto"/>
        </w:rPr>
      </w:pPr>
    </w:p>
    <w:p>
      <w:pPr>
        <w:ind w:left="1020" w:hanging="263"/>
        <w:spacing w:after="0"/>
        <w:tabs>
          <w:tab w:leader="none" w:pos="1020"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760" w:firstLine="745"/>
        <w:spacing w:after="0" w:line="242" w:lineRule="auto"/>
        <w:tabs>
          <w:tab w:leader="none" w:pos="204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Within 10 business days of Tenant’s deemed election to arbitrate Market Rate and escalations, each party shall deliver to the other a proposal containing the Market Rate and escalations that the submitting party believes to be correct (“</w:t>
      </w:r>
      <w:r>
        <w:rPr>
          <w:rFonts w:ascii="Arial" w:cs="Arial" w:eastAsia="Arial" w:hAnsi="Arial"/>
          <w:sz w:val="18"/>
          <w:szCs w:val="18"/>
          <w:b w:val="1"/>
          <w:bCs w:val="1"/>
          <w:color w:val="auto"/>
        </w:rPr>
        <w:t>Extension Proposal</w:t>
      </w:r>
      <w:r>
        <w:rPr>
          <w:rFonts w:ascii="Arial" w:cs="Arial" w:eastAsia="Arial" w:hAnsi="Arial"/>
          <w:sz w:val="18"/>
          <w:szCs w:val="18"/>
          <w:color w:val="auto"/>
        </w:rPr>
        <w:t>”). If Landlord fails to timely submit an Extension Proposal, Landlord’s original submission will be used for this purpose. If Tenant fails to timely submit an Extension Proposal, Landlord’s submitted proposal shall determine the Base Rent and escalations for the Extension Term. If both Parties submit Extension Proposals, then Landlord and Tenant shall meet within 7 business days after delivery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1278890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125730</wp:posOffset>
            </wp:positionV>
            <wp:extent cx="2425700" cy="41148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8">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42</w:t>
      </w:r>
    </w:p>
    <w:p>
      <w:pPr>
        <w:spacing w:after="0" w:line="14" w:lineRule="exact"/>
        <w:rPr>
          <w:sz w:val="20"/>
          <w:szCs w:val="20"/>
          <w:color w:val="auto"/>
        </w:rPr>
      </w:pPr>
    </w:p>
    <w:p>
      <w:pPr>
        <w:ind w:left="97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ind w:left="360"/>
        <w:spacing w:after="0"/>
        <w:rPr>
          <w:sz w:val="20"/>
          <w:szCs w:val="20"/>
          <w:color w:val="auto"/>
        </w:rPr>
      </w:pPr>
      <w:r>
        <w:rPr>
          <w:rFonts w:ascii="Arial" w:cs="Arial" w:eastAsia="Arial" w:hAnsi="Arial"/>
          <w:sz w:val="18"/>
          <w:szCs w:val="18"/>
          <w:color w:val="auto"/>
        </w:rPr>
        <w:t>the last Extension Proposal and make a good faith attempt to mutually appoint a single Arbitrator (defined below) to determine the Market Rate and escalations. If Landlord and Tenant are unable to agree upon a single Arbitrator, then each shall, by written notice delivered to the other within 10 business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pacing w:after="0" w:line="180" w:lineRule="exact"/>
        <w:rPr>
          <w:sz w:val="20"/>
          <w:szCs w:val="20"/>
          <w:color w:val="auto"/>
        </w:rPr>
      </w:pPr>
    </w:p>
    <w:p>
      <w:pPr>
        <w:jc w:val="both"/>
        <w:ind w:left="360" w:firstLine="745"/>
        <w:spacing w:after="0" w:line="239" w:lineRule="auto"/>
        <w:tabs>
          <w:tab w:leader="none" w:pos="164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183" w:lineRule="exact"/>
        <w:rPr>
          <w:rFonts w:ascii="Arial" w:cs="Arial" w:eastAsia="Arial" w:hAnsi="Arial"/>
          <w:sz w:val="18"/>
          <w:szCs w:val="18"/>
          <w:color w:val="auto"/>
        </w:rPr>
      </w:pPr>
    </w:p>
    <w:p>
      <w:pPr>
        <w:jc w:val="both"/>
        <w:ind w:left="360" w:firstLine="745"/>
        <w:spacing w:after="0" w:line="242" w:lineRule="auto"/>
        <w:tabs>
          <w:tab w:leader="none" w:pos="164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Arbitrator</w:t>
      </w:r>
      <w:r>
        <w:rPr>
          <w:rFonts w:ascii="Arial" w:cs="Arial" w:eastAsia="Arial" w:hAnsi="Arial"/>
          <w:sz w:val="18"/>
          <w:szCs w:val="18"/>
          <w:color w:val="auto"/>
        </w:rPr>
        <w:t>” shall be any person appointed by or on behalf of either party or appointed pursuant to the provisions hereof and: (i) shall be (A) a member of the American Institute of Real Estate Appraisers with not less than 10 years of experience in the appraisal of improved office and high tech industrial real estate in Greater Boston, or (B) a licensed commercial real estate broker with not less than 15 years’ experience representing landlords and/or tenants in the leasing of high tech or life sciences space in Greater Boston, (ii) devoting substantially all of their time to professional appraisal or brokerage work, as applicable, at the time of appointment and (iii) be in all respects impartial and disinterested.</w:t>
      </w:r>
    </w:p>
    <w:p>
      <w:pPr>
        <w:spacing w:after="0" w:line="178" w:lineRule="exact"/>
        <w:rPr>
          <w:rFonts w:ascii="Arial" w:cs="Arial" w:eastAsia="Arial" w:hAnsi="Arial"/>
          <w:sz w:val="18"/>
          <w:szCs w:val="18"/>
          <w:color w:val="auto"/>
        </w:rPr>
      </w:pPr>
    </w:p>
    <w:p>
      <w:pPr>
        <w:jc w:val="both"/>
        <w:ind w:left="-400" w:firstLine="757"/>
        <w:spacing w:after="0" w:line="253" w:lineRule="auto"/>
        <w:tabs>
          <w:tab w:leader="none" w:pos="618"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Extension Rights are personal to Kymera Therapeutics, Inc. and any assignee of this Lease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Assignment (but not a subtenant) and otherwise are not assignable without Landlord’s consent, which may be granted or withheld in Landlord’s sole discretion separate and apart from any consent by Landlord to an assignment of Tenant’s interest in this Lease.</w:t>
      </w:r>
    </w:p>
    <w:p>
      <w:pPr>
        <w:spacing w:after="0" w:line="168" w:lineRule="exact"/>
        <w:rPr>
          <w:rFonts w:ascii="Arial" w:cs="Arial" w:eastAsia="Arial" w:hAnsi="Arial"/>
          <w:sz w:val="18"/>
          <w:szCs w:val="18"/>
          <w:color w:val="auto"/>
        </w:rPr>
      </w:pPr>
    </w:p>
    <w:p>
      <w:pPr>
        <w:ind w:left="-400" w:firstLine="757"/>
        <w:spacing w:after="0" w:line="271" w:lineRule="auto"/>
        <w:tabs>
          <w:tab w:leader="none" w:pos="618"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Extension Rights shall, at Landlord’s option, not be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and Tenant may not exercise any of the Extension Rights:</w:t>
      </w:r>
    </w:p>
    <w:p>
      <w:pPr>
        <w:spacing w:after="0" w:line="153" w:lineRule="exact"/>
        <w:rPr>
          <w:rFonts w:ascii="Arial" w:cs="Arial" w:eastAsia="Arial" w:hAnsi="Arial"/>
          <w:sz w:val="18"/>
          <w:szCs w:val="18"/>
          <w:color w:val="auto"/>
        </w:rPr>
      </w:pPr>
    </w:p>
    <w:p>
      <w:pPr>
        <w:ind w:left="1640" w:hanging="535"/>
        <w:spacing w:after="0"/>
        <w:tabs>
          <w:tab w:leader="none" w:pos="164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if Tenant is not then occupying at least 67% of the Premises;</w:t>
      </w:r>
    </w:p>
    <w:p>
      <w:pPr>
        <w:spacing w:after="0" w:line="211" w:lineRule="exact"/>
        <w:rPr>
          <w:rFonts w:ascii="Arial" w:cs="Arial" w:eastAsia="Arial" w:hAnsi="Arial"/>
          <w:sz w:val="18"/>
          <w:szCs w:val="18"/>
          <w:color w:val="auto"/>
        </w:rPr>
      </w:pPr>
    </w:p>
    <w:p>
      <w:pPr>
        <w:ind w:left="1640" w:hanging="535"/>
        <w:spacing w:after="0"/>
        <w:tabs>
          <w:tab w:leader="none" w:pos="164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under any provision of this Lease; or</w:t>
      </w:r>
    </w:p>
    <w:p>
      <w:pPr>
        <w:spacing w:after="0" w:line="211" w:lineRule="exact"/>
        <w:rPr>
          <w:rFonts w:ascii="Arial" w:cs="Arial" w:eastAsia="Arial" w:hAnsi="Arial"/>
          <w:sz w:val="18"/>
          <w:szCs w:val="18"/>
          <w:color w:val="auto"/>
        </w:rPr>
      </w:pPr>
    </w:p>
    <w:p>
      <w:pPr>
        <w:jc w:val="both"/>
        <w:ind w:left="360" w:firstLine="745"/>
        <w:spacing w:after="0" w:line="253" w:lineRule="auto"/>
        <w:tabs>
          <w:tab w:leader="none" w:pos="164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if Tenant has been in Default under any provision of this Lease 3 or more times, whether or not the Defaults are cured, during any 12 month period prior to the date that Tenant intends to exercise the Extension Right, whether or not the Defaults are cured.</w:t>
      </w:r>
    </w:p>
    <w:p>
      <w:pPr>
        <w:spacing w:after="0" w:line="168" w:lineRule="exact"/>
        <w:rPr>
          <w:rFonts w:ascii="Arial" w:cs="Arial" w:eastAsia="Arial" w:hAnsi="Arial"/>
          <w:sz w:val="18"/>
          <w:szCs w:val="18"/>
          <w:color w:val="auto"/>
        </w:rPr>
      </w:pPr>
    </w:p>
    <w:p>
      <w:pPr>
        <w:ind w:left="-400" w:firstLine="757"/>
        <w:spacing w:after="0" w:line="271" w:lineRule="auto"/>
        <w:tabs>
          <w:tab w:leader="none" w:pos="618"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any Extension Rights may be exercised shall not be extended or enlarged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Tenant’s inability to exercise the Extension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1262380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109855</wp:posOffset>
            </wp:positionV>
            <wp:extent cx="2425700" cy="41148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sectPr>
      </w:pPr>
    </w:p>
    <w:bookmarkStart w:id="370" w:name="page371"/>
    <w:bookmarkEnd w:id="370"/>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43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both"/>
        <w:ind w:firstLine="757"/>
        <w:spacing w:after="0" w:line="253" w:lineRule="auto"/>
        <w:tabs>
          <w:tab w:leader="none" w:pos="1018"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Extension Rights shall, at Landlord’s option, terminate and be of no further force or effect even after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due and timely exercise of an Extension Right, if, after such exercise, but prior to the commencement date of an Extension Term, Tenant fails to timely cure any default by Tenant under this Lease.</w:t>
      </w:r>
    </w:p>
    <w:p>
      <w:pPr>
        <w:spacing w:after="0" w:line="169" w:lineRule="exact"/>
        <w:rPr>
          <w:sz w:val="20"/>
          <w:szCs w:val="20"/>
          <w:color w:val="auto"/>
        </w:rPr>
      </w:pPr>
    </w:p>
    <w:p>
      <w:pPr>
        <w:jc w:val="both"/>
        <w:ind w:firstLine="757"/>
        <w:spacing w:after="0" w:line="238" w:lineRule="auto"/>
        <w:tabs>
          <w:tab w:leader="none" w:pos="1018"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Shuttle Service</w:t>
      </w:r>
      <w:r>
        <w:rPr>
          <w:rFonts w:ascii="Arial" w:cs="Arial" w:eastAsia="Arial" w:hAnsi="Arial"/>
          <w:sz w:val="18"/>
          <w:szCs w:val="18"/>
          <w:color w:val="auto"/>
        </w:rPr>
        <w:t>. During the Term, Landlord may provide or otherwise arrange for (but shall not be obligated to provide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arrange for) Shuttle Service to and from the Project on weekdays (subject to weather conditions, holidays, Force Majeure), and Tenant’s employees shall, subject to seating availability, have the right to use such Shuttle Service at all times that such Shuttle Service is in operation and available for use by tenants of the Project. “</w:t>
      </w:r>
      <w:r>
        <w:rPr>
          <w:rFonts w:ascii="Arial" w:cs="Arial" w:eastAsia="Arial" w:hAnsi="Arial"/>
          <w:sz w:val="18"/>
          <w:szCs w:val="18"/>
          <w:b w:val="1"/>
          <w:bCs w:val="1"/>
          <w:color w:val="auto"/>
        </w:rPr>
        <w:t>Shuttle Service</w:t>
      </w:r>
      <w:r>
        <w:rPr>
          <w:rFonts w:ascii="Arial" w:cs="Arial" w:eastAsia="Arial" w:hAnsi="Arial"/>
          <w:sz w:val="18"/>
          <w:szCs w:val="18"/>
          <w:color w:val="auto"/>
        </w:rPr>
        <w:t>” shall mean shuttle bus service provided or contracted for by Landlord between the Project and various commuting locations in the Watertown/Cambridge/Boston area, as determined by Landlord from time to time. Landlord shall have the right to adjust the schedule, frequency, and route(s) of the Shuttle Service as it determines based upon usage. No fee shall be charged to any passenger that utilizes the Shuttle Service, provided that all costs of such Shuttle Service shall be included as part of Operating Expenses. Tenant’s use of the Shuttle Service shall be at Tenant’s sole risk, and Tenant hereby acknowledges that Landlord shall have no liability with respect thereto. Tenant shall indemnify, defend and hold Landlord harmless from and against any Claims by any of Tenant’s employees or invitees related to the Shuttle Service or any personal injury or property damage related thereto or arising therefrom.</w:t>
      </w:r>
    </w:p>
    <w:p>
      <w:pPr>
        <w:spacing w:after="0" w:line="185" w:lineRule="exact"/>
        <w:rPr>
          <w:rFonts w:ascii="Arial" w:cs="Arial" w:eastAsia="Arial" w:hAnsi="Arial"/>
          <w:sz w:val="18"/>
          <w:szCs w:val="18"/>
          <w:color w:val="auto"/>
        </w:rPr>
      </w:pPr>
    </w:p>
    <w:p>
      <w:pPr>
        <w:jc w:val="both"/>
        <w:ind w:firstLine="757"/>
        <w:spacing w:after="0" w:line="244" w:lineRule="auto"/>
        <w:tabs>
          <w:tab w:leader="none" w:pos="1018"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Roof Equipment</w:t>
      </w:r>
      <w:r>
        <w:rPr>
          <w:rFonts w:ascii="Arial" w:cs="Arial" w:eastAsia="Arial" w:hAnsi="Arial"/>
          <w:sz w:val="18"/>
          <w:szCs w:val="18"/>
          <w:color w:val="auto"/>
        </w:rPr>
        <w:t>. As long as Tenant is not in Default under this Lease, Tenant shall have the right, at its sole cost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compliance with all Legal Requirements, to install, maintain, and remove on the area on the top of the roof of the Building shown on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attached hereto, an emergency generator, rooftop condensers, and other comparable laboratory equipment as Tenant may request from time-to-time to the extent compatible with and space is available on core dunnage structural support previously erected by Landlord (if any) or otherwise on core dunnage structural support to be erected by Tenant in accordance with this Lease and subject to Landlord approval of the size and weight capacity thereof and plans and specifications therefor (collectively, the “</w:t>
      </w:r>
      <w:r>
        <w:rPr>
          <w:rFonts w:ascii="Arial" w:cs="Arial" w:eastAsia="Arial" w:hAnsi="Arial"/>
          <w:sz w:val="18"/>
          <w:szCs w:val="18"/>
          <w:b w:val="1"/>
          <w:bCs w:val="1"/>
          <w:color w:val="auto"/>
        </w:rPr>
        <w:t>Roof Equipment</w:t>
      </w:r>
      <w:r>
        <w:rPr>
          <w:rFonts w:ascii="Arial" w:cs="Arial" w:eastAsia="Arial" w:hAnsi="Arial"/>
          <w:sz w:val="18"/>
          <w:szCs w:val="18"/>
          <w:color w:val="auto"/>
        </w:rPr>
        <w:t>”).</w:t>
      </w:r>
    </w:p>
    <w:p>
      <w:pPr>
        <w:spacing w:after="0" w:line="168" w:lineRule="exact"/>
        <w:rPr>
          <w:sz w:val="20"/>
          <w:szCs w:val="20"/>
          <w:color w:val="auto"/>
        </w:rPr>
      </w:pPr>
    </w:p>
    <w:p>
      <w:pPr>
        <w:jc w:val="both"/>
        <w:ind w:firstLine="757"/>
        <w:spacing w:after="0" w:line="239" w:lineRule="auto"/>
        <w:tabs>
          <w:tab w:leader="none" w:pos="1018"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Requirements</w:t>
      </w:r>
      <w:r>
        <w:rPr>
          <w:rFonts w:ascii="Arial" w:cs="Arial" w:eastAsia="Arial" w:hAnsi="Arial"/>
          <w:sz w:val="18"/>
          <w:szCs w:val="18"/>
          <w:color w:val="auto"/>
        </w:rPr>
        <w:t>. Tenant shall submit to Landlord for Landlord’s approval (i) the plans and specifications for the installation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Roof Equipment, (ii) copies of all required governmental, quasi-governmental and other permits, licenses, and authorizations that Tenant will and must obtain at its own expense, with the cooperation of Landlord, for the installation and operation of the Roof Equipment, and (iii) an insurance policy or certificate of insurance evidencing insurance coverage as required by this Lease and any other insurance as reasonably required by Landlord for the installation and operation of the Roof Equipment. Landlord shall not unreasonably withhold or delay its approval for the installation and operation of the Roof Equipment;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Landlord may reasonably withhold its approval if the installation or operation of the Roof Equipment (A) may damage the structural integrity of the Building, (B) may void, terminate, or invalidate any applicable roof warranty, (C) may interfere with any service provided by Landlord or any tenant of the Building, (D) may reduce the leasable space in the Building, or (E) is not properly screened from the viewing public.</w:t>
      </w:r>
    </w:p>
    <w:p>
      <w:pPr>
        <w:spacing w:after="0" w:line="183" w:lineRule="exact"/>
        <w:rPr>
          <w:rFonts w:ascii="Arial" w:cs="Arial" w:eastAsia="Arial" w:hAnsi="Arial"/>
          <w:sz w:val="18"/>
          <w:szCs w:val="18"/>
          <w:color w:val="auto"/>
        </w:rPr>
      </w:pPr>
    </w:p>
    <w:p>
      <w:pPr>
        <w:jc w:val="both"/>
        <w:ind w:firstLine="757"/>
        <w:spacing w:after="0" w:line="239" w:lineRule="auto"/>
        <w:tabs>
          <w:tab w:leader="none" w:pos="1018"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No Damage to Roof</w:t>
      </w:r>
      <w:r>
        <w:rPr>
          <w:rFonts w:ascii="Arial" w:cs="Arial" w:eastAsia="Arial" w:hAnsi="Arial"/>
          <w:sz w:val="18"/>
          <w:szCs w:val="18"/>
          <w:color w:val="auto"/>
        </w:rPr>
        <w:t>. If installation of the Roof Equipment requires Tenant to make any roof cuts or perform any other roofing</w:t>
      </w:r>
      <w:r>
        <w:rPr>
          <w:rFonts w:ascii="Arial" w:cs="Arial" w:eastAsia="Arial" w:hAnsi="Arial"/>
          <w:sz w:val="18"/>
          <w:szCs w:val="18"/>
          <w:b w:val="1"/>
          <w:bCs w:val="1"/>
          <w:color w:val="auto"/>
        </w:rPr>
        <w:t xml:space="preserve"> </w:t>
      </w:r>
      <w:r>
        <w:rPr>
          <w:rFonts w:ascii="Arial" w:cs="Arial" w:eastAsia="Arial" w:hAnsi="Arial"/>
          <w:sz w:val="18"/>
          <w:szCs w:val="18"/>
          <w:color w:val="auto"/>
        </w:rPr>
        <w:t>work, such cuts shall only be made to the roof area of the Building allocated to Tenant by Landlord and only in the manner designated in writing by Landlord; and any such installation work (including any roof cuts or other roofing work) shall be performed by Tenant, at Tenant’s sole cost and expense by a roofing contractor designated by Landlord. If Tenant or its agents shall cause any damage to the roof during the installation, operation, and removal of the Roof Equipment, such damage shall be repaired promptly at Tenant’s expense and the roof shall be restored in the same condition it was in before the damage. Landlord shall not charge Tenant Additional Rent for the installation and use of the Roof Equipment. If, however, Landlord’s insurance premium or Tax assessment increases as a result of the Roof Equipment, Tenant shall pay such increase as Additional Rent within ten (10) days after receipt of a reasonably detailed invoice from Landlord. Tenant shall not be entitled to any abatement or reduction in the amount of Rent payable under this Lease if for any reason Tenant is unable to use the Roof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1281430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128270</wp:posOffset>
            </wp:positionV>
            <wp:extent cx="2425700" cy="41148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2">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1" w:name="page372"/>
    <w:bookmarkEnd w:id="371"/>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44</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Equipment. In no event whatsoever shall the installation, operation, maintenance, or removal of the Roof Equipment by Tenant or its agents void, terminate, or invalidate any applicable roof warranty.</w:t>
      </w:r>
    </w:p>
    <w:p>
      <w:pPr>
        <w:spacing w:after="0" w:line="154" w:lineRule="exact"/>
        <w:rPr>
          <w:sz w:val="20"/>
          <w:szCs w:val="20"/>
          <w:color w:val="auto"/>
        </w:rPr>
      </w:pPr>
    </w:p>
    <w:p>
      <w:pPr>
        <w:jc w:val="both"/>
        <w:ind w:firstLine="757"/>
        <w:spacing w:after="0" w:line="247" w:lineRule="auto"/>
        <w:tabs>
          <w:tab w:leader="none" w:pos="1018"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Protection</w:t>
      </w:r>
      <w:r>
        <w:rPr>
          <w:rFonts w:ascii="Arial" w:cs="Arial" w:eastAsia="Arial" w:hAnsi="Arial"/>
          <w:sz w:val="18"/>
          <w:szCs w:val="18"/>
          <w:color w:val="auto"/>
        </w:rPr>
        <w:t>. The installation, operation, and removal of the Roof Equipment shall be at Tenant’s sole risk.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defend, and hold Landlord harmless from and against any and all claims, costs, damages, liabilities and expenses (including, but not limited to, attorneys’ fees) of every kind and description that may arise out of or be connected in any way with Tenant’s installation, operation, or removal of the Roof Equipment.</w:t>
      </w:r>
    </w:p>
    <w:p>
      <w:pPr>
        <w:spacing w:after="0" w:line="173"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Removal</w:t>
      </w:r>
      <w:r>
        <w:rPr>
          <w:rFonts w:ascii="Arial" w:cs="Arial" w:eastAsia="Arial" w:hAnsi="Arial"/>
          <w:sz w:val="18"/>
          <w:szCs w:val="18"/>
          <w:color w:val="auto"/>
        </w:rPr>
        <w:t>. At the expiration or earlier termination of this Lease or the discontinuance of the use of the Roof Equipment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Tenant shall, at its sole cost and expense, remove the Roof Equipment from the Building. Tenant shall leave the portion of the roof where the Roof Equipment was located in good order and repair, reasonable wear and tear excepted. If Tenant does not so remove the Roof Equipment, Tenant hereby authorizes Landlord to remove and dispose of the Roof Equipment and charge Tenant as Additional Rent for all costs and expenses incurred by Landlord in such removal and disposal. Tenant agrees that Landlord shall not be liable for any Roof Equipment or related property disposed of or removed by Landlord.</w:t>
      </w:r>
    </w:p>
    <w:p>
      <w:pPr>
        <w:spacing w:after="0" w:line="178" w:lineRule="exact"/>
        <w:rPr>
          <w:rFonts w:ascii="Arial" w:cs="Arial" w:eastAsia="Arial" w:hAnsi="Arial"/>
          <w:sz w:val="18"/>
          <w:szCs w:val="18"/>
          <w:color w:val="auto"/>
        </w:rPr>
      </w:pPr>
    </w:p>
    <w:p>
      <w:pPr>
        <w:ind w:firstLine="757"/>
        <w:spacing w:after="0" w:line="271" w:lineRule="auto"/>
        <w:tabs>
          <w:tab w:leader="none" w:pos="1018"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No Interference</w:t>
      </w:r>
      <w:r>
        <w:rPr>
          <w:rFonts w:ascii="Arial" w:cs="Arial" w:eastAsia="Arial" w:hAnsi="Arial"/>
          <w:sz w:val="18"/>
          <w:szCs w:val="18"/>
          <w:color w:val="auto"/>
        </w:rPr>
        <w:t>. Tenant shall not permit the Roof Equipment to interfere with the proper functioning of any devices or</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that have been installed or will be installed by Landlord or for any other tenant or future tenant of the Building.</w:t>
      </w:r>
    </w:p>
    <w:p>
      <w:pPr>
        <w:spacing w:after="0" w:line="153"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Relocation</w:t>
      </w:r>
      <w:r>
        <w:rPr>
          <w:rFonts w:ascii="Arial" w:cs="Arial" w:eastAsia="Arial" w:hAnsi="Arial"/>
          <w:sz w:val="18"/>
          <w:szCs w:val="18"/>
          <w:color w:val="auto"/>
        </w:rPr>
        <w:t>. Landlord shall have the right, at its expense and after 60 days prior notice to Tenant, to relocate the Roof</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to another site on the roof of the Building as long as such site reasonably meets Tenant’s sight line and interference requirements and does not unreasonably interfere with Tenant’s use and operation of the Roof Equipment.</w:t>
      </w:r>
    </w:p>
    <w:p>
      <w:pPr>
        <w:spacing w:after="0" w:line="168"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Access</w:t>
      </w:r>
      <w:r>
        <w:rPr>
          <w:rFonts w:ascii="Arial" w:cs="Arial" w:eastAsia="Arial" w:hAnsi="Arial"/>
          <w:sz w:val="18"/>
          <w:szCs w:val="18"/>
          <w:color w:val="auto"/>
        </w:rPr>
        <w:t>. Landlord grants to Tenant the right of ingress and egress on a 24-hour 7-day per week basis to install, operate,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the Roof Equipment. Before receiving access to the roof of the Building, Tenant shall give Landlord at least 24 hours’ advance written or oral notice, except in emergency situations, in which case 2 hours’ advance oral notice shall be given by Tenant. Landlord shall supply Tenant with the name and telephone number of the contact individual(s) responsible for providing access during emergencies.</w:t>
      </w:r>
    </w:p>
    <w:p>
      <w:pPr>
        <w:spacing w:after="0" w:line="173" w:lineRule="exact"/>
        <w:rPr>
          <w:rFonts w:ascii="Arial" w:cs="Arial" w:eastAsia="Arial" w:hAnsi="Arial"/>
          <w:sz w:val="18"/>
          <w:szCs w:val="18"/>
          <w:color w:val="auto"/>
        </w:rPr>
      </w:pPr>
    </w:p>
    <w:p>
      <w:pPr>
        <w:ind w:right="20" w:firstLine="757"/>
        <w:spacing w:after="0" w:line="271" w:lineRule="auto"/>
        <w:tabs>
          <w:tab w:leader="none" w:pos="1018"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Appearance</w:t>
      </w:r>
      <w:r>
        <w:rPr>
          <w:rFonts w:ascii="Arial" w:cs="Arial" w:eastAsia="Arial" w:hAnsi="Arial"/>
          <w:sz w:val="18"/>
          <w:szCs w:val="18"/>
          <w:color w:val="auto"/>
        </w:rPr>
        <w:t>. If permissible by Legal Requirements, the Roof Equipment shall be painted the same color as the Building so as</w:t>
      </w:r>
      <w:r>
        <w:rPr>
          <w:rFonts w:ascii="Arial" w:cs="Arial" w:eastAsia="Arial" w:hAnsi="Arial"/>
          <w:sz w:val="18"/>
          <w:szCs w:val="18"/>
          <w:b w:val="1"/>
          <w:bCs w:val="1"/>
          <w:color w:val="auto"/>
        </w:rPr>
        <w:t xml:space="preserve"> </w:t>
      </w:r>
      <w:r>
        <w:rPr>
          <w:rFonts w:ascii="Arial" w:cs="Arial" w:eastAsia="Arial" w:hAnsi="Arial"/>
          <w:sz w:val="18"/>
          <w:szCs w:val="18"/>
          <w:color w:val="auto"/>
        </w:rPr>
        <w:t>to render the Roof Equipment virtually invisible from ground level.</w:t>
      </w:r>
    </w:p>
    <w:p>
      <w:pPr>
        <w:spacing w:after="0" w:line="153"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No Assignment</w:t>
      </w:r>
      <w:r>
        <w:rPr>
          <w:rFonts w:ascii="Arial" w:cs="Arial" w:eastAsia="Arial" w:hAnsi="Arial"/>
          <w:sz w:val="18"/>
          <w:szCs w:val="18"/>
          <w:color w:val="auto"/>
        </w:rPr>
        <w:t>. The right of Tenant to use and operate the Roof Equipment shall be personal solely to Kymera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Inc., and its assignee or successor by virtue of a Permitted Assignment and (i) no other person or entity shall have any right to use or operate the Roof Equipment, and (ii) Tenant shall not assign, convey, or otherwise transfer to any person or entity any right, title, or interest in all or any portion of the Roof Equipment or the use and operation thereof.</w:t>
      </w:r>
    </w:p>
    <w:p>
      <w:pPr>
        <w:spacing w:after="0" w:line="173"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Acknowledgement</w:t>
      </w:r>
      <w:r>
        <w:rPr>
          <w:rFonts w:ascii="Arial" w:cs="Arial" w:eastAsia="Arial" w:hAnsi="Arial"/>
          <w:sz w:val="18"/>
          <w:szCs w:val="18"/>
          <w:color w:val="auto"/>
        </w:rPr>
        <w:t>. Tenant hereby acknowledges that (i) the Project is listed as a historic district on the National Register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Historic Places, and is subject to historic preservation restrictions by the instruments identified in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below, as well as local, state and federal requirements, (ii) as part of Tenant’s obligation to comply with Legal Requirements, the Rooftop Equipment must comply with all such restrictions, and (iii) as a result, Tenant’s ability to utilize the Rooftop Equipment may be frustrated.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1275715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122555</wp:posOffset>
            </wp:positionV>
            <wp:extent cx="2425700" cy="41148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2" w:name="page373"/>
    <w:bookmarkEnd w:id="372"/>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45</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ind w:left="1020" w:hanging="263"/>
        <w:spacing w:after="0"/>
        <w:tabs>
          <w:tab w:leader="none" w:pos="102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020" w:hanging="263"/>
        <w:spacing w:after="0"/>
        <w:tabs>
          <w:tab w:leader="none" w:pos="102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Disclosure of Encumbrances</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line="242" w:lineRule="auto"/>
        <w:tabs>
          <w:tab w:leader="none" w:pos="1018"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Acknowledgement</w:t>
      </w:r>
      <w:r>
        <w:rPr>
          <w:rFonts w:ascii="Arial" w:cs="Arial" w:eastAsia="Arial" w:hAnsi="Arial"/>
          <w:sz w:val="18"/>
          <w:szCs w:val="18"/>
          <w:color w:val="auto"/>
        </w:rPr>
        <w:t>. Tenant hereby acknowledges that the Project is a historic site listed on the National Register of Historic</w:t>
      </w:r>
      <w:r>
        <w:rPr>
          <w:rFonts w:ascii="Arial" w:cs="Arial" w:eastAsia="Arial" w:hAnsi="Arial"/>
          <w:sz w:val="18"/>
          <w:szCs w:val="18"/>
          <w:b w:val="1"/>
          <w:bCs w:val="1"/>
          <w:color w:val="auto"/>
        </w:rPr>
        <w:t xml:space="preserve"> </w:t>
      </w:r>
      <w:r>
        <w:rPr>
          <w:rFonts w:ascii="Arial" w:cs="Arial" w:eastAsia="Arial" w:hAnsi="Arial"/>
          <w:sz w:val="18"/>
          <w:szCs w:val="18"/>
          <w:color w:val="auto"/>
        </w:rPr>
        <w:t>Places that was formerly owned and operated by the United States Army for research and production of military weapons and related materials dating back to the mid-1800s, and that such uses included those that impacted the environmental condition of the Project. Accordingly, the Project is subject to various restrictions related to the historical significance of certain aspects of the Project and environmental contamination of other aspects of the Project. Tenant has been given the opportunity to review all such matters to its satisfaction and Landlord makes no representations, warranties or assurances with respect thereto.</w:t>
      </w:r>
    </w:p>
    <w:p>
      <w:pPr>
        <w:spacing w:after="0" w:line="178" w:lineRule="exact"/>
        <w:rPr>
          <w:rFonts w:ascii="Arial" w:cs="Arial" w:eastAsia="Arial" w:hAnsi="Arial"/>
          <w:sz w:val="18"/>
          <w:szCs w:val="18"/>
          <w:color w:val="auto"/>
        </w:rPr>
      </w:pPr>
    </w:p>
    <w:p>
      <w:pPr>
        <w:jc w:val="both"/>
        <w:ind w:firstLine="757"/>
        <w:spacing w:after="0"/>
        <w:tabs>
          <w:tab w:leader="none" w:pos="1018"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Deed</w:t>
      </w:r>
      <w:r>
        <w:rPr>
          <w:rFonts w:ascii="Arial" w:cs="Arial" w:eastAsia="Arial" w:hAnsi="Arial"/>
          <w:sz w:val="18"/>
          <w:szCs w:val="18"/>
          <w:color w:val="auto"/>
        </w:rPr>
        <w:t>. Notwithstanding anything contained in this Lease to the contrary, the Premises (and Tenant’s rights therein)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all easements, restrictions and encumbrances now or hereafter of record so long as the same may be in force and effect, including without limitation all easements, restrictions and covenants contained in that certain Quitclaim Deed dated August 20, 1998, recorded with the Middlesex Southern District Registry of Deeds at Book 29012, Page 420, from the United States of America, acting by and through the Secretary of the Army (the “</w:t>
      </w:r>
      <w:r>
        <w:rPr>
          <w:rFonts w:ascii="Arial" w:cs="Arial" w:eastAsia="Arial" w:hAnsi="Arial"/>
          <w:sz w:val="18"/>
          <w:szCs w:val="18"/>
          <w:b w:val="1"/>
          <w:bCs w:val="1"/>
          <w:color w:val="auto"/>
        </w:rPr>
        <w:t>Army</w:t>
      </w:r>
      <w:r>
        <w:rPr>
          <w:rFonts w:ascii="Arial" w:cs="Arial" w:eastAsia="Arial" w:hAnsi="Arial"/>
          <w:sz w:val="18"/>
          <w:szCs w:val="18"/>
          <w:color w:val="auto"/>
        </w:rPr>
        <w:t>”), to the Watertown Arsenal Development Corporation, with respect to the Premises (the “</w:t>
      </w:r>
      <w:r>
        <w:rPr>
          <w:rFonts w:ascii="Arial" w:cs="Arial" w:eastAsia="Arial" w:hAnsi="Arial"/>
          <w:sz w:val="18"/>
          <w:szCs w:val="18"/>
          <w:b w:val="1"/>
          <w:bCs w:val="1"/>
          <w:color w:val="auto"/>
        </w:rPr>
        <w:t>Army Deed</w:t>
      </w:r>
      <w:r>
        <w:rPr>
          <w:rFonts w:ascii="Arial" w:cs="Arial" w:eastAsia="Arial" w:hAnsi="Arial"/>
          <w:sz w:val="18"/>
          <w:szCs w:val="18"/>
          <w:color w:val="auto"/>
        </w:rPr>
        <w:t>”), which Army Deed is incorporated by reference and includes, without limitation, (i) covenants in Part IV of the Army Deed associated with the Army’s obligations under the Federal Facility Agreement between the Army and the United States Environmental Protection Agency and (ii) covenants in Part XI associated with certain historical resources at the Premises.</w:t>
      </w:r>
    </w:p>
    <w:p>
      <w:pPr>
        <w:spacing w:after="0" w:line="180" w:lineRule="exact"/>
        <w:rPr>
          <w:rFonts w:ascii="Arial" w:cs="Arial" w:eastAsia="Arial" w:hAnsi="Arial"/>
          <w:sz w:val="18"/>
          <w:szCs w:val="18"/>
          <w:color w:val="auto"/>
        </w:rPr>
      </w:pPr>
    </w:p>
    <w:p>
      <w:pPr>
        <w:jc w:val="both"/>
        <w:ind w:firstLine="757"/>
        <w:spacing w:after="0" w:line="236" w:lineRule="auto"/>
        <w:tabs>
          <w:tab w:leader="none" w:pos="1018"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Environmental Grant</w:t>
      </w:r>
      <w:r>
        <w:rPr>
          <w:rFonts w:ascii="Arial" w:cs="Arial" w:eastAsia="Arial" w:hAnsi="Arial"/>
          <w:sz w:val="18"/>
          <w:szCs w:val="18"/>
          <w:color w:val="auto"/>
        </w:rPr>
        <w:t>. Notice is hereby given that a Grant of Environmental Restriction and Easement, dated August 11, 1998,</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Massachusetts General Laws Chapter 21E, has been recorded by the Army with the Middlesex Southern District Registry of Deeds at Book 28978, Page 549; as amended by a First Amendment to Grant of Environmental Restriction and Easement, dated February 5, 1999, recorded at Book 29779, Page 359; as affected by a Subordination Agreement, dated March 16, 1999, recorded at Book 29957, Page 104; as further affected by a Subordination Agreement, dated March 24, 1999, recorded at Book 29985, Page 151; as further amended by a Second Amendment to Grant of Environmental Restriction and Easement, dated April 15, 1999, recorded at Book 30066, Page 116; as further affected by a Partial Release of Environmental Restriction and Easement, dated June 10, 1999, recorded at Book 30278, Page 511; as further amended by a Third Amendment to Grant of Environmental Restriction and Easement, dated June 7, 1999, recorded at Book 30278, Page 513; as further amended by a Fourth Amendment to Grant of Environmental Restriction and Easement, dated July 22, 2000, recorded at Book 31682, Page 99; as further amended by a Fifth Amendment to Grant of Environmental Restriction and Easement dated July 14, 2004, and recorded with said Registry of Deeds in Book 44119, Page 1; as affected by a plan entitled “Plan Showing Excavation Areas B, E, and G in Watertown, Massachusetts,” dated February 20, 2002, as revised on September 25, 2002, prepared by Dunn McKenzie, Inc., recorded as Plan No. 1348 of 2004; as further amended by a Sixth Amendment to Grant of Environmental Restriction and Easement dated March 21, 2005, and recorded with said Registry of Deeds in Book 45129, Page 1; as further affected by a plan entitled “Plan Showing Commercial Reuse Area in Watertown, Massachusetts,” dated October 25, 2004, as revised on March 16, 2005, prepared by Dunn McKenzie, Inc., recorded as Plan No. 523 of 2005; as further amended by a Seventh Amendment to Grant of Environmental Restriction and Easement dated August 9, 2006, and recorded with said Registry of Deeds in Book 48562, Page 187; and as further affected by a plan entitled “Plan Showing Commercial Reuse Area in Watertown, Massachusetts,” dated August 16, 2004, as revised on March 16, 2005 and February 10, 2006, prepared by Dunn McKenzie, Inc., recorded as Plan No. 1480 of 2006 (the “</w:t>
      </w:r>
      <w:r>
        <w:rPr>
          <w:rFonts w:ascii="Arial" w:cs="Arial" w:eastAsia="Arial" w:hAnsi="Arial"/>
          <w:sz w:val="18"/>
          <w:szCs w:val="18"/>
          <w:b w:val="1"/>
          <w:bCs w:val="1"/>
          <w:color w:val="auto"/>
        </w:rPr>
        <w:t>Grant</w:t>
      </w:r>
      <w:r>
        <w:rPr>
          <w:rFonts w:ascii="Arial" w:cs="Arial" w:eastAsia="Arial" w:hAnsi="Arial"/>
          <w:sz w:val="18"/>
          <w:szCs w:val="18"/>
          <w:color w:val="auto"/>
        </w:rPr>
        <w:t>”). This restriction on the activities conducted on the Premises and use limitations contained in the Grant are hereby incorporated by reference and shall be independently enforceable by the Army under the Grant as a restrictive covenant and equitable servitude.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1288415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135255</wp:posOffset>
            </wp:positionV>
            <wp:extent cx="2425700" cy="41148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6">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46</w:t>
      </w:r>
    </w:p>
    <w:p>
      <w:pPr>
        <w:spacing w:after="0" w:line="14" w:lineRule="exact"/>
        <w:rPr>
          <w:sz w:val="20"/>
          <w:szCs w:val="20"/>
          <w:color w:val="auto"/>
        </w:rPr>
      </w:pPr>
    </w:p>
    <w:p>
      <w:pPr>
        <w:ind w:left="97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ind w:left="-400" w:firstLine="757"/>
        <w:spacing w:after="0" w:line="239" w:lineRule="auto"/>
        <w:tabs>
          <w:tab w:leader="none" w:pos="618"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Activity and Use Limitations</w:t>
      </w:r>
      <w:r>
        <w:rPr>
          <w:rFonts w:ascii="Arial" w:cs="Arial" w:eastAsia="Arial" w:hAnsi="Arial"/>
          <w:sz w:val="18"/>
          <w:szCs w:val="18"/>
          <w:color w:val="auto"/>
        </w:rPr>
        <w:t>. Notice is hereby further given that the following three (3) Notices of Activity and Use Limitations,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Massachusetts General Laws Chapter 21E, have been recorded with the Middlesex Southern District Registry of Deeds: (i) dated August 11, 1998, recorded at Book 28959, Page 92; (ii) dated August 11, 1998, recorded at Book 28959, Page 190, as amended by a First Amendment to Notice of Activity and Use Limitations, dated October 26, 1999, recorded at Book 30801, Page 319, as further amended by a Second Amendment to Notice of Activity and Use Limitations, dated December 9, 2019, recorded at Book 73807, Page 226; and (iii) dated February 4, 1999, recorded at Book 29766, Page 17, as amended by a First Amendment to Notice of Activity and Use Limitations, dated August 19th, 2004, recorded at Book 43589, Page 438, and as further amended by a Second Amendment to Notice of Activity and Use Limitation, dated February 28, 2005, recorded at Book 44737, Page 453 (collectively, the “</w:t>
      </w:r>
      <w:r>
        <w:rPr>
          <w:rFonts w:ascii="Arial" w:cs="Arial" w:eastAsia="Arial" w:hAnsi="Arial"/>
          <w:sz w:val="18"/>
          <w:szCs w:val="18"/>
          <w:b w:val="1"/>
          <w:bCs w:val="1"/>
          <w:color w:val="auto"/>
        </w:rPr>
        <w:t>Notices of AULs</w:t>
      </w:r>
      <w:r>
        <w:rPr>
          <w:rFonts w:ascii="Arial" w:cs="Arial" w:eastAsia="Arial" w:hAnsi="Arial"/>
          <w:sz w:val="18"/>
          <w:szCs w:val="18"/>
          <w:color w:val="auto"/>
        </w:rPr>
        <w:t>”). The restriction on activities conducted on the Premises and use limitations contained in the Notices of AULs are hereby incorporated by reference and shall be independently enforceable by the Army as a restrictive covenant and equitable servitude.</w:t>
      </w:r>
    </w:p>
    <w:p>
      <w:pPr>
        <w:spacing w:after="0" w:line="180" w:lineRule="exact"/>
        <w:rPr>
          <w:sz w:val="20"/>
          <w:szCs w:val="20"/>
          <w:color w:val="auto"/>
        </w:rPr>
      </w:pPr>
    </w:p>
    <w:p>
      <w:pPr>
        <w:ind w:left="620" w:hanging="263"/>
        <w:spacing w:after="0"/>
        <w:tabs>
          <w:tab w:leader="none" w:pos="620"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12" w:lineRule="exact"/>
        <w:rPr>
          <w:sz w:val="20"/>
          <w:szCs w:val="20"/>
          <w:color w:val="auto"/>
        </w:rPr>
      </w:pPr>
    </w:p>
    <w:p>
      <w:pPr>
        <w:jc w:val="both"/>
        <w:ind w:left="-400" w:firstLine="757"/>
        <w:spacing w:after="0" w:line="247" w:lineRule="auto"/>
        <w:tabs>
          <w:tab w:leader="none" w:pos="618"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 upon</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or 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73" w:lineRule="exact"/>
        <w:rPr>
          <w:rFonts w:ascii="Arial" w:cs="Arial" w:eastAsia="Arial" w:hAnsi="Arial"/>
          <w:sz w:val="18"/>
          <w:szCs w:val="18"/>
          <w:color w:val="auto"/>
        </w:rPr>
      </w:pPr>
    </w:p>
    <w:p>
      <w:pPr>
        <w:ind w:left="-400" w:right="20" w:firstLine="757"/>
        <w:spacing w:after="0" w:line="271" w:lineRule="auto"/>
        <w:tabs>
          <w:tab w:leader="none" w:pos="618"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entity, each shall be jointly and severally liable for the obligations of Tenant.</w:t>
      </w:r>
    </w:p>
    <w:p>
      <w:pPr>
        <w:spacing w:after="0" w:line="153" w:lineRule="exact"/>
        <w:rPr>
          <w:rFonts w:ascii="Arial" w:cs="Arial" w:eastAsia="Arial" w:hAnsi="Arial"/>
          <w:sz w:val="18"/>
          <w:szCs w:val="18"/>
          <w:color w:val="auto"/>
        </w:rPr>
      </w:pPr>
    </w:p>
    <w:p>
      <w:pPr>
        <w:jc w:val="both"/>
        <w:ind w:left="-400" w:firstLine="757"/>
        <w:spacing w:after="0"/>
        <w:tabs>
          <w:tab w:leader="none" w:pos="618"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Financial Information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furnish Landlord with true and complete copies of (i) Tenant’s most recent audited annual</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within 90 days of the end of each of Tenant’s fiscal years during the Term, (ii) Tenant’s most recent unaudited quarterly financial statements within 45 days of the end of each of Tenant’s fiscal quarters during each of Tenant’s fiscal years during the Term, (iii) at Landlord’s request from time to time, updated business plans, including cash flow projections and/or pro forma balance sheets and income statements, all of which shall be treated by Landlord as confidential information belonging to Tenant, (iv) corporate brochures and/or profiles prepared by Tenant for prospective investors, and (v) any other financial information or summaries that Tenant typically provides to its lenders or shareholders. So long as Tenant is a “public company” and its financial information is publicly available, then the foregoing delivery requirements of this Section 45(c) shall not apply.</w:t>
      </w:r>
    </w:p>
    <w:p>
      <w:pPr>
        <w:spacing w:after="0" w:line="180" w:lineRule="exact"/>
        <w:rPr>
          <w:rFonts w:ascii="Arial" w:cs="Arial" w:eastAsia="Arial" w:hAnsi="Arial"/>
          <w:sz w:val="18"/>
          <w:szCs w:val="18"/>
          <w:color w:val="auto"/>
        </w:rPr>
      </w:pPr>
    </w:p>
    <w:p>
      <w:pPr>
        <w:jc w:val="both"/>
        <w:ind w:left="-400" w:firstLine="757"/>
        <w:spacing w:after="0" w:line="238" w:lineRule="auto"/>
        <w:tabs>
          <w:tab w:leader="none" w:pos="618"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Except as expressly set forth herein, neither this Lease nor a notice of lease shall be filed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 in any public record. This Lease shall not be filed by or on behalf of Tenant in any public record, except as required by law in connection with Tenant’s SEC obligations (if any). At the request of either party, Landlord shall prepare, and Tenant will execute, a notice of lease in the statutory form containing only the minimum information required by law, which Tenant shall then cause to have recorded in the applicable public record at Tenant’s expense. If a notice of lease shall be filed, prior to the expiration or earlier termination of this Lease and as a condition to satisfaction of Tenant’s requirements to surrender the Premises, Tenant shall execute and deliver to Landlord a duly executed and acknowledged notice of expiration or termination of lease in a mutually acceptable form (the “</w:t>
      </w:r>
      <w:r>
        <w:rPr>
          <w:rFonts w:ascii="Arial" w:cs="Arial" w:eastAsia="Arial" w:hAnsi="Arial"/>
          <w:sz w:val="18"/>
          <w:szCs w:val="18"/>
          <w:b w:val="1"/>
          <w:bCs w:val="1"/>
          <w:color w:val="auto"/>
        </w:rPr>
        <w:t>Notice of Termination</w:t>
      </w:r>
      <w:r>
        <w:rPr>
          <w:rFonts w:ascii="Arial" w:cs="Arial" w:eastAsia="Arial" w:hAnsi="Arial"/>
          <w:sz w:val="18"/>
          <w:szCs w:val="18"/>
          <w:color w:val="auto"/>
        </w:rPr>
        <w:t>”), acknowledging the expiration or termination of this Lease. For the avoidance of doubt, at Landlord’s election, Tenant will be considered to be holding over in the Premises and subject to Landlord’s rights and remedies for a holdover unless and until Tenant has executed and delivered to Landlord such a Notice of Termination, whether or not a subsequent tenant is then in occupancy. This Section 45(d) shall survive the expiration or earlier termination of this Lease.</w:t>
      </w:r>
    </w:p>
    <w:p>
      <w:pPr>
        <w:spacing w:after="0" w:line="185" w:lineRule="exact"/>
        <w:rPr>
          <w:rFonts w:ascii="Arial" w:cs="Arial" w:eastAsia="Arial" w:hAnsi="Arial"/>
          <w:sz w:val="18"/>
          <w:szCs w:val="18"/>
          <w:color w:val="auto"/>
        </w:rPr>
      </w:pPr>
    </w:p>
    <w:p>
      <w:pPr>
        <w:ind w:left="-400" w:firstLine="757"/>
        <w:spacing w:after="0" w:line="271" w:lineRule="auto"/>
        <w:tabs>
          <w:tab w:leader="none" w:pos="618"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employed in the interpretation of this Lease or any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1262380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109220</wp:posOffset>
            </wp:positionV>
            <wp:extent cx="2425700" cy="41148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8">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sectPr>
      </w:pPr>
    </w:p>
    <w:bookmarkStart w:id="374" w:name="page375"/>
    <w:bookmarkEnd w:id="374"/>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47</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 Each term and provision of this Lease to be performed and observed by Tenant shall be construed to be both a covenant and a condition. Tenant’s covenants contained in this Lease are independent and not dependent, and Tenant hereby waives the benefit of any statute or judicial law to the contrary. Tenant’s obligation to pay Rent shall not be discharged or otherwise affected by any law or regulation now or hereafter applicable to the Premises, or any other restriction on Tenant’s use, or (except as expressly provided in this Lease) any casualty or taking, or any failure by Landlord to perform any covenant contained herein, or any other occurrence; and no termination or abatement remedy that is not expressly provided for in this Lease for any breach or failure by Landlord to perform any obligation under this Lease shall be implied or applicable as a matter of law.</w:t>
      </w:r>
    </w:p>
    <w:p>
      <w:pPr>
        <w:spacing w:after="0" w:line="180" w:lineRule="exact"/>
        <w:rPr>
          <w:sz w:val="20"/>
          <w:szCs w:val="20"/>
          <w:color w:val="auto"/>
        </w:rPr>
      </w:pPr>
    </w:p>
    <w:p>
      <w:pPr>
        <w:jc w:val="both"/>
        <w:ind w:firstLine="757"/>
        <w:spacing w:after="0" w:line="253" w:lineRule="auto"/>
        <w:tabs>
          <w:tab w:leader="none" w:pos="1018"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Not Binding Until Executed</w:t>
      </w:r>
      <w:r>
        <w:rPr>
          <w:rFonts w:ascii="Arial" w:cs="Arial" w:eastAsia="Arial" w:hAnsi="Arial"/>
          <w:sz w:val="18"/>
          <w:szCs w:val="18"/>
          <w:color w:val="auto"/>
        </w:rPr>
        <w:t>. The submission by Landlord to Tenant of this Lease shall have no binding force or effect,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constitute an option for the leasing of the Premises, nor confer any right or impose any obligations upon either party until execution of this Lease by both Parties.</w:t>
      </w:r>
    </w:p>
    <w:p>
      <w:pPr>
        <w:spacing w:after="0" w:line="168" w:lineRule="exact"/>
        <w:rPr>
          <w:rFonts w:ascii="Arial" w:cs="Arial" w:eastAsia="Arial" w:hAnsi="Arial"/>
          <w:sz w:val="18"/>
          <w:szCs w:val="18"/>
          <w:color w:val="auto"/>
        </w:rPr>
      </w:pPr>
    </w:p>
    <w:p>
      <w:pPr>
        <w:jc w:val="both"/>
        <w:ind w:firstLine="757"/>
        <w:spacing w:after="0"/>
        <w:tabs>
          <w:tab w:leader="none" w:pos="1018"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Limitations on Interest</w:t>
      </w:r>
      <w:r>
        <w:rPr>
          <w:rFonts w:ascii="Arial" w:cs="Arial" w:eastAsia="Arial" w:hAnsi="Arial"/>
          <w:sz w:val="18"/>
          <w:szCs w:val="18"/>
          <w:color w:val="auto"/>
        </w:rPr>
        <w:t>. It is expressly the intent of Landlord and Tenant at all times to comply with applicable law governing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84" w:lineRule="exact"/>
        <w:rPr>
          <w:rFonts w:ascii="Arial" w:cs="Arial" w:eastAsia="Arial" w:hAnsi="Arial"/>
          <w:sz w:val="18"/>
          <w:szCs w:val="18"/>
          <w:color w:val="auto"/>
        </w:rPr>
      </w:pPr>
    </w:p>
    <w:p>
      <w:pPr>
        <w:jc w:val="both"/>
        <w:ind w:firstLine="757"/>
        <w:spacing w:after="0"/>
        <w:tabs>
          <w:tab w:leader="none" w:pos="1018"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Massachusetts, excluding any principles of conflicts of laws. Each of Landlord and Tenant acknowledges and agrees that all disputes arising, directly or indirectly, out of or relating to this Lease shall be dealt with by application of the laws of the Commonwealth of Massachusetts and adjudicated in the state courts of the Commonwealth of Massachusetts sitting in Middlesex County or the United States District Court for the District of Massachusetts; and hereby expressly and irrevocably submits to the jurisdiction of such courts in any suit, action or proceeding arising, directly or indirectly, out of or relating to this Lease. So far as is permitted under the applicable law, this consent to personal jurisdiction shall be self-operative and no further instrument or action, other than service of process in one of the manners permitted by law, shall be necessary in order to confer jurisdiction upon either party in any such court.</w:t>
      </w:r>
    </w:p>
    <w:p>
      <w:pPr>
        <w:spacing w:after="0" w:line="180" w:lineRule="exact"/>
        <w:rPr>
          <w:rFonts w:ascii="Arial" w:cs="Arial" w:eastAsia="Arial" w:hAnsi="Arial"/>
          <w:sz w:val="18"/>
          <w:szCs w:val="18"/>
          <w:color w:val="auto"/>
        </w:rPr>
      </w:pPr>
    </w:p>
    <w:p>
      <w:pPr>
        <w:ind w:left="1020" w:hanging="263"/>
        <w:spacing w:after="0"/>
        <w:tabs>
          <w:tab w:leader="none" w:pos="102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211" w:lineRule="exact"/>
        <w:rPr>
          <w:rFonts w:ascii="Arial" w:cs="Arial" w:eastAsia="Arial" w:hAnsi="Arial"/>
          <w:sz w:val="18"/>
          <w:szCs w:val="18"/>
          <w:color w:val="auto"/>
        </w:rPr>
      </w:pPr>
    </w:p>
    <w:p>
      <w:pPr>
        <w:jc w:val="both"/>
        <w:ind w:firstLine="757"/>
        <w:spacing w:after="0"/>
        <w:tabs>
          <w:tab w:leader="none" w:pos="1018"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Tenant and all beneficial owners of Tenant are currently (a) in compliance with and shall at all times during the Term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1282065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128905</wp:posOffset>
            </wp:positionV>
            <wp:extent cx="2425700" cy="41148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5" w:name="page376"/>
    <w:bookmarkEnd w:id="375"/>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48</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Landlord and all beneficial owners of Landlord are currently (a) in compliance with and shall at all times during the Term of this 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provisions of this subsection (j) shall not apply to any interests in Tenant or Landlord held as shares publicly traded on a nationally recognized U.S. stock exchange.</w:t>
      </w:r>
    </w:p>
    <w:p>
      <w:pPr>
        <w:spacing w:after="0" w:line="154" w:lineRule="exact"/>
        <w:rPr>
          <w:sz w:val="20"/>
          <w:szCs w:val="20"/>
          <w:color w:val="auto"/>
        </w:rPr>
      </w:pPr>
    </w:p>
    <w:p>
      <w:pPr>
        <w:ind w:firstLine="757"/>
        <w:spacing w:after="0" w:line="271" w:lineRule="auto"/>
        <w:tabs>
          <w:tab w:leader="none" w:pos="1018"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 and made a</w:t>
      </w:r>
      <w:r>
        <w:rPr>
          <w:rFonts w:ascii="Arial" w:cs="Arial" w:eastAsia="Arial" w:hAnsi="Arial"/>
          <w:sz w:val="18"/>
          <w:szCs w:val="18"/>
          <w:b w:val="1"/>
          <w:bCs w:val="1"/>
          <w:color w:val="auto"/>
        </w:rPr>
        <w:t xml:space="preserve"> </w:t>
      </w:r>
      <w:r>
        <w:rPr>
          <w:rFonts w:ascii="Arial" w:cs="Arial" w:eastAsia="Arial" w:hAnsi="Arial"/>
          <w:sz w:val="18"/>
          <w:szCs w:val="18"/>
          <w:color w:val="auto"/>
        </w:rPr>
        <w:t>part hereof. If there is any conflict between such exhibits or addenda and the terms of this Lease, such exhibits or addenda shall control.</w:t>
      </w:r>
    </w:p>
    <w:p>
      <w:pPr>
        <w:spacing w:after="0" w:line="153"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Lease, including the exhibits attached hereto, constitutes the entire agreement between Landlord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17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(m)</w:t>
      </w:r>
      <w:r>
        <w:rPr>
          <w:rFonts w:ascii="Arial" w:cs="Arial" w:eastAsia="Arial" w:hAnsi="Arial"/>
          <w:sz w:val="18"/>
          <w:szCs w:val="18"/>
          <w:b w:val="1"/>
          <w:bCs w:val="1"/>
          <w:color w:val="auto"/>
        </w:rPr>
        <w:t>No Accord and Satisfaction</w:t>
      </w:r>
      <w:r>
        <w:rPr>
          <w:rFonts w:ascii="Arial" w:cs="Arial" w:eastAsia="Arial" w:hAnsi="Arial"/>
          <w:sz w:val="18"/>
          <w:szCs w:val="18"/>
          <w:color w:val="auto"/>
        </w:rPr>
        <w:t>. No payment by Tenant or receipt by Landlord of a lesser amount than the monthly installment of Base Rent 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76" w:lineRule="exact"/>
        <w:rPr>
          <w:sz w:val="20"/>
          <w:szCs w:val="20"/>
          <w:color w:val="auto"/>
        </w:rPr>
      </w:pPr>
    </w:p>
    <w:p>
      <w:pPr>
        <w:jc w:val="both"/>
        <w:ind w:firstLine="757"/>
        <w:spacing w:after="0" w:line="242" w:lineRule="auto"/>
        <w:tabs>
          <w:tab w:leader="none" w:pos="1018"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Hazardous Activities</w:t>
      </w:r>
      <w:r>
        <w:rPr>
          <w:rFonts w:ascii="Arial" w:cs="Arial" w:eastAsia="Arial" w:hAnsi="Arial"/>
          <w:sz w:val="18"/>
          <w:szCs w:val="18"/>
          <w:color w:val="auto"/>
        </w:rPr>
        <w:t>. Notwithstanding any other provision of this Lease, Landlord, for itself and its employees,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78" w:lineRule="exact"/>
        <w:rPr>
          <w:rFonts w:ascii="Arial" w:cs="Arial" w:eastAsia="Arial" w:hAnsi="Arial"/>
          <w:sz w:val="18"/>
          <w:szCs w:val="18"/>
          <w:color w:val="auto"/>
        </w:rPr>
      </w:pPr>
    </w:p>
    <w:p>
      <w:pPr>
        <w:jc w:val="both"/>
        <w:ind w:firstLine="757"/>
        <w:spacing w:after="0" w:line="238" w:lineRule="auto"/>
        <w:tabs>
          <w:tab w:leader="none" w:pos="1018"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Redevelopment of Project</w:t>
      </w:r>
      <w:r>
        <w:rPr>
          <w:rFonts w:ascii="Arial" w:cs="Arial" w:eastAsia="Arial" w:hAnsi="Arial"/>
          <w:sz w:val="18"/>
          <w:szCs w:val="18"/>
          <w:color w:val="auto"/>
        </w:rPr>
        <w:t>. Tenant acknowledges that Landlord intends to undertake significant renovations and/or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at the Project, including, without limitation, for lab, office and retail uses, and including, without limitation, the creation of one or more Amenities or Amenity buildings or centers. Landlord expressly reserves the right, in its sole discretion, from time to time to expand, develop, renovate, redevelop, alter, improve, maintain, construct, demolish, relocate and/or reconfigure the Project (or portions thereof) and buildings, Common Areas (including parking and site drives) and other improvements therein, as the same may exist from time to time and, in connection therewith or in addition thereto, as the case may be, from time to time without limitation: (a) change the shape, size, location, number and/or extent or existence of any improvements, buildings, structures, lobbies, hallways, entrances, exits, parking and/or parking areas; (b) modify, eliminate and/or add any buildings, improvements, and parking structure(s) either above or below grade, from or to the Project, the Amenities or other Common Areas and/or any other portion of the Project and/or make any other changes thereto affecting the same; (c) amend any existing land use and zoning approvals for the Project (including, without limitation, any special permit applicable to the Project) and seek additional approvals, relief or zoning amendments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1283335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130175</wp:posOffset>
            </wp:positionV>
            <wp:extent cx="2425700" cy="41148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2">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6" w:name="page377"/>
    <w:bookmarkEnd w:id="376"/>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49</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connection with any future expansion, development, renovation, redevelopment, alteration, demolition, relocation, improvement, operation, maintenance or repair of the Project (including, without limitation, the Common Areas); and (d) make any other changes, additions and/or deletions in any way affecting the Project and/or any portion thereof as Landlord may elect from time to time, including without limitation, creation and/or elimination of, and/or additions to and/or deletions from, the land comprising the Project, the Amenities or other Common Areas and/or any other portion of the Project. Landlord shall have the right, in connection with such contemplated activities, to subject the Project and its appurtenant rights to easements for the construction, reconstruction, alteration, demolition, relocation, improvement, operation, repair or maintenance of elements thereof, for access and egress, for parking, for the installation, maintenance, repair, replacement or relocation of utilities serving the Project, and to subject the Project to such other rights, agreements, and covenants for such purposes as Landlord may determine; provided that such rights, agreements, and covenants do not (i) change Tenant’s Permitted Use of the Premises, (ii) materially increase any of Tenant’s obligations pursuant to this Lease, or (iii) materially reduce any of Tenant’s express rights pursuant to this Lease. This Lease shall be subject and subordinate to all such matters. For the avoidance of doubt, however, Landlord shall have no obligation to undertake any action described in this </w:t>
      </w:r>
      <w:r>
        <w:rPr>
          <w:rFonts w:ascii="Arial" w:cs="Arial" w:eastAsia="Arial" w:hAnsi="Arial"/>
          <w:sz w:val="18"/>
          <w:szCs w:val="18"/>
          <w:u w:val="single" w:color="auto"/>
          <w:color w:val="auto"/>
        </w:rPr>
        <w:t>Section 45(o)</w:t>
      </w:r>
      <w:r>
        <w:rPr>
          <w:rFonts w:ascii="Arial" w:cs="Arial" w:eastAsia="Arial" w:hAnsi="Arial"/>
          <w:sz w:val="18"/>
          <w:szCs w:val="18"/>
          <w:color w:val="auto"/>
        </w:rPr>
        <w:t xml:space="preserve">, and Tenant is not entering into this Lease in reliance of Landlord making any alteration to the Project (other than construction of the Building) or any other action described in this </w:t>
      </w:r>
      <w:r>
        <w:rPr>
          <w:rFonts w:ascii="Arial" w:cs="Arial" w:eastAsia="Arial" w:hAnsi="Arial"/>
          <w:sz w:val="18"/>
          <w:szCs w:val="18"/>
          <w:u w:val="single" w:color="auto"/>
          <w:color w:val="auto"/>
        </w:rPr>
        <w:t>Section 45(o)</w:t>
      </w:r>
      <w:r>
        <w:rPr>
          <w:rFonts w:ascii="Arial" w:cs="Arial" w:eastAsia="Arial" w:hAnsi="Arial"/>
          <w:sz w:val="18"/>
          <w:szCs w:val="18"/>
          <w:color w:val="auto"/>
        </w:rPr>
        <w:t>.</w:t>
      </w:r>
    </w:p>
    <w:p>
      <w:pPr>
        <w:spacing w:after="0" w:line="180"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18"/>
          <w:szCs w:val="18"/>
          <w:color w:val="auto"/>
        </w:rPr>
        <w:t xml:space="preserve">Tenant hereby agrees that this Lease shall be subject and subordinate to any expansion, development, renovation, redevelopment, alteration, improvement, maintenance, demolition, relocation and/or reconfiguration activity, or any other matter set forth in this </w:t>
      </w:r>
      <w:r>
        <w:rPr>
          <w:rFonts w:ascii="Arial" w:cs="Arial" w:eastAsia="Arial" w:hAnsi="Arial"/>
          <w:sz w:val="18"/>
          <w:szCs w:val="18"/>
          <w:u w:val="single" w:color="auto"/>
          <w:color w:val="auto"/>
        </w:rPr>
        <w:t>Section 45(o)</w:t>
      </w:r>
      <w:r>
        <w:rPr>
          <w:rFonts w:ascii="Arial" w:cs="Arial" w:eastAsia="Arial" w:hAnsi="Arial"/>
          <w:sz w:val="18"/>
          <w:szCs w:val="18"/>
          <w:color w:val="auto"/>
        </w:rPr>
        <w:t xml:space="preserve">, and, in connection with such activity or matter. Landlord may, from time to time, cause the rentable square footage of the Premises, the Building and/or the Project to be remeasured by Landlord’s architect. Neither Tenant nor any affiliate of Tenant shall take any action, directly or indirectly, to oppose any of the foregoing activities by Landlord or its affiliates. Landlord and its agents, employees, licensees and contractors shall also have the right to undertake work pursuant to any actions contemplated above; to shore up the foundations and/or walls of the Building (or any other structures within the Project); to erect scaffolding and protective barricades around, within or adjacent to the Building (or any other structures within the Project); to close off Common Areas; and to do any other act necessary for the safety of the Building (or any other structures within the Project) or the expeditious completion of such work. Tenant acknowledges that construction noise, vibrations and dust, and alterations of traffic patterns or parking, associated with construction activities are to be expected during the course of such construction. Notwithstanding anything to the contrary contained in this Lease, Tenant shall have no right to cancel or terminate this Lease and Landlord shall not be liable to Tenant for any damages, compensation or reduction of Rent by reason of (i) inconvenience or annoyance or for loss of business resulting from any act by Landlord pursuant to this </w:t>
      </w:r>
      <w:r>
        <w:rPr>
          <w:rFonts w:ascii="Arial" w:cs="Arial" w:eastAsia="Arial" w:hAnsi="Arial"/>
          <w:sz w:val="18"/>
          <w:szCs w:val="18"/>
          <w:u w:val="single" w:color="auto"/>
          <w:color w:val="auto"/>
        </w:rPr>
        <w:t>Section 45(o)</w:t>
      </w:r>
      <w:r>
        <w:rPr>
          <w:rFonts w:ascii="Arial" w:cs="Arial" w:eastAsia="Arial" w:hAnsi="Arial"/>
          <w:sz w:val="18"/>
          <w:szCs w:val="18"/>
          <w:color w:val="auto"/>
        </w:rPr>
        <w:t>, or (ii) any changes, expansion, renovation or reconfiguration of the Project; nor shall Tenant have the right to restrict, inhibit or prohibit any such changes, expansion, renovation or reconfiguration. Landlord shall not change Tenant’s Permitted Use of the Premises, and Landlord shall use commercially reasonable efforts to mitigate the impacts of Landlord’s construction activities on the Premises.</w:t>
      </w:r>
    </w:p>
    <w:p>
      <w:pPr>
        <w:spacing w:after="0" w:line="186" w:lineRule="exact"/>
        <w:rPr>
          <w:sz w:val="20"/>
          <w:szCs w:val="20"/>
          <w:color w:val="auto"/>
        </w:rPr>
      </w:pPr>
    </w:p>
    <w:p>
      <w:pPr>
        <w:jc w:val="both"/>
        <w:ind w:firstLine="757"/>
        <w:spacing w:after="0" w:line="239" w:lineRule="auto"/>
        <w:tabs>
          <w:tab w:leader="none" w:pos="1018"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Discontinued Use. E</w:t>
      </w:r>
      <w:r>
        <w:rPr>
          <w:rFonts w:ascii="Arial" w:cs="Arial" w:eastAsia="Arial" w:hAnsi="Arial"/>
          <w:sz w:val="18"/>
          <w:szCs w:val="18"/>
          <w:color w:val="auto"/>
        </w:rPr>
        <w:t>xcept as set forth below in this subsection (p), if, at any time following the Commencement Date,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continuously operate its business in the Premises for a period of 90 consecutive days, Landlord may, but is not obligated to, elect to terminate this Lease upon 30 days’ written notice to Tenant, whereupon this Lease shall terminate 30 days after Landlord’s delivery of such written notice (“</w:t>
      </w:r>
      <w:r>
        <w:rPr>
          <w:rFonts w:ascii="Arial" w:cs="Arial" w:eastAsia="Arial" w:hAnsi="Arial"/>
          <w:sz w:val="18"/>
          <w:szCs w:val="18"/>
          <w:b w:val="1"/>
          <w:bCs w:val="1"/>
          <w:color w:val="auto"/>
        </w:rPr>
        <w:t>Termination Date</w:t>
      </w:r>
      <w:r>
        <w:rPr>
          <w:rFonts w:ascii="Arial" w:cs="Arial" w:eastAsia="Arial" w:hAnsi="Arial"/>
          <w:sz w:val="18"/>
          <w:szCs w:val="18"/>
          <w:color w:val="auto"/>
        </w:rPr>
        <w:t>”), and Tenant shall vacate the Premises and deliver possession thereof to Landlord in the condition required by the terms of this Lease on or before the Termination Date and Tenant shall have no further obligations under this Lease except for those accruing prior to the Termination Date and those which, pursuant to the terms of this Lease, survive the expiration or early termination of this Lease; provided, however, that such termination notice shall be null and void and the Term shall continue if Tenant in good faith resumes full operations in the Premises prior to the Termination Date and timely certifies to Landlord the same in writing. Further, and notwithstanding the foregoing, Landlord shall not have such termination right if Tenant provides Landlord with reasonable advance notice prior to stopping operations and, at the time of stopping operations, (i) Tenant completes Tenant’s obligations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1279525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126365</wp:posOffset>
            </wp:positionV>
            <wp:extent cx="2425700" cy="41148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7" w:name="page378"/>
    <w:bookmarkEnd w:id="377"/>
    <w:p>
      <w:pPr>
        <w:ind w:left="400"/>
        <w:spacing w:after="0"/>
        <w:rPr>
          <w:sz w:val="20"/>
          <w:szCs w:val="20"/>
          <w:color w:val="auto"/>
        </w:rPr>
      </w:pPr>
      <w:r>
        <w:rPr>
          <w:rFonts w:ascii="Arial" w:cs="Arial" w:eastAsia="Arial" w:hAnsi="Arial"/>
          <w:sz w:val="18"/>
          <w:szCs w:val="18"/>
          <w:b w:val="1"/>
          <w:bCs w:val="1"/>
          <w:color w:val="auto"/>
        </w:rPr>
        <w:t xml:space="preserve">Building 1 (AOTC) / Kymera Therapeutics, Inc. - Page </w:t>
      </w:r>
      <w:r>
        <w:rPr>
          <w:rFonts w:ascii="Arial" w:cs="Arial" w:eastAsia="Arial" w:hAnsi="Arial"/>
          <w:sz w:val="18"/>
          <w:szCs w:val="18"/>
          <w:color w:val="auto"/>
        </w:rPr>
        <w:t>50</w:t>
      </w:r>
    </w:p>
    <w:p>
      <w:pPr>
        <w:spacing w:after="0" w:line="14" w:lineRule="exact"/>
        <w:rPr>
          <w:sz w:val="20"/>
          <w:szCs w:val="20"/>
          <w:color w:val="auto"/>
        </w:rPr>
      </w:pPr>
    </w:p>
    <w:p>
      <w:pPr>
        <w:ind w:left="10140"/>
        <w:spacing w:after="0"/>
        <w:rPr>
          <w:sz w:val="20"/>
          <w:szCs w:val="20"/>
          <w:color w:val="auto"/>
        </w:rPr>
      </w:pPr>
      <w:r>
        <w:rPr>
          <w:rFonts w:ascii="Arial" w:cs="Arial" w:eastAsia="Arial" w:hAnsi="Arial"/>
          <w:sz w:val="17"/>
          <w:szCs w:val="17"/>
          <w:b w:val="1"/>
          <w:bCs w:val="1"/>
          <w:color w:val="auto"/>
        </w:rPr>
        <w:t>Exhibit 10.13</w:t>
      </w:r>
    </w:p>
    <w:p>
      <w:pPr>
        <w:spacing w:after="0" w:line="23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Decommissioning and HazMat Closure Plan in compliance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(ii) Tenant has obtained the release of the Premises of all Hazardous Materials Clearances and the Premises are free from any residual impact from the Tenant HazMat Operations, and Tenant provides reasonably detailed documentation to Landlord confirming such matters, (iii) Tenant has made reasonable arrangements with Landlord for the security of the Premises for the balance of the Term, and (iv) Tenant continues during the balance of the Term to satisfy and perform all of Tenant’s obligations under this Lease as they come due; provided that, for reasonable periods due to casualty, alterations, Tenant shall only be required to comply with clauses (i), (iii), and (iv).</w:t>
      </w:r>
    </w:p>
    <w:p>
      <w:pPr>
        <w:spacing w:after="0" w:line="179" w:lineRule="exact"/>
        <w:rPr>
          <w:sz w:val="20"/>
          <w:szCs w:val="20"/>
          <w:color w:val="auto"/>
        </w:rPr>
      </w:pPr>
    </w:p>
    <w:p>
      <w:pPr>
        <w:jc w:val="both"/>
        <w:ind w:firstLine="757"/>
        <w:spacing w:after="0" w:line="242" w:lineRule="auto"/>
        <w:tabs>
          <w:tab w:leader="none" w:pos="1018"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Lease may be executed in 2 or more counterparts, each of which shall be deemed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Lease and all matters related thereto, with such electronic signatures having the same legal effect as original signatures.</w:t>
      </w:r>
    </w:p>
    <w:p>
      <w:pPr>
        <w:spacing w:after="0" w:line="178"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Non-Disclosure of Terms</w:t>
      </w:r>
      <w:r>
        <w:rPr>
          <w:rFonts w:ascii="Arial" w:cs="Arial" w:eastAsia="Arial" w:hAnsi="Arial"/>
          <w:sz w:val="18"/>
          <w:szCs w:val="18"/>
          <w:color w:val="auto"/>
        </w:rPr>
        <w:t>. Tenant acknowledges and agrees that the terms of this Lease are confidential and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of Landlord. Disclosure of such terms may adversely affect the ability of Landlord and its affiliates to negotiate, manage, and administer other leases and impair Landlord’s relationship with other tenants. Accordingly, as a material inducement for Landlord to enter into this Lease, Tenant, on behalf of itself and its partners, managers, members, officers, directors, employees, agents, and attorneys, agrees that it shall not disclose the terms and conditions of this Lease to any publication or other media or any tenant or apparent prospective tenant of the Building or other portion of the Project, or real estate agent or broker, either directly or indirectly.</w:t>
      </w:r>
    </w:p>
    <w:p>
      <w:pPr>
        <w:spacing w:after="0" w:line="178"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Prevailing Party’s Fees</w:t>
      </w:r>
      <w:r>
        <w:rPr>
          <w:rFonts w:ascii="Arial" w:cs="Arial" w:eastAsia="Arial" w:hAnsi="Arial"/>
          <w:sz w:val="18"/>
          <w:szCs w:val="18"/>
          <w:color w:val="auto"/>
        </w:rPr>
        <w:t>. In the event that either party should bring suit or commence any suit or proceeding related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then all reasonable out of pocket fees, costs and expenses, including reasonable attorneys’ fees and expert fees, incurred by the prevailing party relating to such legal action shall be paid by the other party, which obligation on the part of the other party shall be deemed to have accrued on the date of the commencement of such action and shall be enforceable whether or not the action is prosecuted to judgment.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Signatures on next page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1299210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146685</wp:posOffset>
            </wp:positionV>
            <wp:extent cx="2425700" cy="41148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6">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8" w:name="page379"/>
    <w:bookmarkEnd w:id="378"/>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Landlord and Tenant have executed this Lease as of the day and year first above written.</w:t>
      </w: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1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KYMERA THERAPEUTICS, INC.</w:t>
      </w:r>
      <w:r>
        <w:rPr>
          <w:rFonts w:ascii="Arial" w:cs="Arial" w:eastAsia="Arial" w:hAnsi="Arial"/>
          <w:sz w:val="18"/>
          <w:szCs w:val="18"/>
          <w:color w:val="auto"/>
        </w:rPr>
        <w:t>,</w:t>
      </w:r>
    </w:p>
    <w:p>
      <w:pPr>
        <w:spacing w:after="0" w:line="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 Delaware corporation</w:t>
      </w:r>
    </w:p>
    <w:p>
      <w:pPr>
        <w:spacing w:after="0" w:line="397" w:lineRule="exact"/>
        <w:rPr>
          <w:sz w:val="20"/>
          <w:szCs w:val="20"/>
          <w:color w:val="auto"/>
        </w:rPr>
      </w:pPr>
    </w:p>
    <w:tbl>
      <w:tblPr>
        <w:tblLayout w:type="fixed"/>
        <w:tblInd w:w="44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7"/>
                <w:szCs w:val="17"/>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Bruce Jacobs</w:t>
            </w:r>
          </w:p>
        </w:tc>
      </w:tr>
      <w:tr>
        <w:trPr>
          <w:trHeight w:val="183"/>
        </w:trPr>
        <w:tc>
          <w:tcPr>
            <w:tcW w:w="620" w:type="dxa"/>
            <w:vAlign w:val="bottom"/>
            <w:gridSpan w:val="2"/>
          </w:tcPr>
          <w:p>
            <w:pPr>
              <w:spacing w:after="0" w:line="182" w:lineRule="exact"/>
              <w:rPr>
                <w:sz w:val="20"/>
                <w:szCs w:val="20"/>
                <w:color w:val="auto"/>
              </w:rPr>
            </w:pPr>
            <w:r>
              <w:rPr>
                <w:rFonts w:ascii="Arial" w:cs="Arial" w:eastAsia="Arial" w:hAnsi="Arial"/>
                <w:sz w:val="18"/>
                <w:szCs w:val="18"/>
                <w:color w:val="auto"/>
              </w:rPr>
              <w:t>Name:</w:t>
            </w:r>
          </w:p>
        </w:tc>
        <w:tc>
          <w:tcPr>
            <w:tcW w:w="1400" w:type="dxa"/>
            <w:vAlign w:val="bottom"/>
            <w:gridSpan w:val="3"/>
          </w:tcPr>
          <w:p>
            <w:pPr>
              <w:spacing w:after="0" w:line="182" w:lineRule="exact"/>
              <w:rPr>
                <w:sz w:val="20"/>
                <w:szCs w:val="20"/>
                <w:color w:val="auto"/>
              </w:rPr>
            </w:pPr>
            <w:r>
              <w:rPr>
                <w:rFonts w:ascii="Arial" w:cs="Arial" w:eastAsia="Arial" w:hAnsi="Arial"/>
                <w:sz w:val="18"/>
                <w:szCs w:val="18"/>
                <w:color w:val="auto"/>
              </w:rPr>
              <w:t>Bruce Jacobs</w:t>
            </w:r>
          </w:p>
        </w:tc>
      </w:tr>
      <w:tr>
        <w:trPr>
          <w:trHeight w:val="183"/>
        </w:trPr>
        <w:tc>
          <w:tcPr>
            <w:tcW w:w="580" w:type="dxa"/>
            <w:vAlign w:val="bottom"/>
          </w:tcPr>
          <w:p>
            <w:pPr>
              <w:spacing w:after="0" w:line="182" w:lineRule="exact"/>
              <w:rPr>
                <w:sz w:val="20"/>
                <w:szCs w:val="20"/>
                <w:color w:val="auto"/>
              </w:rPr>
            </w:pPr>
            <w:r>
              <w:rPr>
                <w:rFonts w:ascii="Arial" w:cs="Arial" w:eastAsia="Arial" w:hAnsi="Arial"/>
                <w:sz w:val="18"/>
                <w:szCs w:val="18"/>
                <w:color w:val="auto"/>
              </w:rPr>
              <w:t>Title:</w:t>
            </w:r>
          </w:p>
        </w:tc>
        <w:tc>
          <w:tcPr>
            <w:tcW w:w="620" w:type="dxa"/>
            <w:vAlign w:val="bottom"/>
            <w:tcBorders>
              <w:top w:val="single" w:sz="8" w:color="auto"/>
              <w:bottom w:val="single" w:sz="8" w:color="auto"/>
            </w:tcBorders>
            <w:gridSpan w:val="2"/>
          </w:tcPr>
          <w:p>
            <w:pPr>
              <w:spacing w:after="0" w:line="182" w:lineRule="exact"/>
              <w:rPr>
                <w:sz w:val="20"/>
                <w:szCs w:val="20"/>
                <w:color w:val="auto"/>
              </w:rPr>
            </w:pPr>
            <w:r>
              <w:rPr>
                <w:rFonts w:ascii="Arial" w:cs="Arial" w:eastAsia="Arial" w:hAnsi="Arial"/>
                <w:sz w:val="18"/>
                <w:szCs w:val="18"/>
                <w:color w:val="auto"/>
              </w:rPr>
              <w:t>CFO</w:t>
            </w: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197" w:lineRule="exact"/>
        <w:rPr>
          <w:sz w:val="20"/>
          <w:szCs w:val="20"/>
          <w:color w:val="auto"/>
        </w:rPr>
      </w:pPr>
    </w:p>
    <w:p>
      <w:pPr>
        <w:ind w:left="4460" w:right="2920" w:firstLine="1"/>
        <w:spacing w:after="0" w:line="271" w:lineRule="auto"/>
        <w:tabs>
          <w:tab w:leader="none" w:pos="4701" w:val="left"/>
        </w:tabs>
        <w:numPr>
          <w:ilvl w:val="0"/>
          <w:numId w:val="269"/>
        </w:numPr>
        <w:rPr>
          <w:rFonts w:ascii="Wingdings" w:cs="Wingdings" w:eastAsia="Wingdings" w:hAnsi="Wingdings"/>
          <w:sz w:val="18"/>
          <w:szCs w:val="18"/>
          <w:b w:val="1"/>
          <w:bCs w:val="1"/>
          <w:color w:val="auto"/>
        </w:rPr>
      </w:pPr>
      <w:r>
        <w:rPr>
          <w:rFonts w:ascii="Arial" w:cs="Arial" w:eastAsia="Arial" w:hAnsi="Arial"/>
          <w:sz w:val="18"/>
          <w:szCs w:val="18"/>
          <w:color w:val="auto"/>
        </w:rPr>
        <w:t>I hereby certify that the signature, name, and title above are my signature, name and title.</w:t>
      </w: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21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ARE-MA REGION NO. 75, LLC</w:t>
      </w:r>
      <w:r>
        <w:rPr>
          <w:rFonts w:ascii="Arial" w:cs="Arial" w:eastAsia="Arial" w:hAnsi="Arial"/>
          <w:sz w:val="18"/>
          <w:szCs w:val="18"/>
          <w:color w:val="auto"/>
        </w:rPr>
        <w:t>,</w:t>
      </w:r>
    </w:p>
    <w:p>
      <w:pPr>
        <w:spacing w:after="0" w:line="1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 Delaware limited liability company</w:t>
      </w:r>
    </w:p>
    <w:p>
      <w:pPr>
        <w:spacing w:after="0" w:line="18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Alexandria Real Estate Equities, L.P.,</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 Delaware limited partnership,</w:t>
      </w:r>
    </w:p>
    <w:p>
      <w:pPr>
        <w:ind w:left="4880"/>
        <w:spacing w:after="0"/>
        <w:rPr>
          <w:sz w:val="20"/>
          <w:szCs w:val="20"/>
          <w:color w:val="auto"/>
        </w:rPr>
      </w:pPr>
      <w:r>
        <w:rPr>
          <w:rFonts w:ascii="Arial" w:cs="Arial" w:eastAsia="Arial" w:hAnsi="Arial"/>
          <w:sz w:val="18"/>
          <w:szCs w:val="18"/>
          <w:color w:val="auto"/>
        </w:rPr>
        <w:t>managing member</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ARE-QRS Corp.,</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 Maryland corporation,</w:t>
      </w:r>
    </w:p>
    <w:p>
      <w:pPr>
        <w:ind w:left="5300"/>
        <w:spacing w:after="0"/>
        <w:rPr>
          <w:sz w:val="20"/>
          <w:szCs w:val="20"/>
          <w:color w:val="auto"/>
        </w:rPr>
      </w:pPr>
      <w:r>
        <w:rPr>
          <w:rFonts w:ascii="Arial" w:cs="Arial" w:eastAsia="Arial" w:hAnsi="Arial"/>
          <w:sz w:val="18"/>
          <w:szCs w:val="18"/>
          <w:color w:val="auto"/>
        </w:rPr>
        <w:t>general partner</w:t>
      </w:r>
    </w:p>
    <w:p>
      <w:pPr>
        <w:spacing w:after="0" w:line="397" w:lineRule="exact"/>
        <w:rPr>
          <w:sz w:val="20"/>
          <w:szCs w:val="20"/>
          <w:color w:val="auto"/>
        </w:rPr>
      </w:pPr>
    </w:p>
    <w:tbl>
      <w:tblPr>
        <w:tblLayout w:type="fixed"/>
        <w:tblInd w:w="522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gridSpan w:val="5"/>
          </w:tcPr>
          <w:p>
            <w:pPr>
              <w:ind w:left="40"/>
              <w:spacing w:after="0"/>
              <w:rPr>
                <w:sz w:val="20"/>
                <w:szCs w:val="20"/>
                <w:color w:val="auto"/>
              </w:rPr>
            </w:pPr>
            <w:r>
              <w:rPr>
                <w:rFonts w:ascii="Arial" w:cs="Arial" w:eastAsia="Arial" w:hAnsi="Arial"/>
                <w:sz w:val="18"/>
                <w:szCs w:val="18"/>
                <w:color w:val="auto"/>
              </w:rPr>
              <w:t>/s/ Allison Grochola</w:t>
            </w:r>
          </w:p>
        </w:tc>
      </w:tr>
      <w:tr>
        <w:trPr>
          <w:trHeight w:val="183"/>
        </w:trPr>
        <w:tc>
          <w:tcPr>
            <w:tcW w:w="62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Allison Grochola</w:t>
            </w:r>
          </w:p>
        </w:tc>
        <w:tc>
          <w:tcPr>
            <w:tcW w:w="700" w:type="dxa"/>
            <w:vAlign w:val="bottom"/>
          </w:tcPr>
          <w:p>
            <w:pPr>
              <w:spacing w:after="0"/>
              <w:rPr>
                <w:sz w:val="15"/>
                <w:szCs w:val="15"/>
                <w:color w:val="auto"/>
              </w:rPr>
            </w:pPr>
          </w:p>
        </w:tc>
      </w:tr>
      <w:tr>
        <w:trPr>
          <w:trHeight w:val="183"/>
        </w:trPr>
        <w:tc>
          <w:tcPr>
            <w:tcW w:w="620" w:type="dxa"/>
            <w:vAlign w:val="bottom"/>
          </w:tcPr>
          <w:p>
            <w:pPr>
              <w:spacing w:after="0" w:line="182" w:lineRule="exact"/>
              <w:rPr>
                <w:sz w:val="20"/>
                <w:szCs w:val="20"/>
                <w:color w:val="auto"/>
              </w:rPr>
            </w:pPr>
            <w:r>
              <w:rPr>
                <w:rFonts w:ascii="Arial" w:cs="Arial" w:eastAsia="Arial" w:hAnsi="Arial"/>
                <w:sz w:val="18"/>
                <w:szCs w:val="18"/>
                <w:color w:val="auto"/>
              </w:rPr>
              <w:t>Title:</w:t>
            </w:r>
          </w:p>
        </w:tc>
        <w:tc>
          <w:tcPr>
            <w:tcW w:w="60" w:type="dxa"/>
            <w:vAlign w:val="bottom"/>
            <w:tcBorders>
              <w:bottom w:val="single" w:sz="8" w:color="auto"/>
            </w:tcBorders>
            <w:gridSpan w:val="2"/>
          </w:tcPr>
          <w:p>
            <w:pPr>
              <w:spacing w:after="0"/>
              <w:rPr>
                <w:sz w:val="15"/>
                <w:szCs w:val="15"/>
                <w:color w:val="auto"/>
              </w:rPr>
            </w:pPr>
          </w:p>
        </w:tc>
        <w:tc>
          <w:tcPr>
            <w:tcW w:w="14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w w:val="96"/>
              </w:rPr>
              <w:t>SVP – Real Estate</w:t>
            </w:r>
          </w:p>
        </w:tc>
        <w:tc>
          <w:tcPr>
            <w:tcW w:w="1100" w:type="dxa"/>
            <w:vAlign w:val="bottom"/>
            <w:tcBorders>
              <w:bottom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Legal Affairs</w:t>
            </w:r>
          </w:p>
        </w:tc>
      </w:tr>
    </w:tbl>
    <w:p>
      <w:pPr>
        <w:spacing w:after="0" w:line="197" w:lineRule="exact"/>
        <w:rPr>
          <w:sz w:val="20"/>
          <w:szCs w:val="20"/>
          <w:color w:val="auto"/>
        </w:rPr>
      </w:pPr>
    </w:p>
    <w:p>
      <w:pPr>
        <w:ind w:left="4460" w:right="2920" w:firstLine="1"/>
        <w:spacing w:after="0" w:line="271" w:lineRule="auto"/>
        <w:tabs>
          <w:tab w:leader="none" w:pos="4701" w:val="left"/>
        </w:tabs>
        <w:numPr>
          <w:ilvl w:val="0"/>
          <w:numId w:val="270"/>
        </w:numPr>
        <w:rPr>
          <w:rFonts w:ascii="Wingdings" w:cs="Wingdings" w:eastAsia="Wingdings" w:hAnsi="Wingdings"/>
          <w:sz w:val="18"/>
          <w:szCs w:val="18"/>
          <w:b w:val="1"/>
          <w:bCs w:val="1"/>
          <w:color w:val="auto"/>
        </w:rPr>
      </w:pPr>
      <w:r>
        <w:rPr>
          <w:rFonts w:ascii="Arial" w:cs="Arial" w:eastAsia="Arial" w:hAnsi="Arial"/>
          <w:sz w:val="18"/>
          <w:szCs w:val="18"/>
          <w:color w:val="auto"/>
        </w:rPr>
        <w:t>I hereby certify that the signature, name, and title above are my signature,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495300</wp:posOffset>
            </wp:positionV>
            <wp:extent cx="2425700" cy="41148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7">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ACTIVEUS 187586682v.10" "" ACTIVEUS 187586682v.10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487680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769" w:right="339" w:bottom="1440" w:gutter="0" w:footer="0" w:header="0"/>
        </w:sectPr>
      </w:pPr>
    </w:p>
    <w:bookmarkStart w:id="379" w:name="page380"/>
    <w:bookmarkEnd w:id="379"/>
    <w:p>
      <w:pPr>
        <w:ind w:left="400"/>
        <w:spacing w:after="0"/>
        <w:rPr>
          <w:sz w:val="20"/>
          <w:szCs w:val="20"/>
          <w:color w:val="auto"/>
        </w:rPr>
      </w:pPr>
      <w:r>
        <w:rPr>
          <w:rFonts w:ascii="Arial" w:cs="Arial" w:eastAsia="Arial" w:hAnsi="Arial"/>
          <w:sz w:val="18"/>
          <w:szCs w:val="18"/>
          <w:b w:val="1"/>
          <w:bCs w:val="1"/>
          <w:color w:val="auto"/>
        </w:rPr>
        <w:t>Building 1 (AOTC) / Kymera Therapeutics, Inc. – Ex. A</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79780" cy="31686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9">
                      <a:extLst>
                        <a:ext uri="{28A0092B-C50C-407E-A947-70E740481C1C}"/>
                      </a:extLst>
                    </a:blip>
                    <a:srcRect/>
                    <a:stretch>
                      <a:fillRect/>
                    </a:stretch>
                  </pic:blipFill>
                  <pic:spPr bwMode="auto">
                    <a:xfrm>
                      <a:off x="0" y="0"/>
                      <a:ext cx="77978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AOTC Building 1, Floor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137795</wp:posOffset>
            </wp:positionV>
            <wp:extent cx="5349240" cy="258889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0">
                      <a:extLst>
                        <a:ext uri="{28A0092B-C50C-407E-A947-70E740481C1C}"/>
                      </a:extLst>
                    </a:blip>
                    <a:srcRect/>
                    <a:stretch>
                      <a:fillRect/>
                    </a:stretch>
                  </pic:blipFill>
                  <pic:spPr bwMode="auto">
                    <a:xfrm>
                      <a:off x="0" y="0"/>
                      <a:ext cx="534924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AOTC Building 1, Floor 2 – Suite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4205605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137795</wp:posOffset>
            </wp:positionV>
            <wp:extent cx="5349240" cy="248602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2">
                      <a:extLst>
                        <a:ext uri="{28A0092B-C50C-407E-A947-70E740481C1C}"/>
                      </a:extLst>
                    </a:blip>
                    <a:srcRect/>
                    <a:stretch>
                      <a:fillRect/>
                    </a:stretch>
                  </pic:blipFill>
                  <pic:spPr bwMode="auto">
                    <a:xfrm>
                      <a:off x="0" y="0"/>
                      <a:ext cx="5349240" cy="248602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3052445</wp:posOffset>
            </wp:positionV>
            <wp:extent cx="2425700" cy="41148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3">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0" w:name="page381"/>
    <w:bookmarkEnd w:id="380"/>
    <w:p>
      <w:pPr>
        <w:ind w:left="400"/>
        <w:spacing w:after="0"/>
        <w:rPr>
          <w:sz w:val="20"/>
          <w:szCs w:val="20"/>
          <w:color w:val="auto"/>
        </w:rPr>
      </w:pPr>
      <w:r>
        <w:rPr>
          <w:rFonts w:ascii="Arial" w:cs="Arial" w:eastAsia="Arial" w:hAnsi="Arial"/>
          <w:sz w:val="18"/>
          <w:szCs w:val="18"/>
          <w:b w:val="1"/>
          <w:bCs w:val="1"/>
          <w:color w:val="auto"/>
        </w:rPr>
        <w:t>Building 1 (AOTC) / Kymera Therapeutics, Inc. – Ex. A</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AOTC Building 1, Floor 3 – Suite 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137795</wp:posOffset>
            </wp:positionV>
            <wp:extent cx="4894580" cy="23749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4">
                      <a:extLst>
                        <a:ext uri="{28A0092B-C50C-407E-A947-70E740481C1C}"/>
                      </a:extLst>
                    </a:blip>
                    <a:srcRect/>
                    <a:stretch>
                      <a:fillRect/>
                    </a:stretch>
                  </pic:blipFill>
                  <pic:spPr bwMode="auto">
                    <a:xfrm>
                      <a:off x="0" y="0"/>
                      <a:ext cx="4894580"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AOTC Building 1, Floor 4 – Suite 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137795</wp:posOffset>
            </wp:positionV>
            <wp:extent cx="5057775" cy="22885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5">
                      <a:extLst>
                        <a:ext uri="{28A0092B-C50C-407E-A947-70E740481C1C}"/>
                      </a:extLst>
                    </a:blip>
                    <a:srcRect/>
                    <a:stretch>
                      <a:fillRect/>
                    </a:stretch>
                  </pic:blipFill>
                  <pic:spPr bwMode="auto">
                    <a:xfrm>
                      <a:off x="0" y="0"/>
                      <a:ext cx="505777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AOTC Building 1, Penthouse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2619375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9525</wp:posOffset>
            </wp:positionV>
            <wp:extent cx="5726430" cy="186880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7">
                      <a:extLst>
                        <a:ext uri="{28A0092B-C50C-407E-A947-70E740481C1C}"/>
                      </a:extLst>
                    </a:blip>
                    <a:srcRect/>
                    <a:stretch>
                      <a:fillRect/>
                    </a:stretch>
                  </pic:blipFill>
                  <pic:spPr bwMode="auto">
                    <a:xfrm>
                      <a:off x="0" y="0"/>
                      <a:ext cx="5726430" cy="186880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1" w:name="page382"/>
    <w:bookmarkEnd w:id="381"/>
    <w:p>
      <w:pPr>
        <w:ind w:left="400"/>
        <w:spacing w:after="0"/>
        <w:rPr>
          <w:sz w:val="20"/>
          <w:szCs w:val="20"/>
          <w:color w:val="auto"/>
        </w:rPr>
      </w:pPr>
      <w:r>
        <w:rPr>
          <w:rFonts w:ascii="Arial" w:cs="Arial" w:eastAsia="Arial" w:hAnsi="Arial"/>
          <w:sz w:val="18"/>
          <w:szCs w:val="18"/>
          <w:b w:val="1"/>
          <w:bCs w:val="1"/>
          <w:color w:val="auto"/>
        </w:rPr>
        <w:t>Building 1 (AOTC) / Kymera Therapeutics, Inc. – Ex. B</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PROJECT</w:t>
      </w:r>
    </w:p>
    <w:p>
      <w:pPr>
        <w:spacing w:after="0" w:line="3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certain parcel of land with the buildings thereon situated on the Southerly side of Arsenal Street in Watertown, Middlesex County, Massachusetts and being shown as Lot 1 on a plan entitled “Plan of Land in Watertown, Massachusetts” dated June 19, 1997, prepared by Dunn-McKenzie, Inc. and recorded with the Middlesex South Registry of Deeds on August 5, 1998 as Plan No. 832 in Book 28930, Page 478, bounded and described as follows: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Beginning on the southerly sideline of Arsenal Street at the Northwesterly corner of Arsenal Associates Land being the Northeasterly corner of Lot 1 on the easterly sideline of Talcott Street (a private road); thence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Arial" w:cs="Arial" w:eastAsia="Arial" w:hAnsi="Arial"/>
                <w:sz w:val="18"/>
                <w:szCs w:val="18"/>
                <w:color w:val="auto"/>
              </w:rPr>
              <w:t>SOUTH 13° 53’-39” WEST</w:t>
            </w:r>
          </w:p>
        </w:tc>
        <w:tc>
          <w:tcPr>
            <w:tcW w:w="8920" w:type="dxa"/>
            <w:vAlign w:val="bottom"/>
          </w:tcPr>
          <w:p>
            <w:pPr>
              <w:ind w:left="100"/>
              <w:spacing w:after="0"/>
              <w:rPr>
                <w:sz w:val="20"/>
                <w:szCs w:val="20"/>
                <w:color w:val="auto"/>
              </w:rPr>
            </w:pPr>
            <w:r>
              <w:rPr>
                <w:rFonts w:ascii="Arial" w:cs="Arial" w:eastAsia="Arial" w:hAnsi="Arial"/>
                <w:sz w:val="18"/>
                <w:szCs w:val="18"/>
                <w:color w:val="auto"/>
              </w:rPr>
              <w:t>a distance of 737.70 feet by Arsenal Associates and Town of Watertown land to an angle in said property;</w:t>
            </w:r>
          </w:p>
        </w:tc>
      </w:tr>
      <w:tr>
        <w:trPr>
          <w:trHeight w:val="239"/>
        </w:trPr>
        <w:tc>
          <w:tcPr>
            <w:tcW w:w="1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thence</w:t>
            </w:r>
          </w:p>
        </w:tc>
      </w:tr>
      <w:tr>
        <w:trPr>
          <w:trHeight w:val="419"/>
        </w:trPr>
        <w:tc>
          <w:tcPr>
            <w:tcW w:w="2300" w:type="dxa"/>
            <w:vAlign w:val="bottom"/>
            <w:gridSpan w:val="2"/>
          </w:tcPr>
          <w:p>
            <w:pPr>
              <w:spacing w:after="0"/>
              <w:rPr>
                <w:sz w:val="20"/>
                <w:szCs w:val="20"/>
                <w:color w:val="auto"/>
              </w:rPr>
            </w:pPr>
            <w:r>
              <w:rPr>
                <w:rFonts w:ascii="Arial" w:cs="Arial" w:eastAsia="Arial" w:hAnsi="Arial"/>
                <w:sz w:val="18"/>
                <w:szCs w:val="18"/>
                <w:color w:val="auto"/>
              </w:rPr>
              <w:t>SOUTH 11° 42’-25” EAST</w:t>
            </w:r>
          </w:p>
        </w:tc>
        <w:tc>
          <w:tcPr>
            <w:tcW w:w="8920" w:type="dxa"/>
            <w:vAlign w:val="bottom"/>
          </w:tcPr>
          <w:p>
            <w:pPr>
              <w:ind w:left="100"/>
              <w:spacing w:after="0"/>
              <w:rPr>
                <w:sz w:val="20"/>
                <w:szCs w:val="20"/>
                <w:color w:val="auto"/>
              </w:rPr>
            </w:pPr>
            <w:r>
              <w:rPr>
                <w:rFonts w:ascii="Arial" w:cs="Arial" w:eastAsia="Arial" w:hAnsi="Arial"/>
                <w:sz w:val="18"/>
                <w:szCs w:val="18"/>
                <w:color w:val="auto"/>
              </w:rPr>
              <w:t>a distance of 2.67 feet to a corner of Lot 2; thence</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NORTH 76° 03’-07” WEST</w:t>
            </w:r>
          </w:p>
        </w:tc>
        <w:tc>
          <w:tcPr>
            <w:tcW w:w="8920" w:type="dxa"/>
            <w:vAlign w:val="bottom"/>
          </w:tcPr>
          <w:p>
            <w:pPr>
              <w:ind w:left="100"/>
              <w:spacing w:after="0"/>
              <w:rPr>
                <w:sz w:val="20"/>
                <w:szCs w:val="20"/>
                <w:color w:val="auto"/>
              </w:rPr>
            </w:pPr>
            <w:r>
              <w:rPr>
                <w:rFonts w:ascii="Arial" w:cs="Arial" w:eastAsia="Arial" w:hAnsi="Arial"/>
                <w:sz w:val="18"/>
                <w:szCs w:val="18"/>
                <w:color w:val="auto"/>
              </w:rPr>
              <w:t>a distance of 438.96 feet through a granite bound to a Hex-rod (set) for a corner; thence</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SOUTH 19° 17’-48” WEST</w:t>
            </w:r>
          </w:p>
        </w:tc>
        <w:tc>
          <w:tcPr>
            <w:tcW w:w="8920" w:type="dxa"/>
            <w:vAlign w:val="bottom"/>
          </w:tcPr>
          <w:p>
            <w:pPr>
              <w:ind w:left="100"/>
              <w:spacing w:after="0"/>
              <w:rPr>
                <w:sz w:val="20"/>
                <w:szCs w:val="20"/>
                <w:color w:val="auto"/>
              </w:rPr>
            </w:pPr>
            <w:r>
              <w:rPr>
                <w:rFonts w:ascii="Arial" w:cs="Arial" w:eastAsia="Arial" w:hAnsi="Arial"/>
                <w:sz w:val="18"/>
                <w:szCs w:val="18"/>
                <w:color w:val="auto"/>
              </w:rPr>
              <w:t>a distance of 125.38 feet to an Iron Rod (set) for a corner; thence</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SOUTH 50° 21’-36” WEST</w:t>
            </w:r>
          </w:p>
        </w:tc>
        <w:tc>
          <w:tcPr>
            <w:tcW w:w="8920" w:type="dxa"/>
            <w:vAlign w:val="bottom"/>
          </w:tcPr>
          <w:p>
            <w:pPr>
              <w:ind w:left="100"/>
              <w:spacing w:after="0"/>
              <w:rPr>
                <w:sz w:val="20"/>
                <w:szCs w:val="20"/>
                <w:color w:val="auto"/>
              </w:rPr>
            </w:pPr>
            <w:r>
              <w:rPr>
                <w:rFonts w:ascii="Arial" w:cs="Arial" w:eastAsia="Arial" w:hAnsi="Arial"/>
                <w:sz w:val="18"/>
                <w:szCs w:val="18"/>
                <w:color w:val="auto"/>
              </w:rPr>
              <w:t>a distance of 163.25 feet to an Iron Rod (set) at North Beacon Street on curve for a corner; thence</w:t>
            </w:r>
          </w:p>
        </w:tc>
      </w:tr>
      <w:tr>
        <w:trPr>
          <w:trHeight w:val="418"/>
        </w:trPr>
        <w:tc>
          <w:tcPr>
            <w:tcW w:w="1820" w:type="dxa"/>
            <w:vAlign w:val="bottom"/>
          </w:tcPr>
          <w:p>
            <w:pPr>
              <w:spacing w:after="0"/>
              <w:rPr>
                <w:sz w:val="20"/>
                <w:szCs w:val="20"/>
                <w:color w:val="auto"/>
              </w:rPr>
            </w:pPr>
            <w:r>
              <w:rPr>
                <w:rFonts w:ascii="Arial" w:cs="Arial" w:eastAsia="Arial" w:hAnsi="Arial"/>
                <w:sz w:val="18"/>
                <w:szCs w:val="18"/>
                <w:color w:val="auto"/>
              </w:rPr>
              <w:t>NORTHWESTERLY</w:t>
            </w:r>
          </w:p>
        </w:tc>
        <w:tc>
          <w:tcPr>
            <w:tcW w:w="9400" w:type="dxa"/>
            <w:vAlign w:val="bottom"/>
            <w:gridSpan w:val="2"/>
          </w:tcPr>
          <w:p>
            <w:pPr>
              <w:ind w:left="180"/>
              <w:spacing w:after="0"/>
              <w:rPr>
                <w:sz w:val="20"/>
                <w:szCs w:val="20"/>
                <w:color w:val="auto"/>
              </w:rPr>
            </w:pPr>
            <w:r>
              <w:rPr>
                <w:rFonts w:ascii="Arial" w:cs="Arial" w:eastAsia="Arial" w:hAnsi="Arial"/>
                <w:sz w:val="18"/>
                <w:szCs w:val="18"/>
                <w:color w:val="auto"/>
              </w:rPr>
              <w:t>on a curve to the right having a radius of 586.00 feet, an arc distance of 160.79 feet to the point of tangency; thence</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NORTH 20° 36’-23” WEST</w:t>
            </w:r>
          </w:p>
        </w:tc>
        <w:tc>
          <w:tcPr>
            <w:tcW w:w="8920" w:type="dxa"/>
            <w:vAlign w:val="bottom"/>
          </w:tcPr>
          <w:p>
            <w:pPr>
              <w:ind w:left="100"/>
              <w:spacing w:after="0"/>
              <w:rPr>
                <w:sz w:val="20"/>
                <w:szCs w:val="20"/>
                <w:color w:val="auto"/>
              </w:rPr>
            </w:pPr>
            <w:r>
              <w:rPr>
                <w:rFonts w:ascii="Arial" w:cs="Arial" w:eastAsia="Arial" w:hAnsi="Arial"/>
                <w:sz w:val="18"/>
                <w:szCs w:val="18"/>
                <w:color w:val="auto"/>
              </w:rPr>
              <w:t>a distance of 292.07 feet to the point of curvature; thence</w:t>
            </w:r>
          </w:p>
        </w:tc>
      </w:tr>
      <w:tr>
        <w:trPr>
          <w:trHeight w:val="418"/>
        </w:trPr>
        <w:tc>
          <w:tcPr>
            <w:tcW w:w="1820" w:type="dxa"/>
            <w:vAlign w:val="bottom"/>
          </w:tcPr>
          <w:p>
            <w:pPr>
              <w:spacing w:after="0"/>
              <w:rPr>
                <w:sz w:val="20"/>
                <w:szCs w:val="20"/>
                <w:color w:val="auto"/>
              </w:rPr>
            </w:pPr>
            <w:r>
              <w:rPr>
                <w:rFonts w:ascii="Arial" w:cs="Arial" w:eastAsia="Arial" w:hAnsi="Arial"/>
                <w:sz w:val="18"/>
                <w:szCs w:val="18"/>
                <w:color w:val="auto"/>
              </w:rPr>
              <w:t>NORTHWESTERLY</w:t>
            </w:r>
          </w:p>
        </w:tc>
        <w:tc>
          <w:tcPr>
            <w:tcW w:w="9400" w:type="dxa"/>
            <w:vAlign w:val="bottom"/>
            <w:gridSpan w:val="2"/>
          </w:tcPr>
          <w:p>
            <w:pPr>
              <w:ind w:left="180"/>
              <w:spacing w:after="0"/>
              <w:rPr>
                <w:sz w:val="20"/>
                <w:szCs w:val="20"/>
                <w:color w:val="auto"/>
              </w:rPr>
            </w:pPr>
            <w:r>
              <w:rPr>
                <w:rFonts w:ascii="Arial" w:cs="Arial" w:eastAsia="Arial" w:hAnsi="Arial"/>
                <w:sz w:val="18"/>
                <w:szCs w:val="18"/>
                <w:color w:val="auto"/>
              </w:rPr>
              <w:t>on a curve to the left having a radius of 627.44 feet, an arc distance of 465.40 feet to the point of tangency; thence</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NORTH 63° 06’-20” WEST</w:t>
            </w:r>
          </w:p>
        </w:tc>
        <w:tc>
          <w:tcPr>
            <w:tcW w:w="8920" w:type="dxa"/>
            <w:vAlign w:val="bottom"/>
          </w:tcPr>
          <w:p>
            <w:pPr>
              <w:ind w:left="100"/>
              <w:spacing w:after="0"/>
              <w:rPr>
                <w:sz w:val="20"/>
                <w:szCs w:val="20"/>
                <w:color w:val="auto"/>
              </w:rPr>
            </w:pPr>
            <w:r>
              <w:rPr>
                <w:rFonts w:ascii="Arial" w:cs="Arial" w:eastAsia="Arial" w:hAnsi="Arial"/>
                <w:sz w:val="18"/>
                <w:szCs w:val="18"/>
                <w:color w:val="auto"/>
              </w:rPr>
              <w:t>a distance of 707.76 feet to a slight angle break; thence</w:t>
            </w:r>
          </w:p>
        </w:tc>
      </w:tr>
      <w:tr>
        <w:trPr>
          <w:trHeight w:val="382"/>
        </w:trPr>
        <w:tc>
          <w:tcPr>
            <w:tcW w:w="2300" w:type="dxa"/>
            <w:vAlign w:val="bottom"/>
            <w:gridSpan w:val="2"/>
          </w:tcPr>
          <w:p>
            <w:pPr>
              <w:spacing w:after="0"/>
              <w:rPr>
                <w:sz w:val="20"/>
                <w:szCs w:val="20"/>
                <w:color w:val="auto"/>
              </w:rPr>
            </w:pPr>
            <w:r>
              <w:rPr>
                <w:rFonts w:ascii="Arial" w:cs="Arial" w:eastAsia="Arial" w:hAnsi="Arial"/>
                <w:sz w:val="18"/>
                <w:szCs w:val="18"/>
                <w:color w:val="auto"/>
              </w:rPr>
              <w:t>NORTH 63° 43’50” WEST</w:t>
            </w:r>
          </w:p>
        </w:tc>
        <w:tc>
          <w:tcPr>
            <w:tcW w:w="8920" w:type="dxa"/>
            <w:vAlign w:val="bottom"/>
          </w:tcPr>
          <w:p>
            <w:pPr>
              <w:ind w:left="100"/>
              <w:spacing w:after="0"/>
              <w:rPr>
                <w:sz w:val="20"/>
                <w:szCs w:val="20"/>
                <w:color w:val="auto"/>
              </w:rPr>
            </w:pPr>
            <w:r>
              <w:rPr>
                <w:rFonts w:ascii="Arial" w:cs="Arial" w:eastAsia="Arial" w:hAnsi="Arial"/>
                <w:sz w:val="18"/>
                <w:szCs w:val="18"/>
                <w:color w:val="auto"/>
              </w:rPr>
              <w:t>a distance of 101.12 feet to a corner of land of Burnham Manning Post #1105-Veterans of Foreign Wars of</w:t>
            </w:r>
          </w:p>
        </w:tc>
      </w:tr>
      <w:tr>
        <w:trPr>
          <w:trHeight w:val="239"/>
        </w:trPr>
        <w:tc>
          <w:tcPr>
            <w:tcW w:w="1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U.S.A., Inc. the last five courses being by North Beacon Street; thence</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NORTH 25° 59’-00” EAST</w:t>
            </w:r>
          </w:p>
        </w:tc>
        <w:tc>
          <w:tcPr>
            <w:tcW w:w="8920" w:type="dxa"/>
            <w:vAlign w:val="bottom"/>
          </w:tcPr>
          <w:p>
            <w:pPr>
              <w:ind w:left="100"/>
              <w:spacing w:after="0"/>
              <w:rPr>
                <w:sz w:val="20"/>
                <w:szCs w:val="20"/>
                <w:color w:val="auto"/>
              </w:rPr>
            </w:pPr>
            <w:r>
              <w:rPr>
                <w:rFonts w:ascii="Arial" w:cs="Arial" w:eastAsia="Arial" w:hAnsi="Arial"/>
                <w:sz w:val="18"/>
                <w:szCs w:val="18"/>
                <w:color w:val="auto"/>
              </w:rPr>
              <w:t>a distance of 435.94 feet to a corner of Arsenal Street; thence</w:t>
            </w: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SOUTH 69° 39’-19” EAST</w:t>
            </w:r>
          </w:p>
        </w:tc>
        <w:tc>
          <w:tcPr>
            <w:tcW w:w="8920" w:type="dxa"/>
            <w:vAlign w:val="bottom"/>
          </w:tcPr>
          <w:p>
            <w:pPr>
              <w:ind w:left="100"/>
              <w:spacing w:after="0"/>
              <w:rPr>
                <w:sz w:val="20"/>
                <w:szCs w:val="20"/>
                <w:color w:val="auto"/>
              </w:rPr>
            </w:pPr>
            <w:r>
              <w:rPr>
                <w:rFonts w:ascii="Arial" w:cs="Arial" w:eastAsia="Arial" w:hAnsi="Arial"/>
                <w:sz w:val="18"/>
                <w:szCs w:val="18"/>
                <w:color w:val="auto"/>
              </w:rPr>
              <w:t>a distance of 1455.13 feet to a Stone Bound at a slight angle break; thence</w:t>
            </w:r>
          </w:p>
        </w:tc>
      </w:tr>
      <w:tr>
        <w:trPr>
          <w:trHeight w:val="382"/>
        </w:trPr>
        <w:tc>
          <w:tcPr>
            <w:tcW w:w="2300" w:type="dxa"/>
            <w:vAlign w:val="bottom"/>
            <w:gridSpan w:val="2"/>
          </w:tcPr>
          <w:p>
            <w:pPr>
              <w:spacing w:after="0"/>
              <w:rPr>
                <w:sz w:val="20"/>
                <w:szCs w:val="20"/>
                <w:color w:val="auto"/>
              </w:rPr>
            </w:pPr>
            <w:r>
              <w:rPr>
                <w:rFonts w:ascii="Arial" w:cs="Arial" w:eastAsia="Arial" w:hAnsi="Arial"/>
                <w:sz w:val="18"/>
                <w:szCs w:val="18"/>
                <w:color w:val="auto"/>
              </w:rPr>
              <w:t>SOUTH 68° 05’-21” EAST</w:t>
            </w:r>
          </w:p>
        </w:tc>
        <w:tc>
          <w:tcPr>
            <w:tcW w:w="8920" w:type="dxa"/>
            <w:vAlign w:val="bottom"/>
          </w:tcPr>
          <w:p>
            <w:pPr>
              <w:ind w:left="100"/>
              <w:spacing w:after="0"/>
              <w:rPr>
                <w:sz w:val="20"/>
                <w:szCs w:val="20"/>
                <w:color w:val="auto"/>
              </w:rPr>
            </w:pPr>
            <w:r>
              <w:rPr>
                <w:rFonts w:ascii="Arial" w:cs="Arial" w:eastAsia="Arial" w:hAnsi="Arial"/>
                <w:sz w:val="18"/>
                <w:szCs w:val="18"/>
                <w:color w:val="auto"/>
              </w:rPr>
              <w:t>a distance of 451.60 feet to a corner at the point and place of beginning, the last two courses being by Arsenal</w:t>
            </w:r>
          </w:p>
        </w:tc>
      </w:tr>
      <w:tr>
        <w:trPr>
          <w:trHeight w:val="239"/>
        </w:trPr>
        <w:tc>
          <w:tcPr>
            <w:tcW w:w="1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920" w:type="dxa"/>
            <w:vAlign w:val="bottom"/>
          </w:tcPr>
          <w:p>
            <w:pPr>
              <w:ind w:left="700"/>
              <w:spacing w:after="0"/>
              <w:rPr>
                <w:sz w:val="20"/>
                <w:szCs w:val="20"/>
                <w:color w:val="auto"/>
              </w:rPr>
            </w:pPr>
            <w:r>
              <w:rPr>
                <w:rFonts w:ascii="Arial" w:cs="Arial" w:eastAsia="Arial" w:hAnsi="Arial"/>
                <w:sz w:val="18"/>
                <w:szCs w:val="18"/>
                <w:color w:val="auto"/>
              </w:rPr>
              <w:t>Street.</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Lot 1 contains 1,281,841 square feet (29.42 Acres) more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1299210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146685</wp:posOffset>
            </wp:positionV>
            <wp:extent cx="2425700" cy="41148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9">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10.13</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This WORK LETTER (this "</w:t>
      </w:r>
      <w:r>
        <w:rPr>
          <w:rFonts w:ascii="Arial" w:cs="Arial" w:eastAsia="Arial" w:hAnsi="Arial"/>
          <w:sz w:val="18"/>
          <w:szCs w:val="18"/>
          <w:b w:val="1"/>
          <w:bCs w:val="1"/>
          <w:color w:val="auto"/>
        </w:rPr>
        <w:t>Work Letter</w:t>
      </w:r>
      <w:r>
        <w:rPr>
          <w:rFonts w:ascii="Arial" w:cs="Arial" w:eastAsia="Arial" w:hAnsi="Arial"/>
          <w:sz w:val="18"/>
          <w:szCs w:val="18"/>
          <w:color w:val="auto"/>
        </w:rPr>
        <w:t>") is incorporated into that certain Lease Agreement (the “</w:t>
      </w:r>
      <w:r>
        <w:rPr>
          <w:rFonts w:ascii="Arial" w:cs="Arial" w:eastAsia="Arial" w:hAnsi="Arial"/>
          <w:sz w:val="18"/>
          <w:szCs w:val="18"/>
          <w:b w:val="1"/>
          <w:bCs w:val="1"/>
          <w:color w:val="auto"/>
        </w:rPr>
        <w:t>Lease</w:t>
      </w:r>
      <w:r>
        <w:rPr>
          <w:rFonts w:ascii="Arial" w:cs="Arial" w:eastAsia="Arial" w:hAnsi="Arial"/>
          <w:sz w:val="18"/>
          <w:szCs w:val="18"/>
          <w:color w:val="auto"/>
        </w:rPr>
        <w:t>”) dated as of December 20, 2021, by and between ARE-MA REGION NO. 75, LLC, a Delaware corporation ("</w:t>
      </w:r>
      <w:r>
        <w:rPr>
          <w:rFonts w:ascii="Arial" w:cs="Arial" w:eastAsia="Arial" w:hAnsi="Arial"/>
          <w:sz w:val="18"/>
          <w:szCs w:val="18"/>
          <w:b w:val="1"/>
          <w:bCs w:val="1"/>
          <w:color w:val="auto"/>
        </w:rPr>
        <w:t>Landlord</w:t>
      </w:r>
      <w:r>
        <w:rPr>
          <w:rFonts w:ascii="Arial" w:cs="Arial" w:eastAsia="Arial" w:hAnsi="Arial"/>
          <w:sz w:val="18"/>
          <w:szCs w:val="18"/>
          <w:color w:val="auto"/>
        </w:rPr>
        <w:t>"), and KYMERA THERAPEUTICS,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Any initially capitalized terms used but not defined herein shall have the meanings given them in the Lease.</w:t>
      </w:r>
    </w:p>
    <w:p>
      <w:pPr>
        <w:spacing w:after="0" w:line="384" w:lineRule="exact"/>
        <w:rPr>
          <w:sz w:val="20"/>
          <w:szCs w:val="20"/>
          <w:color w:val="auto"/>
        </w:rPr>
      </w:pPr>
    </w:p>
    <w:p>
      <w:pPr>
        <w:ind w:left="1020" w:hanging="263"/>
        <w:spacing w:after="0"/>
        <w:tabs>
          <w:tab w:leader="none" w:pos="102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line="242" w:lineRule="auto"/>
        <w:tabs>
          <w:tab w:leader="none" w:pos="1018"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Tenant's Authorized Representative</w:t>
      </w:r>
      <w:r>
        <w:rPr>
          <w:rFonts w:ascii="Arial" w:cs="Arial" w:eastAsia="Arial" w:hAnsi="Arial"/>
          <w:sz w:val="18"/>
          <w:szCs w:val="18"/>
          <w:color w:val="auto"/>
        </w:rPr>
        <w:t>. Tenant designates Kevin Dushney and Bruce Jacobs (either such individual acting</w:t>
      </w:r>
      <w:r>
        <w:rPr>
          <w:rFonts w:ascii="Arial" w:cs="Arial" w:eastAsia="Arial" w:hAnsi="Arial"/>
          <w:sz w:val="18"/>
          <w:szCs w:val="18"/>
          <w:b w:val="1"/>
          <w:bCs w:val="1"/>
          <w:color w:val="auto"/>
        </w:rPr>
        <w:t xml:space="preserve"> </w:t>
      </w:r>
      <w:r>
        <w:rPr>
          <w:rFonts w:ascii="Arial" w:cs="Arial" w:eastAsia="Arial" w:hAnsi="Arial"/>
          <w:sz w:val="18"/>
          <w:szCs w:val="18"/>
          <w:color w:val="auto"/>
        </w:rPr>
        <w:t>alone, "</w:t>
      </w:r>
      <w:r>
        <w:rPr>
          <w:rFonts w:ascii="Arial" w:cs="Arial" w:eastAsia="Arial" w:hAnsi="Arial"/>
          <w:sz w:val="18"/>
          <w:szCs w:val="18"/>
          <w:b w:val="1"/>
          <w:bCs w:val="1"/>
          <w:color w:val="auto"/>
        </w:rPr>
        <w:t>Tenant's Representative</w:t>
      </w:r>
      <w:r>
        <w:rPr>
          <w:rFonts w:ascii="Arial" w:cs="Arial" w:eastAsia="Arial" w:hAnsi="Arial"/>
          <w:sz w:val="18"/>
          <w:szCs w:val="18"/>
          <w:color w:val="auto"/>
        </w:rPr>
        <w:t>") as the only persons authorized to act for Tenant pursuant to this Work Letter. Landlord shall not be obligated to respond to or act upon any request, approval, inquiry or other communication ("</w:t>
      </w:r>
      <w:r>
        <w:rPr>
          <w:rFonts w:ascii="Arial" w:cs="Arial" w:eastAsia="Arial" w:hAnsi="Arial"/>
          <w:sz w:val="18"/>
          <w:szCs w:val="18"/>
          <w:b w:val="1"/>
          <w:bCs w:val="1"/>
          <w:color w:val="auto"/>
        </w:rPr>
        <w:t>Communication</w:t>
      </w:r>
      <w:r>
        <w:rPr>
          <w:rFonts w:ascii="Arial" w:cs="Arial" w:eastAsia="Arial" w:hAnsi="Arial"/>
          <w:sz w:val="18"/>
          <w:szCs w:val="18"/>
          <w:color w:val="auto"/>
        </w:rPr>
        <w:t>") from or on behalf of Tenant in connection with this Work Letter unless such Communication is in writing from Tenant's Representative. Tenant may change either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78"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Suzie Markin and Dante Angelucci (either such individual acting</w:t>
      </w:r>
      <w:r>
        <w:rPr>
          <w:rFonts w:ascii="Arial" w:cs="Arial" w:eastAsia="Arial" w:hAnsi="Arial"/>
          <w:sz w:val="18"/>
          <w:szCs w:val="18"/>
          <w:b w:val="1"/>
          <w:bCs w:val="1"/>
          <w:color w:val="auto"/>
        </w:rPr>
        <w:t xml:space="preserve"> </w:t>
      </w:r>
      <w:r>
        <w:rPr>
          <w:rFonts w:ascii="Arial" w:cs="Arial" w:eastAsia="Arial" w:hAnsi="Arial"/>
          <w:sz w:val="18"/>
          <w:szCs w:val="18"/>
          <w:color w:val="auto"/>
        </w:rPr>
        <w:t>alone, "</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178" w:lineRule="exact"/>
        <w:rPr>
          <w:rFonts w:ascii="Arial" w:cs="Arial" w:eastAsia="Arial" w:hAnsi="Arial"/>
          <w:sz w:val="18"/>
          <w:szCs w:val="18"/>
          <w:color w:val="auto"/>
        </w:rPr>
      </w:pPr>
    </w:p>
    <w:p>
      <w:pPr>
        <w:jc w:val="both"/>
        <w:ind w:firstLine="757"/>
        <w:spacing w:after="0"/>
        <w:tabs>
          <w:tab w:leader="none" w:pos="1018"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Architects, Consultants and Contractors</w:t>
      </w:r>
      <w:r>
        <w:rPr>
          <w:rFonts w:ascii="Arial" w:cs="Arial" w:eastAsia="Arial" w:hAnsi="Arial"/>
          <w:sz w:val="18"/>
          <w:szCs w:val="18"/>
          <w:color w:val="auto"/>
        </w:rPr>
        <w:t>. Landlord and Tenant hereby acknowledge and agree that: (i) AECOM Tishman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the general contractor, (ii) any subcontractors for the Tenant Improvements shall be selected by Landlord, (iii) OTJ Architects shall be the architect (the “</w:t>
      </w:r>
      <w:r>
        <w:rPr>
          <w:rFonts w:ascii="Arial" w:cs="Arial" w:eastAsia="Arial" w:hAnsi="Arial"/>
          <w:sz w:val="18"/>
          <w:szCs w:val="18"/>
          <w:b w:val="1"/>
          <w:bCs w:val="1"/>
          <w:color w:val="auto"/>
        </w:rPr>
        <w:t>TI Architect</w:t>
      </w:r>
      <w:r>
        <w:rPr>
          <w:rFonts w:ascii="Arial" w:cs="Arial" w:eastAsia="Arial" w:hAnsi="Arial"/>
          <w:sz w:val="18"/>
          <w:szCs w:val="18"/>
          <w:color w:val="auto"/>
        </w:rPr>
        <w:t>”) for the Tenant Improvements, and (iv) BR+A Consulting Engineers shall be the MEP/FP engineer for the Tenant Improvements. Tenant shall contract directly with the TI Architect and BR+A Consulting Engineer. Landlord shall be named a third party beneficiary of any contract entered into by Tenant with the TI Architect, BR+A Consulting Engineers, and any other consultant providing design or engineering services for the Tenant Improvements, including any warranty made by any of the foregoing. Tenant shall deliver copies of all such contracts to Landlord.</w:t>
      </w:r>
    </w:p>
    <w:p>
      <w:pPr>
        <w:spacing w:after="0" w:line="185" w:lineRule="exact"/>
        <w:rPr>
          <w:sz w:val="20"/>
          <w:szCs w:val="20"/>
          <w:color w:val="auto"/>
        </w:rPr>
      </w:pPr>
    </w:p>
    <w:p>
      <w:pPr>
        <w:ind w:left="1020" w:hanging="263"/>
        <w:spacing w:after="0"/>
        <w:tabs>
          <w:tab w:leader="none" w:pos="1020"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Improvements</w:t>
      </w:r>
      <w:r>
        <w:rPr>
          <w:rFonts w:ascii="Arial" w:cs="Arial" w:eastAsia="Arial" w:hAnsi="Arial"/>
          <w:sz w:val="18"/>
          <w:szCs w:val="18"/>
          <w:color w:val="auto"/>
        </w:rPr>
        <w:t>.</w:t>
      </w:r>
    </w:p>
    <w:p>
      <w:pPr>
        <w:spacing w:after="0" w:line="212" w:lineRule="exact"/>
        <w:rPr>
          <w:sz w:val="20"/>
          <w:szCs w:val="20"/>
          <w:color w:val="auto"/>
        </w:rPr>
      </w:pPr>
    </w:p>
    <w:p>
      <w:pPr>
        <w:jc w:val="both"/>
        <w:ind w:right="20" w:firstLine="757"/>
        <w:spacing w:after="0" w:line="253" w:lineRule="auto"/>
        <w:tabs>
          <w:tab w:leader="none" w:pos="1018"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Base Building</w:t>
      </w:r>
      <w:r>
        <w:rPr>
          <w:rFonts w:ascii="Arial" w:cs="Arial" w:eastAsia="Arial" w:hAnsi="Arial"/>
          <w:sz w:val="18"/>
          <w:szCs w:val="18"/>
          <w:color w:val="auto"/>
        </w:rPr>
        <w:t>. All aspects of the design, permitting and construction of the Building shall be determined by Landlord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absolute discretion (other than certain aspects of the Tenant Improvements (as defined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below) within the interior of the Premises, which shall be subject to the input of Tenant to the extent expressly set forth herein below).</w:t>
      </w:r>
    </w:p>
    <w:p>
      <w:pPr>
        <w:spacing w:after="0" w:line="168"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Tenant Improvements Defined</w:t>
      </w:r>
      <w:r>
        <w:rPr>
          <w:rFonts w:ascii="Arial" w:cs="Arial" w:eastAsia="Arial" w:hAnsi="Arial"/>
          <w:sz w:val="18"/>
          <w:szCs w:val="18"/>
          <w:color w:val="auto"/>
        </w:rPr>
        <w:t>. As used herein, "</w:t>
      </w:r>
      <w:r>
        <w:rPr>
          <w:rFonts w:ascii="Arial" w:cs="Arial" w:eastAsia="Arial" w:hAnsi="Arial"/>
          <w:sz w:val="18"/>
          <w:szCs w:val="18"/>
          <w:b w:val="1"/>
          <w:bCs w:val="1"/>
          <w:color w:val="auto"/>
        </w:rPr>
        <w:t>Tenant Improvements</w:t>
      </w:r>
      <w:r>
        <w:rPr>
          <w:rFonts w:ascii="Arial" w:cs="Arial" w:eastAsia="Arial" w:hAnsi="Arial"/>
          <w:sz w:val="18"/>
          <w:szCs w:val="18"/>
          <w:color w:val="auto"/>
        </w:rPr>
        <w:t>" shall mean all improvements to the Premises of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fixed and permanent nature as shown on the TI Construction Drawings, as defined in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below. Other than Landlord's Work (as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below), Landlord shall not have any obligation whatsoever with respect to the finishing of the Building or the Premises for Tenant's use and occupancy.</w:t>
      </w:r>
    </w:p>
    <w:p>
      <w:pPr>
        <w:spacing w:after="0" w:line="173"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Tenant's Space Plans</w:t>
      </w:r>
      <w:r>
        <w:rPr>
          <w:rFonts w:ascii="Arial" w:cs="Arial" w:eastAsia="Arial" w:hAnsi="Arial"/>
          <w:sz w:val="18"/>
          <w:szCs w:val="18"/>
          <w:color w:val="auto"/>
        </w:rPr>
        <w:t>. Tenant has delivered to Landlord and the TI Architect, and Landlord has approved, the schematic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drawings and outline specifications attached to this Work Letter as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(the "</w:t>
      </w:r>
      <w:r>
        <w:rPr>
          <w:rFonts w:ascii="Arial" w:cs="Arial" w:eastAsia="Arial" w:hAnsi="Arial"/>
          <w:sz w:val="18"/>
          <w:szCs w:val="18"/>
          <w:b w:val="1"/>
          <w:bCs w:val="1"/>
          <w:color w:val="auto"/>
        </w:rPr>
        <w:t>TI Design Drawings</w:t>
      </w:r>
      <w:r>
        <w:rPr>
          <w:rFonts w:ascii="Arial" w:cs="Arial" w:eastAsia="Arial" w:hAnsi="Arial"/>
          <w:sz w:val="18"/>
          <w:szCs w:val="18"/>
          <w:color w:val="auto"/>
        </w:rPr>
        <w:t>") detailing Tenant's requirements for the Tenant Improvements.</w:t>
      </w:r>
    </w:p>
    <w:p>
      <w:pPr>
        <w:spacing w:after="0" w:line="168" w:lineRule="exact"/>
        <w:rPr>
          <w:rFonts w:ascii="Arial" w:cs="Arial" w:eastAsia="Arial" w:hAnsi="Arial"/>
          <w:sz w:val="18"/>
          <w:szCs w:val="18"/>
          <w:color w:val="auto"/>
        </w:rPr>
      </w:pPr>
    </w:p>
    <w:p>
      <w:pPr>
        <w:ind w:firstLine="757"/>
        <w:spacing w:after="0" w:line="271" w:lineRule="auto"/>
        <w:tabs>
          <w:tab w:leader="none" w:pos="1018"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Working Drawings</w:t>
      </w:r>
      <w:r>
        <w:rPr>
          <w:rFonts w:ascii="Arial" w:cs="Arial" w:eastAsia="Arial" w:hAnsi="Arial"/>
          <w:sz w:val="18"/>
          <w:szCs w:val="18"/>
          <w:color w:val="auto"/>
        </w:rPr>
        <w:t>. Not later than June 28, 2022, Tenant shall cause the TI Architect to prepare and deliver to Landlord for</w:t>
      </w:r>
      <w:r>
        <w:rPr>
          <w:rFonts w:ascii="Arial" w:cs="Arial" w:eastAsia="Arial" w:hAnsi="Arial"/>
          <w:sz w:val="18"/>
          <w:szCs w:val="18"/>
          <w:b w:val="1"/>
          <w:bCs w:val="1"/>
          <w:color w:val="auto"/>
        </w:rPr>
        <w:t xml:space="preserve"> </w:t>
      </w:r>
      <w:r>
        <w:rPr>
          <w:rFonts w:ascii="Arial" w:cs="Arial" w:eastAsia="Arial" w:hAnsi="Arial"/>
          <w:sz w:val="18"/>
          <w:szCs w:val="18"/>
          <w:color w:val="auto"/>
        </w:rPr>
        <w:t>review and comment or approval construction plans, specifications and drawings for the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1262380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109855</wp:posOffset>
            </wp:positionV>
            <wp:extent cx="2425700" cy="41148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1">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3" w:name="page384"/>
    <w:bookmarkEnd w:id="383"/>
    <w:p>
      <w:pPr>
        <w:ind w:left="10140"/>
        <w:spacing w:after="0"/>
        <w:rPr>
          <w:sz w:val="20"/>
          <w:szCs w:val="20"/>
          <w:color w:val="auto"/>
        </w:rPr>
      </w:pPr>
      <w:r>
        <w:rPr>
          <w:rFonts w:ascii="Arial" w:cs="Arial" w:eastAsia="Arial" w:hAnsi="Arial"/>
          <w:sz w:val="17"/>
          <w:szCs w:val="17"/>
          <w:b w:val="1"/>
          <w:bCs w:val="1"/>
          <w:color w:val="auto"/>
        </w:rPr>
        <w:t>Exhibit 10.13</w:t>
      </w:r>
    </w:p>
    <w:p>
      <w:pPr>
        <w:spacing w:after="0" w:line="3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Improvements ("</w:t>
      </w:r>
      <w:r>
        <w:rPr>
          <w:rFonts w:ascii="Arial" w:cs="Arial" w:eastAsia="Arial" w:hAnsi="Arial"/>
          <w:sz w:val="18"/>
          <w:szCs w:val="18"/>
          <w:b w:val="1"/>
          <w:bCs w:val="1"/>
          <w:color w:val="auto"/>
        </w:rPr>
        <w:t>Proposed TI Construction Drawings</w:t>
      </w:r>
      <w:r>
        <w:rPr>
          <w:rFonts w:ascii="Arial" w:cs="Arial" w:eastAsia="Arial" w:hAnsi="Arial"/>
          <w:sz w:val="18"/>
          <w:szCs w:val="18"/>
          <w:color w:val="auto"/>
        </w:rPr>
        <w:t>"), which Proposed TI Construction Drawings shall be prepared substantially in accordance with the TI Design Drawings. Tenant shall be solely responsible for ensuring that the Proposed TI Construction Drawings reflect Tenant's requirements for the Tenant Improvements. Landlord shall deliver its written comments on the Proposed TI Construction Drawings to Tenant not later than 14 days after Landlord's receipt of the same; provided, however, that Landlord may not disapprove any matter that is consistent with the TI Design Drawings previously approved in writing by Landlord (provided it does not affect the base Building, structural components of the Building, Building systems or the project schedule). Tenant shall resubmit revised Proposed TI Construction Drawings to Landlord addressing Landlord’s comments for Landlord’s review, comment or approval, and the foregoing process will be repeated until Landlord approves the Proposed TI Construction Drawings, which shall then be referred to as the “</w:t>
      </w:r>
      <w:r>
        <w:rPr>
          <w:rFonts w:ascii="Arial" w:cs="Arial" w:eastAsia="Arial" w:hAnsi="Arial"/>
          <w:sz w:val="18"/>
          <w:szCs w:val="18"/>
          <w:b w:val="1"/>
          <w:bCs w:val="1"/>
          <w:color w:val="auto"/>
        </w:rPr>
        <w:t>TI Construction Drawings</w:t>
      </w:r>
      <w:r>
        <w:rPr>
          <w:rFonts w:ascii="Arial" w:cs="Arial" w:eastAsia="Arial" w:hAnsi="Arial"/>
          <w:sz w:val="18"/>
          <w:szCs w:val="18"/>
          <w:color w:val="auto"/>
        </w:rPr>
        <w:t xml:space="preserve">.” Any disputes in connection with such comments shall be resolved in accordance with </w:t>
      </w:r>
      <w:r>
        <w:rPr>
          <w:rFonts w:ascii="Arial" w:cs="Arial" w:eastAsia="Arial" w:hAnsi="Arial"/>
          <w:sz w:val="18"/>
          <w:szCs w:val="18"/>
          <w:u w:val="single" w:color="auto"/>
          <w:color w:val="auto"/>
        </w:rPr>
        <w:t>Section 2(e)</w:t>
      </w:r>
      <w:r>
        <w:rPr>
          <w:rFonts w:ascii="Arial" w:cs="Arial" w:eastAsia="Arial" w:hAnsi="Arial"/>
          <w:sz w:val="18"/>
          <w:szCs w:val="18"/>
          <w:color w:val="auto"/>
        </w:rPr>
        <w:t xml:space="preserve"> hereof. Once approved by Landlord, subject to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Tenant shall not materially modify the TI Construction Drawings except as may be reasonably required in connection with the issuance of the TI Permit (as defined in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below).</w:t>
      </w:r>
    </w:p>
    <w:p>
      <w:pPr>
        <w:spacing w:after="0" w:line="186" w:lineRule="exact"/>
        <w:rPr>
          <w:sz w:val="20"/>
          <w:szCs w:val="20"/>
          <w:color w:val="auto"/>
        </w:rPr>
      </w:pPr>
    </w:p>
    <w:p>
      <w:pPr>
        <w:jc w:val="both"/>
        <w:ind w:firstLine="757"/>
        <w:spacing w:after="0" w:line="238" w:lineRule="auto"/>
        <w:tabs>
          <w:tab w:leader="none" w:pos="1018"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Approval and Completion</w:t>
      </w:r>
      <w:r>
        <w:rPr>
          <w:rFonts w:ascii="Arial" w:cs="Arial" w:eastAsia="Arial" w:hAnsi="Arial"/>
          <w:sz w:val="18"/>
          <w:szCs w:val="18"/>
          <w:color w:val="auto"/>
        </w:rPr>
        <w:t>. It is hereby acknowledged by Landlord and Tenant that the TI Construction Drawings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completed and approved by Landlord and Tenant not later than July 26, 2022, in order for the Landlord's Work to be Substantially Complete by the Target Commencement Date (as defined in the Lease), and it shall be a Tenant Delay, without further notice from Landlord, if the TI Construction Drawings are not completed and approved by Landlord and Tenant by such date. Upon any dispute regarding the design of the Tenant Improvements, which is not settled within 14 days after delivery of written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and (iii) Tenant's decision will not affect the base Building, structural components of the Building, any Building systems, or the project schedule. Any changes to the TI Construction Drawings following Landlord's and Tenant's approval of same requested by Tenant shall be processed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186" w:lineRule="exact"/>
        <w:rPr>
          <w:sz w:val="20"/>
          <w:szCs w:val="20"/>
          <w:color w:val="auto"/>
        </w:rPr>
      </w:pPr>
    </w:p>
    <w:p>
      <w:pPr>
        <w:ind w:left="1020" w:hanging="263"/>
        <w:spacing w:after="0"/>
        <w:tabs>
          <w:tab w:leader="none" w:pos="1020"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Performance of Landlord's Work</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line="242" w:lineRule="auto"/>
        <w:tabs>
          <w:tab w:leader="none" w:pos="1018"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Definition of Landlord's Work</w:t>
      </w:r>
      <w:r>
        <w:rPr>
          <w:rFonts w:ascii="Arial" w:cs="Arial" w:eastAsia="Arial" w:hAnsi="Arial"/>
          <w:sz w:val="18"/>
          <w:szCs w:val="18"/>
          <w:color w:val="auto"/>
        </w:rPr>
        <w:t>. As used herein, "</w:t>
      </w:r>
      <w:r>
        <w:rPr>
          <w:rFonts w:ascii="Arial" w:cs="Arial" w:eastAsia="Arial" w:hAnsi="Arial"/>
          <w:sz w:val="18"/>
          <w:szCs w:val="18"/>
          <w:b w:val="1"/>
          <w:bCs w:val="1"/>
          <w:color w:val="auto"/>
        </w:rPr>
        <w:t>Landlord's Work</w:t>
      </w:r>
      <w:r>
        <w:rPr>
          <w:rFonts w:ascii="Arial" w:cs="Arial" w:eastAsia="Arial" w:hAnsi="Arial"/>
          <w:sz w:val="18"/>
          <w:szCs w:val="18"/>
          <w:color w:val="auto"/>
        </w:rPr>
        <w:t>" shall mean (a) the work of constructing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Improvements and (b) the work of completing the improvements identified as “Base Building Delivery Condition” on the matrix attached hereto as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(the “</w:t>
      </w:r>
      <w:r>
        <w:rPr>
          <w:rFonts w:ascii="Arial" w:cs="Arial" w:eastAsia="Arial" w:hAnsi="Arial"/>
          <w:sz w:val="18"/>
          <w:szCs w:val="18"/>
          <w:b w:val="1"/>
          <w:bCs w:val="1"/>
          <w:color w:val="auto"/>
        </w:rPr>
        <w:t>Base Building Work</w:t>
      </w:r>
      <w:r>
        <w:rPr>
          <w:rFonts w:ascii="Arial" w:cs="Arial" w:eastAsia="Arial" w:hAnsi="Arial"/>
          <w:sz w:val="18"/>
          <w:szCs w:val="18"/>
          <w:color w:val="auto"/>
        </w:rPr>
        <w:t>”). Tenant shall be solely responsible for ensuring that the design and specifications for Landlord’s Work are consistent with Tenant’s requirements. Landlord shall be responsible for obtaining all permits, approvals and entitlements necessary for Landlord’s Work, but shall have no obligation to, and shall not, secure any permits, approvals or entitlements related to Tenant’s specific use of the Premises or Tenant’s business operations therein, all of which Tenant shall be obligated to obtain.</w:t>
      </w:r>
    </w:p>
    <w:p>
      <w:pPr>
        <w:spacing w:after="0" w:line="178" w:lineRule="exact"/>
        <w:rPr>
          <w:rFonts w:ascii="Arial" w:cs="Arial" w:eastAsia="Arial" w:hAnsi="Arial"/>
          <w:sz w:val="18"/>
          <w:szCs w:val="18"/>
          <w:color w:val="auto"/>
        </w:rPr>
      </w:pPr>
    </w:p>
    <w:p>
      <w:pPr>
        <w:jc w:val="both"/>
        <w:ind w:firstLine="757"/>
        <w:spacing w:after="0"/>
        <w:tabs>
          <w:tab w:leader="none" w:pos="1018"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Commencement and Permitting</w:t>
      </w:r>
      <w:r>
        <w:rPr>
          <w:rFonts w:ascii="Arial" w:cs="Arial" w:eastAsia="Arial" w:hAnsi="Arial"/>
          <w:sz w:val="18"/>
          <w:szCs w:val="18"/>
          <w:color w:val="auto"/>
        </w:rPr>
        <w:t>. Landlord shall commence construction of the Tenant Improvements upon obtaining a</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permit (the "</w:t>
      </w:r>
      <w:r>
        <w:rPr>
          <w:rFonts w:ascii="Arial" w:cs="Arial" w:eastAsia="Arial" w:hAnsi="Arial"/>
          <w:sz w:val="18"/>
          <w:szCs w:val="18"/>
          <w:b w:val="1"/>
          <w:bCs w:val="1"/>
          <w:color w:val="auto"/>
        </w:rPr>
        <w:t>TI Permit</w:t>
      </w:r>
      <w:r>
        <w:rPr>
          <w:rFonts w:ascii="Arial" w:cs="Arial" w:eastAsia="Arial" w:hAnsi="Arial"/>
          <w:sz w:val="18"/>
          <w:szCs w:val="18"/>
          <w:color w:val="auto"/>
        </w:rPr>
        <w:t>") authorizing the construction of the Tenant Improvements consistent with the TI Construction Drawings approved by Landlord. The cost of obtaining the TI Permit shall be payable from the TI Fund. Tenant shall reasonably assist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184"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Completion of Base Building Work</w:t>
      </w:r>
      <w:r>
        <w:rPr>
          <w:rFonts w:ascii="Arial" w:cs="Arial" w:eastAsia="Arial" w:hAnsi="Arial"/>
          <w:sz w:val="18"/>
          <w:szCs w:val="18"/>
          <w:color w:val="auto"/>
        </w:rPr>
        <w:t>. Landlord shall, at Landlord’s sole cost and expense, substantially complete or cause to</w:t>
      </w:r>
      <w:r>
        <w:rPr>
          <w:rFonts w:ascii="Arial" w:cs="Arial" w:eastAsia="Arial" w:hAnsi="Arial"/>
          <w:sz w:val="18"/>
          <w:szCs w:val="18"/>
          <w:b w:val="1"/>
          <w:bCs w:val="1"/>
          <w:color w:val="auto"/>
        </w:rPr>
        <w:t xml:space="preserve"> </w:t>
      </w:r>
      <w:r>
        <w:rPr>
          <w:rFonts w:ascii="Arial" w:cs="Arial" w:eastAsia="Arial" w:hAnsi="Arial"/>
          <w:sz w:val="18"/>
          <w:szCs w:val="18"/>
          <w:color w:val="auto"/>
        </w:rPr>
        <w:t>be substantially completed the Base Building Work in a good and workmanlike manner pursuant to Landlord’s plans and specifications therefor, as Landlord may revise the same from time to time, provided such revisions do not have a material adverse effect on the functionality of the Premises for its intended use.</w:t>
      </w:r>
    </w:p>
    <w:p>
      <w:pPr>
        <w:spacing w:after="0" w:line="173" w:lineRule="exact"/>
        <w:rPr>
          <w:rFonts w:ascii="Arial" w:cs="Arial" w:eastAsia="Arial" w:hAnsi="Arial"/>
          <w:sz w:val="18"/>
          <w:szCs w:val="18"/>
          <w:color w:val="auto"/>
        </w:rPr>
      </w:pPr>
    </w:p>
    <w:p>
      <w:pPr>
        <w:ind w:firstLine="757"/>
        <w:spacing w:after="0" w:line="271" w:lineRule="auto"/>
        <w:tabs>
          <w:tab w:leader="none" w:pos="1018"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Completion of Tenant Improvements</w:t>
      </w:r>
      <w:r>
        <w:rPr>
          <w:rFonts w:ascii="Arial" w:cs="Arial" w:eastAsia="Arial" w:hAnsi="Arial"/>
          <w:sz w:val="18"/>
          <w:szCs w:val="18"/>
          <w:color w:val="auto"/>
        </w:rPr>
        <w:t>. Landlord shall substantially complete or cause to be substantially completed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a good and workmanlike manner, in accordance with the TI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1262380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109220</wp:posOffset>
            </wp:positionV>
            <wp:extent cx="2425700" cy="41148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3">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10.13</w:t>
      </w:r>
    </w:p>
    <w:p>
      <w:pPr>
        <w:spacing w:after="0" w:line="3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subject, in each case, to Minor Variations and normal "punch list" items of a non-material nature that do not interfere with the use of the Premises as determined by Landlord’s Authorized Representative and Tenant’s Authorized Representative (and in the event of any disagreement between Landlord’s Authorized Representative and Tenant’s Authorized Representative, the determination of Landlord’s architect shall be final, binding and conclusive) ("</w:t>
      </w:r>
      <w:r>
        <w:rPr>
          <w:rFonts w:ascii="Arial" w:cs="Arial" w:eastAsia="Arial" w:hAnsi="Arial"/>
          <w:sz w:val="18"/>
          <w:szCs w:val="18"/>
          <w:b w:val="1"/>
          <w:bCs w:val="1"/>
          <w:color w:val="auto"/>
        </w:rPr>
        <w:t>Substantial Completion</w:t>
      </w:r>
      <w:r>
        <w:rPr>
          <w:rFonts w:ascii="Arial" w:cs="Arial" w:eastAsia="Arial" w:hAnsi="Arial"/>
          <w:sz w:val="18"/>
          <w:szCs w:val="18"/>
          <w:color w:val="auto"/>
        </w:rPr>
        <w:t>" or "</w:t>
      </w:r>
      <w:r>
        <w:rPr>
          <w:rFonts w:ascii="Arial" w:cs="Arial" w:eastAsia="Arial" w:hAnsi="Arial"/>
          <w:sz w:val="18"/>
          <w:szCs w:val="18"/>
          <w:b w:val="1"/>
          <w:bCs w:val="1"/>
          <w:color w:val="auto"/>
        </w:rPr>
        <w:t>Substantially Complete</w:t>
      </w:r>
      <w:r>
        <w:rPr>
          <w:rFonts w:ascii="Arial" w:cs="Arial" w:eastAsia="Arial" w:hAnsi="Arial"/>
          <w:sz w:val="18"/>
          <w:szCs w:val="18"/>
          <w:color w:val="auto"/>
        </w:rPr>
        <w:t>"). It shall be a condition of such Substantial Completion that a certificate of occupancy permitting lawful occupancy (temporary or permanent) or a signed building card from the city inspectors has been issued or obtained permitting lawful occupancy of the space unless the same cannot be obtained due to work or other activities of Tenant. In the event a permanent certificate of occupancy is not issued, Landlord agrees to use commercially reasonable efforts to obtain the same following Substantial Completion. Upon Substantial Completion of Landlord's Work, Tenant shall require the TI Architect and Landlord shall require the general contractor to execute and deliver, for the benefit of Tenant and Landlord, a Certificate of Substantial Completion in the form of the American Institute of Architects ("</w:t>
      </w:r>
      <w:r>
        <w:rPr>
          <w:rFonts w:ascii="Arial" w:cs="Arial" w:eastAsia="Arial" w:hAnsi="Arial"/>
          <w:sz w:val="18"/>
          <w:szCs w:val="18"/>
          <w:b w:val="1"/>
          <w:bCs w:val="1"/>
          <w:color w:val="auto"/>
        </w:rPr>
        <w:t>AIA</w:t>
      </w:r>
      <w:r>
        <w:rPr>
          <w:rFonts w:ascii="Arial" w:cs="Arial" w:eastAsia="Arial" w:hAnsi="Arial"/>
          <w:sz w:val="18"/>
          <w:szCs w:val="18"/>
          <w:color w:val="auto"/>
        </w:rPr>
        <w:t>") document G704. For purposes of this Work Letter, "</w:t>
      </w:r>
      <w:r>
        <w:rPr>
          <w:rFonts w:ascii="Arial" w:cs="Arial" w:eastAsia="Arial" w:hAnsi="Arial"/>
          <w:sz w:val="18"/>
          <w:szCs w:val="18"/>
          <w:b w:val="1"/>
          <w:bCs w:val="1"/>
          <w:color w:val="auto"/>
        </w:rPr>
        <w:t>Minor</w:t>
      </w:r>
      <w:r>
        <w:rPr>
          <w:rFonts w:ascii="Arial" w:cs="Arial" w:eastAsia="Arial" w:hAnsi="Arial"/>
          <w:sz w:val="18"/>
          <w:szCs w:val="18"/>
          <w:color w:val="auto"/>
        </w:rPr>
        <w:t xml:space="preserve"> </w:t>
      </w:r>
      <w:r>
        <w:rPr>
          <w:rFonts w:ascii="Arial" w:cs="Arial" w:eastAsia="Arial" w:hAnsi="Arial"/>
          <w:sz w:val="18"/>
          <w:szCs w:val="18"/>
          <w:b w:val="1"/>
          <w:bCs w:val="1"/>
          <w:color w:val="auto"/>
        </w:rPr>
        <w:t>Variations</w:t>
      </w:r>
      <w:r>
        <w:rPr>
          <w:rFonts w:ascii="Arial" w:cs="Arial" w:eastAsia="Arial" w:hAnsi="Arial"/>
          <w:sz w:val="18"/>
          <w:szCs w:val="18"/>
          <w:color w:val="auto"/>
        </w:rPr>
        <w:t>" shall mean any modifications reasonably required: (i) to comply with all applicable Legal Requirements and/or to obtain or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any required permit (including the TI Permit); (ii) to comply with any request by Tenant for modifications to Landlord's Work; (iii) to comport with good design, engineering, and construction practices that are not material; or (iv) to make reasonable adjustments for field deviations, conditions encountered during the construction of Landlord's Work, or changes to the base Building.</w:t>
      </w:r>
    </w:p>
    <w:p>
      <w:pPr>
        <w:spacing w:after="0" w:line="189" w:lineRule="exact"/>
        <w:rPr>
          <w:sz w:val="20"/>
          <w:szCs w:val="20"/>
          <w:color w:val="auto"/>
        </w:rPr>
      </w:pPr>
    </w:p>
    <w:p>
      <w:pPr>
        <w:jc w:val="both"/>
        <w:ind w:firstLine="757"/>
        <w:spacing w:after="0" w:line="247" w:lineRule="auto"/>
        <w:tabs>
          <w:tab w:leader="none" w:pos="1018"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Selection of Materials</w:t>
      </w:r>
      <w:r>
        <w:rPr>
          <w:rFonts w:ascii="Arial" w:cs="Arial" w:eastAsia="Arial" w:hAnsi="Arial"/>
          <w:sz w:val="18"/>
          <w:szCs w:val="18"/>
          <w:color w:val="auto"/>
        </w:rPr>
        <w:t>. Where more than one type of material or structure is indicated on the TI Construction Drawings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Landlord and Tenant, the option will be selected at Landlord's sole and absolute subjective discretion. As to all building materials and equipment that Landlord is obligated to supply under this Work Letter, Landlord shall select the manufacturer thereof in its sole and absolute subjective discretion.</w:t>
      </w:r>
    </w:p>
    <w:p>
      <w:pPr>
        <w:spacing w:after="0" w:line="173" w:lineRule="exact"/>
        <w:rPr>
          <w:rFonts w:ascii="Arial" w:cs="Arial" w:eastAsia="Arial" w:hAnsi="Arial"/>
          <w:sz w:val="18"/>
          <w:szCs w:val="18"/>
          <w:color w:val="auto"/>
        </w:rPr>
      </w:pPr>
    </w:p>
    <w:p>
      <w:pPr>
        <w:jc w:val="both"/>
        <w:ind w:firstLine="757"/>
        <w:spacing w:after="0" w:line="237" w:lineRule="auto"/>
        <w:tabs>
          <w:tab w:leader="none" w:pos="1018"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Delivery of the Premises</w:t>
      </w:r>
      <w:r>
        <w:rPr>
          <w:rFonts w:ascii="Arial" w:cs="Arial" w:eastAsia="Arial" w:hAnsi="Arial"/>
          <w:sz w:val="18"/>
          <w:szCs w:val="18"/>
          <w:color w:val="auto"/>
        </w:rPr>
        <w:t>. When Landlord's Work is Substantially Complete, subject to the remaining terms and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3(f)</w:t>
      </w:r>
      <w:r>
        <w:rPr>
          <w:rFonts w:ascii="Arial" w:cs="Arial" w:eastAsia="Arial" w:hAnsi="Arial"/>
          <w:sz w:val="18"/>
          <w:szCs w:val="18"/>
          <w:color w:val="auto"/>
        </w:rPr>
        <w:t>, Tenant shall accept the Premises. Tenant's taking possession and acceptance of the Premises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8"/>
          <w:szCs w:val="18"/>
          <w:b w:val="1"/>
          <w:bCs w:val="1"/>
          <w:color w:val="auto"/>
        </w:rPr>
        <w:t>Construction Defect</w:t>
      </w:r>
      <w:r>
        <w:rPr>
          <w:rFonts w:ascii="Arial" w:cs="Arial" w:eastAsia="Arial" w:hAnsi="Arial"/>
          <w:sz w:val="18"/>
          <w:szCs w:val="18"/>
          <w:color w:val="auto"/>
        </w:rPr>
        <w:t>"). Tenant shall have one year after Substantial Completion within which to notify Landlord of any such Construction Defect in the Base Building Work or the Tenant Improvements discovered by Tenant, and Landlord shall use reasonable efforts to remedy or cause the responsible contractor to remedy any such Construction Defect in the Base Building Work or the Tenant Improvements within 30 days thereafter. Notwithstanding the foregoing, Landlord shall not be in default under the Lease if the applicable contractor, despite Landlord's reasonable efforts, fails to remedy such Construction Defect of the Base Building Work or the Tenant Improvements within such 30-day period, in which case Landlord shall have no further obligation with respect to such Construction Defect of the Base Building Work or the Tenant Improvements other than to cooperate, at no cost to Landlord, with Tenant should Tenant elect to pursue a claim against such contractor for the Base Building Work or the Tenant Improvements, provided that Tenant shall defend with counsel reasonably acceptable to Landlord, indemnify and hold Landlord harmless from and against any claims arising out of or in connection with any such claim.</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Tenant shall be entitled to receive the benefit of all construction warranties and manufacturer's equipment warranties relating to equipment installed in the Premises, and Landlord shall use commercially reasonable efforts to enforce such warranties at Tenant’s request and, at Tenant’s request, shall reasonably cooperate with Tenant to enforce such warranties, in each case, at no cost or expense to Landlord. If requested by Tenant, Landlord shall attempt to obtain extended warranties from manufacturers and suppliers of such equipment, but the cost of any such extended warranties shall be borne solely out of the TI Fund. Landlord shall promptly undertake and complete, or cause to be completed, all punch list items.</w:t>
      </w:r>
    </w:p>
    <w:p>
      <w:pPr>
        <w:spacing w:after="0" w:line="179" w:lineRule="exact"/>
        <w:rPr>
          <w:sz w:val="20"/>
          <w:szCs w:val="20"/>
          <w:color w:val="auto"/>
        </w:rPr>
      </w:pPr>
    </w:p>
    <w:p>
      <w:pPr>
        <w:jc w:val="both"/>
        <w:ind w:firstLine="757"/>
        <w:spacing w:after="0" w:line="257" w:lineRule="auto"/>
        <w:tabs>
          <w:tab w:leader="none" w:pos="1018"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Commencement Date Delay</w:t>
      </w:r>
      <w:r>
        <w:rPr>
          <w:rFonts w:ascii="Arial" w:cs="Arial" w:eastAsia="Arial" w:hAnsi="Arial"/>
          <w:sz w:val="18"/>
          <w:szCs w:val="18"/>
          <w:color w:val="auto"/>
        </w:rPr>
        <w:t>. Except as otherwise provided in the Lease, Delivery of the Premises shall occur when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Work has been Substantially Completed, except to the extent that completion of Landlord's Work shall have been actually delayed by any one or more of the following causes ("</w:t>
      </w:r>
      <w:r>
        <w:rPr>
          <w:rFonts w:ascii="Arial" w:cs="Arial" w:eastAsia="Arial" w:hAnsi="Arial"/>
          <w:sz w:val="18"/>
          <w:szCs w:val="18"/>
          <w:b w:val="1"/>
          <w:bCs w:val="1"/>
          <w:color w:val="auto"/>
        </w:rPr>
        <w:t>Tenant Delay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1265555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112395</wp:posOffset>
            </wp:positionV>
            <wp:extent cx="2425700" cy="41148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5">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10.13</w:t>
      </w:r>
    </w:p>
    <w:p>
      <w:pPr>
        <w:spacing w:after="0" w:line="306" w:lineRule="exact"/>
        <w:rPr>
          <w:sz w:val="20"/>
          <w:szCs w:val="20"/>
          <w:color w:val="auto"/>
        </w:rPr>
      </w:pPr>
    </w:p>
    <w:p>
      <w:pPr>
        <w:jc w:val="both"/>
        <w:ind w:left="760" w:firstLine="745"/>
        <w:spacing w:after="0" w:line="253" w:lineRule="auto"/>
        <w:tabs>
          <w:tab w:leader="none" w:pos="204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Tenant's Representative was not available to give or receive any Communication or to take any other action required to be taken by Tenant hereunder within 2 business days following receipt of Communication (whether verbal or otherwise) with respect thereto;</w:t>
      </w:r>
    </w:p>
    <w:p>
      <w:pPr>
        <w:spacing w:after="0" w:line="168" w:lineRule="exact"/>
        <w:rPr>
          <w:rFonts w:ascii="Arial" w:cs="Arial" w:eastAsia="Arial" w:hAnsi="Arial"/>
          <w:sz w:val="18"/>
          <w:szCs w:val="18"/>
          <w:color w:val="auto"/>
        </w:rPr>
      </w:pPr>
    </w:p>
    <w:p>
      <w:pPr>
        <w:jc w:val="both"/>
        <w:ind w:left="760" w:firstLine="745"/>
        <w:spacing w:after="0" w:line="253" w:lineRule="auto"/>
        <w:tabs>
          <w:tab w:leader="none" w:pos="204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Tenant's request for Change Requests (as defined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below) whether or not any such Change Requests are actually performed provided that Landlord delivers to Tenant notice of its estimate of a delay caused to address such Change Request (it being acknowledged the actual Tenant Delay is not limited to such estimate);</w:t>
      </w:r>
    </w:p>
    <w:p>
      <w:pPr>
        <w:spacing w:after="0" w:line="168" w:lineRule="exact"/>
        <w:rPr>
          <w:rFonts w:ascii="Arial" w:cs="Arial" w:eastAsia="Arial" w:hAnsi="Arial"/>
          <w:sz w:val="18"/>
          <w:szCs w:val="18"/>
          <w:color w:val="auto"/>
        </w:rPr>
      </w:pPr>
    </w:p>
    <w:p>
      <w:pPr>
        <w:ind w:left="760" w:firstLine="745"/>
        <w:spacing w:after="0" w:line="271" w:lineRule="auto"/>
        <w:tabs>
          <w:tab w:leader="none" w:pos="204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Construction of any Change Requests provided that Landlord delivers to Tenant notice of its estimate of a delay caused to address such Change Request (it being acknowledged the actual Tenant Delay is not limited to such estimate);</w:t>
      </w:r>
    </w:p>
    <w:p>
      <w:pPr>
        <w:spacing w:after="0" w:line="153" w:lineRule="exact"/>
        <w:rPr>
          <w:rFonts w:ascii="Arial" w:cs="Arial" w:eastAsia="Arial" w:hAnsi="Arial"/>
          <w:sz w:val="18"/>
          <w:szCs w:val="18"/>
          <w:color w:val="auto"/>
        </w:rPr>
      </w:pPr>
    </w:p>
    <w:p>
      <w:pPr>
        <w:ind w:left="760" w:firstLine="745"/>
        <w:spacing w:after="0" w:line="271" w:lineRule="auto"/>
        <w:tabs>
          <w:tab w:leader="none" w:pos="204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Tenant's request for materials, finishes or installations requiring unusually long lead times, provided Landlord delivers notice (which may be informal via email or verbal) of such long lead time (or anticipated lead time);</w:t>
      </w:r>
    </w:p>
    <w:p>
      <w:pPr>
        <w:spacing w:after="0" w:line="153" w:lineRule="exact"/>
        <w:rPr>
          <w:rFonts w:ascii="Arial" w:cs="Arial" w:eastAsia="Arial" w:hAnsi="Arial"/>
          <w:sz w:val="18"/>
          <w:szCs w:val="18"/>
          <w:color w:val="auto"/>
        </w:rPr>
      </w:pPr>
    </w:p>
    <w:p>
      <w:pPr>
        <w:ind w:left="2040" w:hanging="535"/>
        <w:spacing w:after="0"/>
        <w:tabs>
          <w:tab w:leader="none" w:pos="20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Tenant's delay in reviewing, revising or approving plans and specifications beyond the periods set forth herein;</w:t>
      </w:r>
    </w:p>
    <w:p>
      <w:pPr>
        <w:spacing w:after="0" w:line="211" w:lineRule="exact"/>
        <w:rPr>
          <w:rFonts w:ascii="Arial" w:cs="Arial" w:eastAsia="Arial" w:hAnsi="Arial"/>
          <w:sz w:val="18"/>
          <w:szCs w:val="18"/>
          <w:color w:val="auto"/>
        </w:rPr>
      </w:pPr>
    </w:p>
    <w:p>
      <w:pPr>
        <w:jc w:val="both"/>
        <w:ind w:left="760" w:firstLine="745"/>
        <w:spacing w:after="0" w:line="247" w:lineRule="auto"/>
        <w:tabs>
          <w:tab w:leader="none" w:pos="204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Tenant's delay in providing information identified by Landlord as critical to the normal progression of the Project beyond the periods set forth herein (or if no period is specified herein, then the period specified by Landlord in its request to Tenant for such information). Tenant shall provide such critical information as soon as reasonably possible, but in no event longer than one week after receipt of any request for such information from Landlord;</w:t>
      </w:r>
    </w:p>
    <w:p>
      <w:pPr>
        <w:spacing w:after="0" w:line="173" w:lineRule="exact"/>
        <w:rPr>
          <w:rFonts w:ascii="Arial" w:cs="Arial" w:eastAsia="Arial" w:hAnsi="Arial"/>
          <w:sz w:val="18"/>
          <w:szCs w:val="18"/>
          <w:color w:val="auto"/>
        </w:rPr>
      </w:pPr>
    </w:p>
    <w:p>
      <w:pPr>
        <w:ind w:left="760" w:firstLine="745"/>
        <w:spacing w:after="0" w:line="271" w:lineRule="auto"/>
        <w:tabs>
          <w:tab w:leader="none" w:pos="204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Tenant's delay in making payments to Landlord for Excess TI Costs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beyond the period set forth herein; or</w:t>
      </w:r>
    </w:p>
    <w:p>
      <w:pPr>
        <w:spacing w:after="0" w:line="153" w:lineRule="exact"/>
        <w:rPr>
          <w:rFonts w:ascii="Arial" w:cs="Arial" w:eastAsia="Arial" w:hAnsi="Arial"/>
          <w:sz w:val="18"/>
          <w:szCs w:val="18"/>
          <w:color w:val="auto"/>
        </w:rPr>
      </w:pPr>
    </w:p>
    <w:p>
      <w:pPr>
        <w:jc w:val="both"/>
        <w:ind w:left="760" w:firstLine="745"/>
        <w:spacing w:after="0" w:line="275" w:lineRule="auto"/>
        <w:tabs>
          <w:tab w:leader="none" w:pos="2048"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Any other act or omission (where Tenant has a duty to act) by Tenant or any Tenant Party (as defined in the Lease), or persons employed by any of such persons which continues for 2 business days after notice (which may be verbal and shall be deemed given if discussed in a construction or design meeting of which Tenant was notified in advance and entitled to attend).</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Delivery is delayed for any of the foregoing reasons, then Landlord shall cause the Landlord’s architect to certify the date on which the Tenant Improvements would have been Substantially Completed but for such Tenant Delay and such certified date shall be the date of Delivery.</w:t>
      </w:r>
    </w:p>
    <w:p>
      <w:pPr>
        <w:spacing w:after="0" w:line="169" w:lineRule="exact"/>
        <w:rPr>
          <w:sz w:val="20"/>
          <w:szCs w:val="20"/>
          <w:color w:val="auto"/>
        </w:rPr>
      </w:pPr>
    </w:p>
    <w:p>
      <w:pPr>
        <w:jc w:val="both"/>
        <w:ind w:firstLine="757"/>
        <w:spacing w:after="0" w:line="247" w:lineRule="auto"/>
        <w:tabs>
          <w:tab w:leader="none" w:pos="1018"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after the delivery and approval by Landlord of the TI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Design Drawings shall be requested and instituted in accordance with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such approval not to be unreasonably withheld, conditioned or delayed (except where Landlord would have sole discretion approval rights if the work relating to such change were an Alteration under the Lease or would delay the project schedule).</w:t>
      </w:r>
    </w:p>
    <w:p>
      <w:pPr>
        <w:spacing w:after="0" w:line="174" w:lineRule="exact"/>
        <w:rPr>
          <w:sz w:val="20"/>
          <w:szCs w:val="20"/>
          <w:color w:val="auto"/>
        </w:rPr>
      </w:pPr>
    </w:p>
    <w:p>
      <w:pPr>
        <w:jc w:val="both"/>
        <w:ind w:firstLine="757"/>
        <w:spacing w:after="0" w:line="239" w:lineRule="auto"/>
        <w:tabs>
          <w:tab w:leader="none" w:pos="1018"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Tenant's Request For Changes</w:t>
      </w:r>
      <w:r>
        <w:rPr>
          <w:rFonts w:ascii="Arial" w:cs="Arial" w:eastAsia="Arial" w:hAnsi="Arial"/>
          <w:sz w:val="18"/>
          <w:szCs w:val="18"/>
          <w:color w:val="auto"/>
        </w:rPr>
        <w:t>. If Tenant shall request changes to the Tenant Improvements ("</w:t>
      </w:r>
      <w:r>
        <w:rPr>
          <w:rFonts w:ascii="Arial" w:cs="Arial" w:eastAsia="Arial" w:hAnsi="Arial"/>
          <w:sz w:val="18"/>
          <w:szCs w:val="18"/>
          <w:b w:val="1"/>
          <w:bCs w:val="1"/>
          <w:color w:val="auto"/>
        </w:rPr>
        <w:t>Changes</w:t>
      </w:r>
      <w:r>
        <w:rPr>
          <w:rFonts w:ascii="Arial" w:cs="Arial" w:eastAsia="Arial" w:hAnsi="Arial"/>
          <w:sz w:val="18"/>
          <w:szCs w:val="18"/>
          <w:color w:val="auto"/>
        </w:rPr>
        <w:t>"),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such Changes by notifying Landlord in writing in substantially the same form as the AIA standard change order form (a "</w:t>
      </w:r>
      <w:r>
        <w:rPr>
          <w:rFonts w:ascii="Arial" w:cs="Arial" w:eastAsia="Arial" w:hAnsi="Arial"/>
          <w:sz w:val="18"/>
          <w:szCs w:val="18"/>
          <w:b w:val="1"/>
          <w:bCs w:val="1"/>
          <w:color w:val="auto"/>
        </w:rPr>
        <w:t>Change</w:t>
      </w:r>
      <w:r>
        <w:rPr>
          <w:rFonts w:ascii="Arial" w:cs="Arial" w:eastAsia="Arial" w:hAnsi="Arial"/>
          <w:sz w:val="18"/>
          <w:szCs w:val="18"/>
          <w:color w:val="auto"/>
        </w:rPr>
        <w:t xml:space="preserve"> </w:t>
      </w:r>
      <w:r>
        <w:rPr>
          <w:rFonts w:ascii="Arial" w:cs="Arial" w:eastAsia="Arial" w:hAnsi="Arial"/>
          <w:sz w:val="18"/>
          <w:szCs w:val="18"/>
          <w:b w:val="1"/>
          <w:bCs w:val="1"/>
          <w:color w:val="auto"/>
        </w:rPr>
        <w:t>Request</w:t>
      </w:r>
      <w:r>
        <w:rPr>
          <w:rFonts w:ascii="Arial" w:cs="Arial" w:eastAsia="Arial" w:hAnsi="Arial"/>
          <w:sz w:val="18"/>
          <w:szCs w:val="18"/>
          <w:color w:val="auto"/>
        </w:rPr>
        <w:t>"), which Change Request shall detail the nature and extent of any such Change. Such Change Request must be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from the TI Fund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1279525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126365</wp:posOffset>
            </wp:positionV>
            <wp:extent cx="2425700" cy="41148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7">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b w:val="1"/>
          <w:bCs w:val="1"/>
          <w:color w:val="auto"/>
        </w:rPr>
        <w:t>Exhibit 10.13</w:t>
      </w:r>
    </w:p>
    <w:p>
      <w:pPr>
        <w:spacing w:after="0" w:line="3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 Substantially Complete; provided Tenant shall be responsible for estimating its own architectural and engineering costs and delay. Any delay in the completion of Landlord's Work caused by a Change (whether longer or shorter than the estimates), including any suspension of Landlord's Work while any such Change is being evaluated and/or designed, shall be Tenant Delay. No deduction from the rentable square footage of the Premises for purposes of determination of the Base Rent payable under the Lease, which would otherwise apply under the Lease, shall be made as a result of any vertical penetrations or other modifications required by or as a part of such Change.</w:t>
      </w:r>
    </w:p>
    <w:p>
      <w:pPr>
        <w:spacing w:after="0" w:line="176" w:lineRule="exact"/>
        <w:rPr>
          <w:sz w:val="20"/>
          <w:szCs w:val="20"/>
          <w:color w:val="auto"/>
        </w:rPr>
      </w:pPr>
    </w:p>
    <w:p>
      <w:pPr>
        <w:jc w:val="both"/>
        <w:ind w:firstLine="757"/>
        <w:spacing w:after="0" w:line="244" w:lineRule="auto"/>
        <w:tabs>
          <w:tab w:leader="none" w:pos="1018"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Implementation of Changes</w:t>
      </w:r>
      <w:r>
        <w:rPr>
          <w:rFonts w:ascii="Arial" w:cs="Arial" w:eastAsia="Arial" w:hAnsi="Arial"/>
          <w:sz w:val="18"/>
          <w:szCs w:val="18"/>
          <w:color w:val="auto"/>
        </w:rPr>
        <w:t>. If Tenant: (i) approves in writing the cost or savings and the estimated extension in the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completion of Landlord's Work, if any, and (ii) deposits with Landlord any Excess TI Costs required in connection with such Change, Landlord shall cause the approved Change to be instituted. Notwithstanding any approval or disapproval by Tenant of any estimate of the delay caused by such proposed Change, the Landlord’s architect’s determination of the amount of Tenant Delay in connection with such Change shall be final and binding on Landlord and Tenant.</w:t>
      </w:r>
    </w:p>
    <w:p>
      <w:pPr>
        <w:spacing w:after="0" w:line="176" w:lineRule="exact"/>
        <w:rPr>
          <w:sz w:val="20"/>
          <w:szCs w:val="20"/>
          <w:color w:val="auto"/>
        </w:rPr>
      </w:pPr>
    </w:p>
    <w:p>
      <w:pPr>
        <w:ind w:left="1020" w:hanging="263"/>
        <w:spacing w:after="0"/>
        <w:tabs>
          <w:tab w:leader="none" w:pos="1020"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line="238" w:lineRule="auto"/>
        <w:tabs>
          <w:tab w:leader="none" w:pos="1018"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Budget For Tenant Improvements</w:t>
      </w:r>
      <w:r>
        <w:rPr>
          <w:rFonts w:ascii="Arial" w:cs="Arial" w:eastAsia="Arial" w:hAnsi="Arial"/>
          <w:sz w:val="18"/>
          <w:szCs w:val="18"/>
          <w:color w:val="auto"/>
        </w:rPr>
        <w:t>. Before the commencement of construction of the Tenant Improvements, Landlord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obtain a detailed breakdown by trade of the costs incurred or that will be incurred in connection with the design and construction of the Tenant Improvements (the "</w:t>
      </w:r>
      <w:r>
        <w:rPr>
          <w:rFonts w:ascii="Arial" w:cs="Arial" w:eastAsia="Arial" w:hAnsi="Arial"/>
          <w:sz w:val="18"/>
          <w:szCs w:val="18"/>
          <w:b w:val="1"/>
          <w:bCs w:val="1"/>
          <w:color w:val="auto"/>
        </w:rPr>
        <w:t>Budget</w:t>
      </w:r>
      <w:r>
        <w:rPr>
          <w:rFonts w:ascii="Arial" w:cs="Arial" w:eastAsia="Arial" w:hAnsi="Arial"/>
          <w:sz w:val="18"/>
          <w:szCs w:val="18"/>
          <w:color w:val="auto"/>
        </w:rPr>
        <w:t>"). The Budget shall be based upon the TI Construction Drawings approved by Landlord and Tenant and shall include a payment to Landlord of administrative rent ("</w:t>
      </w:r>
      <w:r>
        <w:rPr>
          <w:rFonts w:ascii="Arial" w:cs="Arial" w:eastAsia="Arial" w:hAnsi="Arial"/>
          <w:sz w:val="18"/>
          <w:szCs w:val="18"/>
          <w:b w:val="1"/>
          <w:bCs w:val="1"/>
          <w:color w:val="auto"/>
        </w:rPr>
        <w:t>Administrative Rent</w:t>
      </w:r>
      <w:r>
        <w:rPr>
          <w:rFonts w:ascii="Arial" w:cs="Arial" w:eastAsia="Arial" w:hAnsi="Arial"/>
          <w:sz w:val="18"/>
          <w:szCs w:val="18"/>
          <w:color w:val="auto"/>
        </w:rPr>
        <w:t xml:space="preserve">") equal to 3% of the total hard and soft costs of the Tenant Improvements and Changes for monitoring and inspecting the construction of the Tenant Improvements and Changes, which sum shall be payable from the TI Fund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In addition, Administrative Rent also shall include, without limitation, all reasonable and actual out-of-pocket costs, expenses and fees incurred by or on behalf of Landlord arising from, out of, or in connection with monitoring the construction of the Tenant Improvements and Changes, and shall be payable out of the TI Fund. If the Budget is greater than the TI Allowance, Tenant shall deposit with Landlord the difference, in cash, prior to the commencement of construction of the Tenant Improvements or Changes, for disbursement by Landlord as described in </w:t>
      </w:r>
      <w:r>
        <w:rPr>
          <w:rFonts w:ascii="Arial" w:cs="Arial" w:eastAsia="Arial" w:hAnsi="Arial"/>
          <w:sz w:val="18"/>
          <w:szCs w:val="18"/>
          <w:u w:val="single" w:color="auto"/>
          <w:color w:val="auto"/>
        </w:rPr>
        <w:t>Section 5(d)</w:t>
      </w:r>
      <w:r>
        <w:rPr>
          <w:rFonts w:ascii="Arial" w:cs="Arial" w:eastAsia="Arial" w:hAnsi="Arial"/>
          <w:sz w:val="18"/>
          <w:szCs w:val="18"/>
          <w:color w:val="auto"/>
        </w:rPr>
        <w:t>. Any and all costs to inspect, monitor, supervise, remediate, contain or encapsulate any Hazardous Materials as part of Landlord’s Work shall be paid at Landlord’s sole cost and expense.</w:t>
      </w:r>
    </w:p>
    <w:p>
      <w:pPr>
        <w:spacing w:after="0" w:line="185" w:lineRule="exact"/>
        <w:rPr>
          <w:rFonts w:ascii="Arial" w:cs="Arial" w:eastAsia="Arial" w:hAnsi="Arial"/>
          <w:sz w:val="18"/>
          <w:szCs w:val="18"/>
          <w:color w:val="auto"/>
        </w:rPr>
      </w:pPr>
    </w:p>
    <w:p>
      <w:pPr>
        <w:ind w:left="1020" w:hanging="263"/>
        <w:spacing w:after="0"/>
        <w:tabs>
          <w:tab w:leader="none" w:pos="1020"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TI Allowance</w:t>
      </w:r>
      <w:r>
        <w:rPr>
          <w:rFonts w:ascii="Arial" w:cs="Arial" w:eastAsia="Arial" w:hAnsi="Arial"/>
          <w:sz w:val="18"/>
          <w:szCs w:val="18"/>
          <w:color w:val="auto"/>
        </w:rPr>
        <w:t>. Landlord shall provide to Tenant a tenant improvement allowance (collectively, the "</w:t>
      </w:r>
      <w:r>
        <w:rPr>
          <w:rFonts w:ascii="Arial" w:cs="Arial" w:eastAsia="Arial" w:hAnsi="Arial"/>
          <w:sz w:val="18"/>
          <w:szCs w:val="18"/>
          <w:b w:val="1"/>
          <w:bCs w:val="1"/>
          <w:color w:val="auto"/>
        </w:rPr>
        <w:t>TI Allowance</w:t>
      </w:r>
      <w:r>
        <w:rPr>
          <w:rFonts w:ascii="Arial" w:cs="Arial" w:eastAsia="Arial" w:hAnsi="Arial"/>
          <w:sz w:val="18"/>
          <w:szCs w:val="18"/>
          <w:color w:val="auto"/>
        </w:rPr>
        <w:t>") as follows:</w:t>
      </w:r>
    </w:p>
    <w:p>
      <w:pPr>
        <w:spacing w:after="0" w:line="211" w:lineRule="exact"/>
        <w:rPr>
          <w:rFonts w:ascii="Arial" w:cs="Arial" w:eastAsia="Arial" w:hAnsi="Arial"/>
          <w:sz w:val="18"/>
          <w:szCs w:val="18"/>
          <w:color w:val="auto"/>
        </w:rPr>
      </w:pPr>
    </w:p>
    <w:p>
      <w:pPr>
        <w:jc w:val="both"/>
        <w:ind w:left="760" w:firstLine="745"/>
        <w:spacing w:after="0" w:line="253" w:lineRule="auto"/>
        <w:tabs>
          <w:tab w:leader="none" w:pos="204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Tenant Improvement Allowance</w:t>
      </w:r>
      <w:r>
        <w:rPr>
          <w:rFonts w:ascii="Arial" w:cs="Arial" w:eastAsia="Arial" w:hAnsi="Arial"/>
          <w:sz w:val="18"/>
          <w:szCs w:val="18"/>
          <w:color w:val="auto"/>
        </w:rPr>
        <w:t>” in the maximum amount of $200.00 per rentable square foot of the Premises, being $20,124,800 in the aggregate (subject to adjustment as set forth in the definition of Rentable Area of Premises), which is included in the Base Rent set forth in the Lease; and</w:t>
      </w:r>
    </w:p>
    <w:p>
      <w:pPr>
        <w:spacing w:after="0" w:line="168" w:lineRule="exact"/>
        <w:rPr>
          <w:rFonts w:ascii="Arial" w:cs="Arial" w:eastAsia="Arial" w:hAnsi="Arial"/>
          <w:sz w:val="18"/>
          <w:szCs w:val="18"/>
          <w:color w:val="auto"/>
        </w:rPr>
      </w:pPr>
    </w:p>
    <w:p>
      <w:pPr>
        <w:jc w:val="both"/>
        <w:ind w:left="760" w:firstLine="745"/>
        <w:spacing w:after="0" w:line="253" w:lineRule="auto"/>
        <w:tabs>
          <w:tab w:leader="none" w:pos="204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Supplemental Tenant Improvement Allowance</w:t>
      </w:r>
      <w:r>
        <w:rPr>
          <w:rFonts w:ascii="Arial" w:cs="Arial" w:eastAsia="Arial" w:hAnsi="Arial"/>
          <w:sz w:val="18"/>
          <w:szCs w:val="18"/>
          <w:color w:val="auto"/>
        </w:rPr>
        <w:t>” in the maximum amount of $50.00 per rentable square foot of the Premises, being $5,031,200 in the aggregate, which shall, to the extent used (subject to adjustment as set forth in the definition of Rentable Area of Premises), result in the adjustment to the Base Rent as set forth in the Lease.</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Before Landlord commences Landlord’s Work, Tenant shall notify Landlord in writing whether and how much of the Supplemental Tenant Improvement Allowance Tenant has elected to receive from Landlord. Such election shall be final and binding on Tenant, and may not thereafter be modified without Landlord’s consent, which may be granted or withheld in Landlord’s sole and absolute discretion. The TI Allowance shall be disbursed in accordance with this Work Letter. Any unused portion of the TI Allowance shall be forfeited and shall cease to be available to Tenant after a period of 18 months following the Commencement Date. Tenant shall have the right to use and apply the TI Allowance only toward hard and soft construction costs of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including, but not limited to, any architectural and engineering fees, design, permits, electrical power and other utilities, the cost of preparing the TI Design Drawings and the TI Construction Drawings, costs resulting from Tenant Delays and the cost of Changes, costs set forth in the Budget, including Landlord's Administrative Rent, and Landlord's out-of-pocket expenses (collectively, "</w:t>
      </w:r>
      <w:r>
        <w:rPr>
          <w:rFonts w:ascii="Arial" w:cs="Arial" w:eastAsia="Arial" w:hAnsi="Arial"/>
          <w:sz w:val="18"/>
          <w:szCs w:val="18"/>
          <w:b w:val="1"/>
          <w:bCs w:val="1"/>
          <w:color w:val="auto"/>
        </w:rPr>
        <w:t>TI</w:t>
      </w:r>
      <w:r>
        <w:rPr>
          <w:rFonts w:ascii="Arial" w:cs="Arial" w:eastAsia="Arial" w:hAnsi="Arial"/>
          <w:sz w:val="18"/>
          <w:szCs w:val="18"/>
          <w:color w:val="auto"/>
        </w:rPr>
        <w:t xml:space="preserve"> </w:t>
      </w:r>
      <w:r>
        <w:rPr>
          <w:rFonts w:ascii="Arial" w:cs="Arial" w:eastAsia="Arial" w:hAnsi="Arial"/>
          <w:sz w:val="18"/>
          <w:szCs w:val="18"/>
          <w:b w:val="1"/>
          <w:bCs w:val="1"/>
          <w:color w:val="auto"/>
        </w:rPr>
        <w:t>Costs</w:t>
      </w:r>
      <w:r>
        <w:rPr>
          <w:rFonts w:ascii="Arial" w:cs="Arial" w:eastAsia="Arial" w:hAnsi="Arial"/>
          <w:sz w:val="18"/>
          <w:szCs w:val="18"/>
          <w:color w:val="auto"/>
        </w:rPr>
        <w:t>"); provided, however, Tenant shall have no right to the use or benefit of any portion of the TI Allowance for any other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reduction or payment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1283335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129540</wp:posOffset>
            </wp:positionV>
            <wp:extent cx="2425700" cy="41148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9">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7" w:name="page388"/>
    <w:bookmarkEnd w:id="387"/>
    <w:p>
      <w:pPr>
        <w:ind w:left="10140"/>
        <w:spacing w:after="0"/>
        <w:rPr>
          <w:sz w:val="20"/>
          <w:szCs w:val="20"/>
          <w:color w:val="auto"/>
        </w:rPr>
      </w:pPr>
      <w:r>
        <w:rPr>
          <w:rFonts w:ascii="Arial" w:cs="Arial" w:eastAsia="Arial" w:hAnsi="Arial"/>
          <w:sz w:val="17"/>
          <w:szCs w:val="17"/>
          <w:b w:val="1"/>
          <w:bCs w:val="1"/>
          <w:color w:val="auto"/>
        </w:rPr>
        <w:t>Exhibit 10.13</w:t>
      </w:r>
    </w:p>
    <w:p>
      <w:pPr>
        <w:spacing w:after="0" w:line="3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Base Rent, the cost of any personal property or other non-Building system materials or equipment, including, but not limited to, non-ducted biological safety cabinets and other scientific equipment not incorporated into the Tenant Improvements).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TI Allowance, Tenant shall be entitled to an allowance of $0.12 per rentable square foot of the Premises, being $12,074.88 in the aggregate (the “</w:t>
      </w:r>
      <w:r>
        <w:rPr>
          <w:rFonts w:ascii="Arial" w:cs="Arial" w:eastAsia="Arial" w:hAnsi="Arial"/>
          <w:sz w:val="18"/>
          <w:szCs w:val="18"/>
          <w:b w:val="1"/>
          <w:bCs w:val="1"/>
          <w:color w:val="auto"/>
        </w:rPr>
        <w:t>Space Planning Allowance</w:t>
      </w:r>
      <w:r>
        <w:rPr>
          <w:rFonts w:ascii="Arial" w:cs="Arial" w:eastAsia="Arial" w:hAnsi="Arial"/>
          <w:sz w:val="18"/>
          <w:szCs w:val="18"/>
          <w:color w:val="auto"/>
        </w:rPr>
        <w:t>”) to be used and applied only for the costs and expenses of preparing the TI Design Drawings. Following completion and approval of the TI Design Drawings and receipt by Landlord receipts evidencing payment by Tenant to the architect for the TI Design Drawings and such other certificates or materials as Landlord may reasonably require, Landlord will reimburse to Tenant the lesser of the amount of such paid receipts or the unused amount of the Space Planning Allowance. As of the date of the Lease, Tenant acknowledges that Landlord has disbursed the entire Space Planning Allowance to Tenant and has no further obligation hereunder.</w:t>
      </w:r>
    </w:p>
    <w:p>
      <w:pPr>
        <w:spacing w:after="0" w:line="392" w:lineRule="exact"/>
        <w:rPr>
          <w:sz w:val="20"/>
          <w:szCs w:val="20"/>
          <w:color w:val="auto"/>
        </w:rPr>
      </w:pPr>
    </w:p>
    <w:p>
      <w:pPr>
        <w:ind w:left="1020" w:hanging="263"/>
        <w:spacing w:after="0"/>
        <w:tabs>
          <w:tab w:leader="none" w:pos="102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 xml:space="preserve">Costs Includable in TI Fund. </w:t>
      </w:r>
      <w:r>
        <w:rPr>
          <w:rFonts w:ascii="Arial" w:cs="Arial" w:eastAsia="Arial" w:hAnsi="Arial"/>
          <w:sz w:val="18"/>
          <w:szCs w:val="18"/>
          <w:color w:val="auto"/>
        </w:rPr>
        <w:t>The TI Fund shall be used solely for the payment of TI Costs.</w:t>
      </w:r>
    </w:p>
    <w:p>
      <w:pPr>
        <w:spacing w:after="0" w:line="211" w:lineRule="exact"/>
        <w:rPr>
          <w:rFonts w:ascii="Arial" w:cs="Arial" w:eastAsia="Arial" w:hAnsi="Arial"/>
          <w:sz w:val="18"/>
          <w:szCs w:val="18"/>
          <w:color w:val="auto"/>
        </w:rPr>
      </w:pPr>
    </w:p>
    <w:p>
      <w:pPr>
        <w:jc w:val="both"/>
        <w:ind w:firstLine="757"/>
        <w:spacing w:after="0" w:line="237" w:lineRule="auto"/>
        <w:tabs>
          <w:tab w:leader="none" w:pos="1018"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Excess TI Costs</w:t>
      </w:r>
      <w:r>
        <w:rPr>
          <w:rFonts w:ascii="Arial" w:cs="Arial" w:eastAsia="Arial" w:hAnsi="Arial"/>
          <w:sz w:val="18"/>
          <w:szCs w:val="18"/>
          <w:color w:val="auto"/>
        </w:rPr>
        <w:t>. Landlord shall have no obligation to bear any portion of the cost of any of the Tenant Improvements except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of the TI Allowance. If at any time the remaining TI Costs under the Budget exceed the remaining unexpended TI Allowance, Tenant shall be responsible for 100% of the TI Costs in excess of the TI Allowance ("</w:t>
      </w:r>
      <w:r>
        <w:rPr>
          <w:rFonts w:ascii="Arial" w:cs="Arial" w:eastAsia="Arial" w:hAnsi="Arial"/>
          <w:sz w:val="18"/>
          <w:szCs w:val="18"/>
          <w:b w:val="1"/>
          <w:bCs w:val="1"/>
          <w:color w:val="auto"/>
        </w:rPr>
        <w:t>Excess TI Costs</w:t>
      </w:r>
      <w:r>
        <w:rPr>
          <w:rFonts w:ascii="Arial" w:cs="Arial" w:eastAsia="Arial" w:hAnsi="Arial"/>
          <w:sz w:val="18"/>
          <w:szCs w:val="18"/>
          <w:color w:val="auto"/>
        </w:rPr>
        <w:t>") as set forth below. In connection with each of Landlord’s payments to the general contractor or others for the Tenant Improvements, Tenant shall promptly (but in no event later than 10 business days after requisition from Landlord) pay Landlord for the portion of such payment attributable to Excess TI Costs, being the amount of such payment multiplied by a fraction, the numerator of which is the total remaining Excess TI Costs and the denominator of which is the total remaining TI Allowance. If Tenant fails to timely pay Landlord any installment of any Excess TI Costs,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The TI Allowance and Excess TI Costs are herein referred to as the "</w:t>
      </w:r>
      <w:r>
        <w:rPr>
          <w:rFonts w:ascii="Arial" w:cs="Arial" w:eastAsia="Arial" w:hAnsi="Arial"/>
          <w:sz w:val="18"/>
          <w:szCs w:val="18"/>
          <w:b w:val="1"/>
          <w:bCs w:val="1"/>
          <w:color w:val="auto"/>
        </w:rPr>
        <w:t>TI Fund</w:t>
      </w:r>
      <w:r>
        <w:rPr>
          <w:rFonts w:ascii="Arial" w:cs="Arial" w:eastAsia="Arial" w:hAnsi="Arial"/>
          <w:sz w:val="18"/>
          <w:szCs w:val="18"/>
          <w:color w:val="auto"/>
        </w:rPr>
        <w:t xml:space="preserve">." Installments of funds due and deposited by Tenant shall be the first disbursed to pay Excess TI Costs. Notwithstanding anything to the contrary set forth in this </w:t>
      </w:r>
      <w:r>
        <w:rPr>
          <w:rFonts w:ascii="Arial" w:cs="Arial" w:eastAsia="Arial" w:hAnsi="Arial"/>
          <w:sz w:val="18"/>
          <w:szCs w:val="18"/>
          <w:u w:val="single" w:color="auto"/>
          <w:color w:val="auto"/>
        </w:rPr>
        <w:t>Section 5(d)</w:t>
      </w:r>
      <w:r>
        <w:rPr>
          <w:rFonts w:ascii="Arial" w:cs="Arial" w:eastAsia="Arial" w:hAnsi="Arial"/>
          <w:sz w:val="18"/>
          <w:szCs w:val="18"/>
          <w:color w:val="auto"/>
        </w:rPr>
        <w:t>, Tenant shall be fully and solely liable for TI Costs and the cost of Minor Variations in excess of the TI Allowance. If upon completion of the Tenant Improvements and the payment of all sums due in connection therewith there remains any undisbursed portion of the TI Fund, then Tenant shall be entitled to such undisbursed TI Fund solely to the extent of any Excess TI Costs deposit Tenant has actually made with Landlord.</w:t>
      </w:r>
    </w:p>
    <w:p>
      <w:pPr>
        <w:spacing w:after="0" w:line="188" w:lineRule="exact"/>
        <w:rPr>
          <w:sz w:val="20"/>
          <w:szCs w:val="20"/>
          <w:color w:val="auto"/>
        </w:rPr>
      </w:pPr>
    </w:p>
    <w:p>
      <w:pPr>
        <w:ind w:left="1020" w:hanging="263"/>
        <w:spacing w:after="0"/>
        <w:tabs>
          <w:tab w:leader="none" w:pos="102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Tenant Access</w:t>
      </w:r>
      <w:r>
        <w:rPr>
          <w:rFonts w:ascii="Arial" w:cs="Arial" w:eastAsia="Arial" w:hAnsi="Arial"/>
          <w:sz w:val="18"/>
          <w:szCs w:val="18"/>
          <w:color w:val="auto"/>
        </w:rPr>
        <w:t>.</w:t>
      </w:r>
    </w:p>
    <w:p>
      <w:pPr>
        <w:spacing w:after="0" w:line="212" w:lineRule="exact"/>
        <w:rPr>
          <w:sz w:val="20"/>
          <w:szCs w:val="20"/>
          <w:color w:val="auto"/>
        </w:rPr>
      </w:pPr>
    </w:p>
    <w:p>
      <w:pPr>
        <w:ind w:left="1020" w:hanging="263"/>
        <w:spacing w:after="0"/>
        <w:tabs>
          <w:tab w:leader="none" w:pos="1020" w:val="left"/>
        </w:tabs>
        <w:numPr>
          <w:ilvl w:val="1"/>
          <w:numId w:val="288"/>
        </w:numPr>
        <w:rPr>
          <w:rFonts w:ascii="Arial" w:cs="Arial" w:eastAsia="Arial" w:hAnsi="Arial"/>
          <w:sz w:val="18"/>
          <w:szCs w:val="18"/>
          <w:color w:val="auto"/>
        </w:rPr>
      </w:pPr>
      <w:r>
        <w:rPr>
          <w:rFonts w:ascii="Arial" w:cs="Arial" w:eastAsia="Arial" w:hAnsi="Arial"/>
          <w:sz w:val="18"/>
          <w:szCs w:val="18"/>
          <w:b w:val="1"/>
          <w:bCs w:val="1"/>
          <w:color w:val="auto"/>
        </w:rPr>
        <w:t>Tenant's Access Rights</w:t>
      </w:r>
      <w:r>
        <w:rPr>
          <w:rFonts w:ascii="Arial" w:cs="Arial" w:eastAsia="Arial" w:hAnsi="Arial"/>
          <w:sz w:val="18"/>
          <w:szCs w:val="18"/>
          <w:color w:val="auto"/>
        </w:rPr>
        <w:t>.  Landlord hereby agrees to permit Tenant access, at Tenant's sole risk and expense, to the Building</w:t>
      </w:r>
    </w:p>
    <w:p>
      <w:pPr>
        <w:spacing w:after="0" w:line="13" w:lineRule="exact"/>
        <w:rPr>
          <w:rFonts w:ascii="Arial" w:cs="Arial" w:eastAsia="Arial" w:hAnsi="Arial"/>
          <w:sz w:val="18"/>
          <w:szCs w:val="18"/>
          <w:color w:val="auto"/>
        </w:rPr>
      </w:pPr>
    </w:p>
    <w:p>
      <w:pPr>
        <w:jc w:val="both"/>
        <w:ind w:firstLine="8"/>
        <w:spacing w:after="0" w:line="237" w:lineRule="auto"/>
        <w:tabs>
          <w:tab w:leader="none" w:pos="22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advance of the Commencement Date as indicated on Landlord’s project schedule to perform any work ("</w:t>
      </w:r>
      <w:r>
        <w:rPr>
          <w:rFonts w:ascii="Arial" w:cs="Arial" w:eastAsia="Arial" w:hAnsi="Arial"/>
          <w:sz w:val="18"/>
          <w:szCs w:val="18"/>
          <w:b w:val="1"/>
          <w:bCs w:val="1"/>
          <w:color w:val="auto"/>
        </w:rPr>
        <w:t>Tenant's Work</w:t>
      </w:r>
      <w:r>
        <w:rPr>
          <w:rFonts w:ascii="Arial" w:cs="Arial" w:eastAsia="Arial" w:hAnsi="Arial"/>
          <w:sz w:val="18"/>
          <w:szCs w:val="18"/>
          <w:color w:val="auto"/>
        </w:rPr>
        <w:t>") required by Tenant other than Landlord's Work, provided that such Tenant's Work is coordinated with the TI Architect and the general contractor, and complies with the Lease and all other reasonable restrictions and conditions Landlord may impose, and (ii) prior to the completion of Landlord's Work, to inspect and observe work in process; all such access shall be during normal business hours or at such other times as are reasonably designated by Landlord. Notwithstanding the foregoing, Tenant shall have no right to enter onto the Premises or the Project unless and until Tenant shall deliver to Landlord evidence reasonably satisfactory to Landlord demonstrating that any insurance reasonably required by Landlord in connection with such pre-commencement access (including, but not limited to, any insurance that Landlord may require pursuant to the Lease) is in full force and effect. Any entry by Tenant shall comply with all established safety practices of Landlord's contractor and Landlord until completion of Landlord's Work and acceptance thereof by Tenant.</w:t>
      </w:r>
    </w:p>
    <w:p>
      <w:pPr>
        <w:spacing w:after="0" w:line="180" w:lineRule="exact"/>
        <w:rPr>
          <w:rFonts w:ascii="Arial" w:cs="Arial" w:eastAsia="Arial" w:hAnsi="Arial"/>
          <w:sz w:val="18"/>
          <w:szCs w:val="18"/>
          <w:color w:val="auto"/>
        </w:rPr>
      </w:pPr>
    </w:p>
    <w:p>
      <w:pPr>
        <w:jc w:val="both"/>
        <w:ind w:firstLine="757"/>
        <w:spacing w:after="0" w:line="247" w:lineRule="auto"/>
        <w:tabs>
          <w:tab w:leader="none" w:pos="1018" w:val="left"/>
        </w:tabs>
        <w:numPr>
          <w:ilvl w:val="1"/>
          <w:numId w:val="289"/>
        </w:numPr>
        <w:rPr>
          <w:rFonts w:ascii="Arial" w:cs="Arial" w:eastAsia="Arial" w:hAnsi="Arial"/>
          <w:sz w:val="18"/>
          <w:szCs w:val="18"/>
          <w:color w:val="auto"/>
        </w:rPr>
      </w:pPr>
      <w:r>
        <w:rPr>
          <w:rFonts w:ascii="Arial" w:cs="Arial" w:eastAsia="Arial" w:hAnsi="Arial"/>
          <w:sz w:val="18"/>
          <w:szCs w:val="18"/>
          <w:b w:val="1"/>
          <w:bCs w:val="1"/>
          <w:color w:val="auto"/>
        </w:rPr>
        <w:t>No Interference</w:t>
      </w:r>
      <w:r>
        <w:rPr>
          <w:rFonts w:ascii="Arial" w:cs="Arial" w:eastAsia="Arial" w:hAnsi="Arial"/>
          <w:sz w:val="18"/>
          <w:szCs w:val="18"/>
          <w:color w:val="auto"/>
        </w:rPr>
        <w:t>. Neither Tenant nor any Tenant Party (as defined in the Lease) shall interfere with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Work, nor with any inspections or issuance of final approvals by applicable Governmental Authorities, and upon any such interference, Landlord shall have the right to exclude Tenant and any Tenant Party from the Premises and the Project until Substantial Completion of Landlord's Work.</w:t>
      </w:r>
    </w:p>
    <w:p>
      <w:pPr>
        <w:spacing w:after="0" w:line="173" w:lineRule="exact"/>
        <w:rPr>
          <w:rFonts w:ascii="Arial" w:cs="Arial" w:eastAsia="Arial" w:hAnsi="Arial"/>
          <w:sz w:val="18"/>
          <w:szCs w:val="18"/>
          <w:color w:val="auto"/>
        </w:rPr>
      </w:pPr>
    </w:p>
    <w:p>
      <w:pPr>
        <w:ind w:firstLine="757"/>
        <w:spacing w:after="0" w:line="271" w:lineRule="auto"/>
        <w:tabs>
          <w:tab w:leader="none" w:pos="1018" w:val="left"/>
        </w:tabs>
        <w:numPr>
          <w:ilvl w:val="1"/>
          <w:numId w:val="289"/>
        </w:numPr>
        <w:rPr>
          <w:rFonts w:ascii="Arial" w:cs="Arial" w:eastAsia="Arial" w:hAnsi="Arial"/>
          <w:sz w:val="18"/>
          <w:szCs w:val="18"/>
          <w:color w:val="auto"/>
        </w:rPr>
      </w:pPr>
      <w:r>
        <w:rPr>
          <w:rFonts w:ascii="Arial" w:cs="Arial" w:eastAsia="Arial" w:hAnsi="Arial"/>
          <w:sz w:val="18"/>
          <w:szCs w:val="18"/>
          <w:b w:val="1"/>
          <w:bCs w:val="1"/>
          <w:color w:val="auto"/>
        </w:rPr>
        <w:t>No Acceptance of Premises</w:t>
      </w:r>
      <w:r>
        <w:rPr>
          <w:rFonts w:ascii="Arial" w:cs="Arial" w:eastAsia="Arial" w:hAnsi="Arial"/>
          <w:sz w:val="18"/>
          <w:szCs w:val="18"/>
          <w:color w:val="auto"/>
        </w:rPr>
        <w:t>. The fact that Tenant may, with Landlord's consent, enter into the Project prior to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Work is Substantially Complete for the purpose of performing Tenant's Work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1262380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109220</wp:posOffset>
            </wp:positionV>
            <wp:extent cx="2425700" cy="41148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1">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b w:val="1"/>
          <w:bCs w:val="1"/>
          <w:color w:val="auto"/>
        </w:rPr>
        <w:t>Exhibit 10.13</w:t>
      </w:r>
    </w:p>
    <w:p>
      <w:pPr>
        <w:spacing w:after="0" w:line="3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deemed an acceptance by Tenant of possession of the Premises, but in such event Tenant shall defend with counsel reasonably acceptable by Landlord, indemnify and hold Landlord harmless from and against any loss of or damage to Tenant's property, completed work, fixtures, equipment, materials or merchandise, and from liability for death of, or injury to, any person, caused by the act or omission of Tenant or any Tenant Party.</w:t>
      </w:r>
    </w:p>
    <w:p>
      <w:pPr>
        <w:spacing w:after="0" w:line="174" w:lineRule="exact"/>
        <w:rPr>
          <w:sz w:val="20"/>
          <w:szCs w:val="20"/>
          <w:color w:val="auto"/>
        </w:rPr>
      </w:pPr>
    </w:p>
    <w:p>
      <w:pPr>
        <w:ind w:left="1020" w:hanging="263"/>
        <w:spacing w:after="0"/>
        <w:tabs>
          <w:tab w:leader="none" w:pos="1020"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12" w:lineRule="exact"/>
        <w:rPr>
          <w:sz w:val="20"/>
          <w:szCs w:val="20"/>
          <w:color w:val="auto"/>
        </w:rPr>
      </w:pPr>
    </w:p>
    <w:p>
      <w:pPr>
        <w:jc w:val="both"/>
        <w:ind w:firstLine="757"/>
        <w:spacing w:after="0" w:line="253" w:lineRule="auto"/>
        <w:tabs>
          <w:tab w:leader="none" w:pos="1018"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Miscellaneous Charges</w:t>
      </w:r>
      <w:r>
        <w:rPr>
          <w:rFonts w:ascii="Arial" w:cs="Arial" w:eastAsia="Arial" w:hAnsi="Arial"/>
          <w:sz w:val="18"/>
          <w:szCs w:val="18"/>
          <w:color w:val="auto"/>
        </w:rPr>
        <w:t>. Tenant shall not be charged for freight elevators, security, access to loading docks, parking, utilities,</w:t>
      </w:r>
      <w:r>
        <w:rPr>
          <w:rFonts w:ascii="Arial" w:cs="Arial" w:eastAsia="Arial" w:hAnsi="Arial"/>
          <w:sz w:val="18"/>
          <w:szCs w:val="18"/>
          <w:b w:val="1"/>
          <w:bCs w:val="1"/>
          <w:color w:val="auto"/>
        </w:rPr>
        <w:t xml:space="preserve"> </w:t>
      </w:r>
      <w:r>
        <w:rPr>
          <w:rFonts w:ascii="Arial" w:cs="Arial" w:eastAsia="Arial" w:hAnsi="Arial"/>
          <w:sz w:val="18"/>
          <w:szCs w:val="18"/>
          <w:color w:val="auto"/>
        </w:rPr>
        <w:t>or temporary HVAC during construction of the Tenant Improvements or Tenant’s move into the Building, provided that said activities occur during normal Building hours.</w:t>
      </w:r>
    </w:p>
    <w:p>
      <w:pPr>
        <w:spacing w:after="0" w:line="168" w:lineRule="exact"/>
        <w:rPr>
          <w:rFonts w:ascii="Arial" w:cs="Arial" w:eastAsia="Arial" w:hAnsi="Arial"/>
          <w:sz w:val="18"/>
          <w:szCs w:val="18"/>
          <w:color w:val="auto"/>
        </w:rPr>
      </w:pPr>
    </w:p>
    <w:p>
      <w:pPr>
        <w:ind w:firstLine="757"/>
        <w:spacing w:after="0" w:line="271" w:lineRule="auto"/>
        <w:tabs>
          <w:tab w:leader="none" w:pos="1018"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Work Letter, that party shall not unreasonably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condition or delay such consent or approval, unless expressly set forth herein to the contrary.</w:t>
      </w:r>
    </w:p>
    <w:p>
      <w:pPr>
        <w:spacing w:after="0" w:line="153" w:lineRule="exact"/>
        <w:rPr>
          <w:rFonts w:ascii="Arial" w:cs="Arial" w:eastAsia="Arial" w:hAnsi="Arial"/>
          <w:sz w:val="18"/>
          <w:szCs w:val="18"/>
          <w:color w:val="auto"/>
        </w:rPr>
      </w:pPr>
    </w:p>
    <w:p>
      <w:pPr>
        <w:ind w:firstLine="757"/>
        <w:spacing w:after="0" w:line="271" w:lineRule="auto"/>
        <w:tabs>
          <w:tab w:leader="none" w:pos="1018"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Work Letter or of any of its conditions or provisions shall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Landlord or Tenant unless in writing signed by Landlord and Tenant.</w:t>
      </w:r>
    </w:p>
    <w:p>
      <w:pPr>
        <w:spacing w:after="0" w:line="153" w:lineRule="exact"/>
        <w:rPr>
          <w:rFonts w:ascii="Arial" w:cs="Arial" w:eastAsia="Arial" w:hAnsi="Arial"/>
          <w:sz w:val="18"/>
          <w:szCs w:val="18"/>
          <w:color w:val="auto"/>
        </w:rPr>
      </w:pPr>
    </w:p>
    <w:p>
      <w:pPr>
        <w:ind w:firstLine="757"/>
        <w:spacing w:after="0" w:line="271" w:lineRule="auto"/>
        <w:tabs>
          <w:tab w:leader="none" w:pos="1018"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No Default Funding</w:t>
      </w:r>
      <w:r>
        <w:rPr>
          <w:rFonts w:ascii="Arial" w:cs="Arial" w:eastAsia="Arial" w:hAnsi="Arial"/>
          <w:sz w:val="18"/>
          <w:szCs w:val="18"/>
          <w:color w:val="auto"/>
        </w:rPr>
        <w:t>. In no event shall Landlord have any obligation to fund any portion of the TI Allowance or to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Work during any period that Tenant is in Default under the Lease.</w:t>
      </w:r>
    </w:p>
    <w:p>
      <w:pPr>
        <w:spacing w:after="0" w:line="156" w:lineRule="exact"/>
        <w:rPr>
          <w:sz w:val="20"/>
          <w:szCs w:val="20"/>
          <w:color w:val="auto"/>
        </w:rPr>
      </w:pPr>
    </w:p>
    <w:p>
      <w:pPr>
        <w:ind w:left="4800"/>
        <w:spacing w:after="0"/>
        <w:rPr>
          <w:sz w:val="20"/>
          <w:szCs w:val="20"/>
          <w:color w:val="auto"/>
        </w:rPr>
      </w:pPr>
      <w:r>
        <w:rPr>
          <w:rFonts w:ascii="Arial" w:cs="Arial" w:eastAsia="Arial" w:hAnsi="Arial"/>
          <w:sz w:val="18"/>
          <w:szCs w:val="18"/>
          <w:i w:val="1"/>
          <w:iCs w:val="1"/>
          <w:color w:val="auto"/>
        </w:rPr>
        <w:t>[Remainder of page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282575</wp:posOffset>
            </wp:positionV>
            <wp:extent cx="2425700" cy="41148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3">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b w:val="1"/>
          <w:bCs w:val="1"/>
          <w:color w:val="auto"/>
        </w:rPr>
        <w:t>Exhibit 10.13</w:t>
      </w:r>
    </w:p>
    <w:p>
      <w:pPr>
        <w:spacing w:after="0" w:line="306"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SCHEDULE 1</w:t>
      </w:r>
    </w:p>
    <w:p>
      <w:pPr>
        <w:spacing w:after="0" w:line="212" w:lineRule="exact"/>
        <w:rPr>
          <w:sz w:val="20"/>
          <w:szCs w:val="20"/>
          <w:color w:val="auto"/>
        </w:rPr>
      </w:pPr>
    </w:p>
    <w:p>
      <w:pPr>
        <w:ind w:left="4800"/>
        <w:spacing w:after="0"/>
        <w:rPr>
          <w:sz w:val="20"/>
          <w:szCs w:val="20"/>
          <w:color w:val="auto"/>
        </w:rPr>
      </w:pPr>
      <w:r>
        <w:rPr>
          <w:rFonts w:ascii="Arial" w:cs="Arial" w:eastAsia="Arial" w:hAnsi="Arial"/>
          <w:sz w:val="18"/>
          <w:szCs w:val="18"/>
          <w:u w:val="single" w:color="auto"/>
          <w:color w:val="auto"/>
        </w:rPr>
        <w:t>Approved TI Design Drawings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AOTC Building 1, 2nd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5349240" cy="282892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4">
                      <a:extLst>
                        <a:ext uri="{28A0092B-C50C-407E-A947-70E740481C1C}"/>
                      </a:extLst>
                    </a:blip>
                    <a:srcRect/>
                    <a:stretch>
                      <a:fillRect/>
                    </a:stretch>
                  </pic:blipFill>
                  <pic:spPr bwMode="auto">
                    <a:xfrm>
                      <a:off x="0" y="0"/>
                      <a:ext cx="53492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AOTC Building 1, 3rd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5349240" cy="30429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5">
                      <a:extLst>
                        <a:ext uri="{28A0092B-C50C-407E-A947-70E740481C1C}"/>
                      </a:extLst>
                    </a:blip>
                    <a:srcRect/>
                    <a:stretch>
                      <a:fillRect/>
                    </a:stretch>
                  </pic:blipFill>
                  <pic:spPr bwMode="auto">
                    <a:xfrm>
                      <a:off x="0" y="0"/>
                      <a:ext cx="534924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AOTC Building 1, 4th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8890</wp:posOffset>
            </wp:positionV>
            <wp:extent cx="2425700" cy="41148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7">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0" w:name="page391"/>
    <w:bookmarkEnd w:id="390"/>
    <w:p>
      <w:pPr>
        <w:ind w:left="9020"/>
        <w:spacing w:after="0"/>
        <w:rPr>
          <w:sz w:val="20"/>
          <w:szCs w:val="20"/>
          <w:color w:val="auto"/>
        </w:rPr>
      </w:pPr>
      <w:r>
        <w:rPr>
          <w:rFonts w:ascii="Arial" w:cs="Arial" w:eastAsia="Arial" w:hAnsi="Arial"/>
          <w:sz w:val="17"/>
          <w:szCs w:val="17"/>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4735830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213360</wp:posOffset>
            </wp:positionV>
            <wp:extent cx="5349240" cy="37807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9">
                      <a:extLst>
                        <a:ext uri="{28A0092B-C50C-407E-A947-70E740481C1C}"/>
                      </a:extLst>
                    </a:blip>
                    <a:srcRect/>
                    <a:stretch>
                      <a:fillRect/>
                    </a:stretch>
                  </pic:blipFill>
                  <pic:spPr bwMode="auto">
                    <a:xfrm>
                      <a:off x="0" y="0"/>
                      <a:ext cx="5349240" cy="3780790"/>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391" w:name="page392"/>
    <w:bookmarkEnd w:id="391"/>
    <w:p>
      <w:pPr>
        <w:jc w:val="right"/>
        <w:spacing w:after="0"/>
        <w:rPr>
          <w:sz w:val="20"/>
          <w:szCs w:val="20"/>
          <w:color w:val="auto"/>
        </w:rPr>
      </w:pPr>
      <w:r>
        <w:rPr>
          <w:rFonts w:ascii="Arial" w:cs="Arial" w:eastAsia="Arial" w:hAnsi="Arial"/>
          <w:sz w:val="18"/>
          <w:szCs w:val="18"/>
          <w:b w:val="1"/>
          <w:bCs w:val="1"/>
          <w:color w:val="auto"/>
        </w:rPr>
        <w:t>Exhibit 10.13</w:t>
      </w:r>
    </w:p>
    <w:p>
      <w:pPr>
        <w:spacing w:after="0" w:line="306"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SCHEDULE 2</w:t>
      </w:r>
    </w:p>
    <w:p>
      <w:pPr>
        <w:spacing w:after="0" w:line="223" w:lineRule="exact"/>
        <w:rPr>
          <w:sz w:val="20"/>
          <w:szCs w:val="20"/>
          <w:color w:val="auto"/>
        </w:rPr>
      </w:pPr>
    </w:p>
    <w:p>
      <w:pPr>
        <w:jc w:val="center"/>
        <w:ind w:right="380"/>
        <w:spacing w:after="0"/>
        <w:rPr>
          <w:sz w:val="20"/>
          <w:szCs w:val="20"/>
          <w:color w:val="auto"/>
        </w:rPr>
      </w:pPr>
      <w:r>
        <w:rPr>
          <w:rFonts w:ascii="Arial" w:cs="Arial" w:eastAsia="Arial" w:hAnsi="Arial"/>
          <w:sz w:val="18"/>
          <w:szCs w:val="18"/>
          <w:u w:val="single" w:color="auto"/>
          <w:color w:val="auto"/>
        </w:rPr>
        <w:t>Work Matrix</w:t>
      </w:r>
    </w:p>
    <w:p>
      <w:pPr>
        <w:spacing w:after="0" w:line="21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1573530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421005</wp:posOffset>
            </wp:positionV>
            <wp:extent cx="2425700" cy="41148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1">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247"/>
        </w:trPr>
        <w:tc>
          <w:tcPr>
            <w:tcW w:w="16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920" w:type="dxa"/>
            <w:vAlign w:val="bottom"/>
            <w:gridSpan w:val="2"/>
          </w:tcPr>
          <w:p>
            <w:pPr>
              <w:ind w:left="820"/>
              <w:spacing w:after="0"/>
              <w:rPr>
                <w:sz w:val="20"/>
                <w:szCs w:val="20"/>
                <w:color w:val="auto"/>
              </w:rPr>
            </w:pPr>
            <w:r>
              <w:rPr>
                <w:rFonts w:ascii="Arial" w:cs="Arial" w:eastAsia="Arial" w:hAnsi="Arial"/>
                <w:sz w:val="18"/>
                <w:szCs w:val="18"/>
                <w:b w:val="1"/>
                <w:bCs w:val="1"/>
                <w:color w:val="auto"/>
                <w:w w:val="98"/>
              </w:rPr>
              <w:t>Exhibit 10.13</w:t>
            </w:r>
          </w:p>
        </w:tc>
        <w:tc>
          <w:tcPr>
            <w:tcW w:w="0" w:type="dxa"/>
            <w:vAlign w:val="bottom"/>
          </w:tcPr>
          <w:p>
            <w:pPr>
              <w:spacing w:after="0"/>
              <w:rPr>
                <w:sz w:val="1"/>
                <w:szCs w:val="1"/>
                <w:color w:val="auto"/>
              </w:rPr>
            </w:pPr>
          </w:p>
        </w:tc>
      </w:tr>
      <w:tr>
        <w:trPr>
          <w:trHeight w:val="285"/>
        </w:trPr>
        <w:tc>
          <w:tcPr>
            <w:tcW w:w="1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tcBorders>
              <w:right w:val="single" w:sz="8" w:color="D8E4BC"/>
            </w:tcBorders>
          </w:tcPr>
          <w:p>
            <w:pPr>
              <w:spacing w:after="0"/>
              <w:rPr>
                <w:sz w:val="17"/>
                <w:szCs w:val="17"/>
                <w:color w:val="auto"/>
              </w:rPr>
            </w:pPr>
          </w:p>
        </w:tc>
        <w:tc>
          <w:tcPr>
            <w:tcW w:w="7500" w:type="dxa"/>
            <w:vAlign w:val="bottom"/>
            <w:tcBorders>
              <w:top w:val="single" w:sz="8" w:color="D8E4BC"/>
              <w:right w:val="single" w:sz="8" w:color="D8E4BC"/>
            </w:tcBorders>
            <w:shd w:val="clear" w:color="auto" w:fill="D8E4BC"/>
          </w:tcPr>
          <w:p>
            <w:pPr>
              <w:ind w:left="1560"/>
              <w:spacing w:after="0"/>
              <w:rPr>
                <w:sz w:val="20"/>
                <w:szCs w:val="20"/>
                <w:color w:val="auto"/>
              </w:rPr>
            </w:pPr>
            <w:r>
              <w:rPr>
                <w:rFonts w:ascii="Times New Roman" w:cs="Times New Roman" w:eastAsia="Times New Roman" w:hAnsi="Times New Roman"/>
                <w:sz w:val="14"/>
                <w:szCs w:val="14"/>
                <w:color w:val="080808"/>
              </w:rPr>
              <w:t xml:space="preserve">ARSENAL ON </w:t>
            </w:r>
            <w:r>
              <w:rPr>
                <w:rFonts w:ascii="Times New Roman" w:cs="Times New Roman" w:eastAsia="Times New Roman" w:hAnsi="Times New Roman"/>
                <w:sz w:val="15"/>
                <w:szCs w:val="15"/>
                <w:b w:val="1"/>
                <w:bCs w:val="1"/>
                <w:color w:val="080808"/>
              </w:rPr>
              <w:t>THE</w:t>
            </w:r>
            <w:r>
              <w:rPr>
                <w:rFonts w:ascii="Times New Roman" w:cs="Times New Roman" w:eastAsia="Times New Roman" w:hAnsi="Times New Roman"/>
                <w:sz w:val="14"/>
                <w:szCs w:val="14"/>
                <w:color w:val="080808"/>
              </w:rPr>
              <w:t xml:space="preserve"> CHARLES - BUILDING NO</w:t>
            </w:r>
            <w:r>
              <w:rPr>
                <w:rFonts w:ascii="Times New Roman" w:cs="Times New Roman" w:eastAsia="Times New Roman" w:hAnsi="Times New Roman"/>
                <w:sz w:val="14"/>
                <w:szCs w:val="14"/>
                <w:color w:val="424242"/>
              </w:rPr>
              <w:t>.</w:t>
            </w:r>
            <w:r>
              <w:rPr>
                <w:rFonts w:ascii="Times New Roman" w:cs="Times New Roman" w:eastAsia="Times New Roman" w:hAnsi="Times New Roman"/>
                <w:sz w:val="14"/>
                <w:szCs w:val="14"/>
                <w:color w:val="080808"/>
              </w:rPr>
              <w:t xml:space="preserve"> </w:t>
            </w:r>
            <w:r>
              <w:rPr>
                <w:rFonts w:ascii="Times New Roman" w:cs="Times New Roman" w:eastAsia="Times New Roman" w:hAnsi="Times New Roman"/>
                <w:sz w:val="15"/>
                <w:szCs w:val="15"/>
                <w:b w:val="1"/>
                <w:bCs w:val="1"/>
                <w:color w:val="080808"/>
              </w:rPr>
              <w:t>1</w:t>
            </w:r>
          </w:p>
        </w:tc>
        <w:tc>
          <w:tcPr>
            <w:tcW w:w="940" w:type="dxa"/>
            <w:vAlign w:val="bottom"/>
            <w:tcBorders>
              <w:top w:val="single" w:sz="8" w:color="auto"/>
              <w:right w:val="single" w:sz="8" w:color="auto"/>
            </w:tcBorders>
            <w:shd w:val="clear" w:color="auto" w:fill="D8E4BC"/>
          </w:tcPr>
          <w:p>
            <w:pPr>
              <w:ind w:left="100"/>
              <w:spacing w:after="0"/>
              <w:rPr>
                <w:sz w:val="20"/>
                <w:szCs w:val="20"/>
                <w:color w:val="auto"/>
              </w:rPr>
            </w:pPr>
            <w:r>
              <w:rPr>
                <w:rFonts w:ascii="Times New Roman" w:cs="Times New Roman" w:eastAsia="Times New Roman" w:hAnsi="Times New Roman"/>
                <w:sz w:val="15"/>
                <w:szCs w:val="15"/>
                <w:color w:val="080808"/>
              </w:rPr>
              <w:t>Landlord</w:t>
            </w:r>
          </w:p>
        </w:tc>
        <w:tc>
          <w:tcPr>
            <w:tcW w:w="720" w:type="dxa"/>
            <w:vAlign w:val="bottom"/>
            <w:tcBorders>
              <w:top w:val="single" w:sz="8" w:color="auto"/>
              <w:right w:val="single" w:sz="8" w:color="auto"/>
            </w:tcBorders>
            <w:shd w:val="clear" w:color="auto" w:fill="D8E4BC"/>
          </w:tcPr>
          <w:p>
            <w:pPr>
              <w:ind w:left="100"/>
              <w:spacing w:after="0"/>
              <w:rPr>
                <w:sz w:val="20"/>
                <w:szCs w:val="20"/>
                <w:color w:val="auto"/>
              </w:rPr>
            </w:pPr>
            <w:r>
              <w:rPr>
                <w:rFonts w:ascii="Times New Roman" w:cs="Times New Roman" w:eastAsia="Times New Roman" w:hAnsi="Times New Roman"/>
                <w:sz w:val="15"/>
                <w:szCs w:val="15"/>
                <w:color w:val="080808"/>
              </w:rPr>
              <w:t>Tenant</w:t>
            </w:r>
          </w:p>
        </w:tc>
        <w:tc>
          <w:tcPr>
            <w:tcW w:w="1820" w:type="dxa"/>
            <w:vAlign w:val="bottom"/>
            <w:tcBorders>
              <w:top w:val="single" w:sz="8" w:color="auto"/>
              <w:right w:val="single" w:sz="8" w:color="auto"/>
            </w:tcBorders>
            <w:shd w:val="clear" w:color="auto" w:fill="D8E4BC"/>
          </w:tcPr>
          <w:p>
            <w:pPr>
              <w:ind w:left="60"/>
              <w:spacing w:after="0"/>
              <w:rPr>
                <w:sz w:val="20"/>
                <w:szCs w:val="20"/>
                <w:color w:val="auto"/>
              </w:rPr>
            </w:pPr>
            <w:r>
              <w:rPr>
                <w:rFonts w:ascii="Times New Roman" w:cs="Times New Roman" w:eastAsia="Times New Roman" w:hAnsi="Times New Roman"/>
                <w:sz w:val="15"/>
                <w:szCs w:val="15"/>
                <w:color w:val="080808"/>
              </w:rPr>
              <w:t>Landlord (at Tenant's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 w:type="dxa"/>
            <w:vAlign w:val="bottom"/>
            <w:tcBorders>
              <w:right w:val="single" w:sz="8" w:color="auto"/>
            </w:tcBorders>
          </w:tcPr>
          <w:p>
            <w:pPr>
              <w:spacing w:after="0"/>
              <w:rPr>
                <w:sz w:val="16"/>
                <w:szCs w:val="16"/>
                <w:color w:val="auto"/>
              </w:rPr>
            </w:pPr>
          </w:p>
        </w:tc>
        <w:tc>
          <w:tcPr>
            <w:tcW w:w="7500" w:type="dxa"/>
            <w:vAlign w:val="bottom"/>
            <w:tcBorders>
              <w:bottom w:val="single" w:sz="8" w:color="auto"/>
              <w:right w:val="single" w:sz="8" w:color="auto"/>
            </w:tcBorders>
            <w:shd w:val="clear" w:color="auto" w:fill="D8E4BC"/>
          </w:tcPr>
          <w:p>
            <w:pPr>
              <w:ind w:left="1880"/>
              <w:spacing w:after="0"/>
              <w:rPr>
                <w:sz w:val="20"/>
                <w:szCs w:val="20"/>
                <w:color w:val="auto"/>
              </w:rPr>
            </w:pPr>
            <w:r>
              <w:rPr>
                <w:rFonts w:ascii="Times New Roman" w:cs="Times New Roman" w:eastAsia="Times New Roman" w:hAnsi="Times New Roman"/>
                <w:sz w:val="14"/>
                <w:szCs w:val="14"/>
                <w:color w:val="080808"/>
              </w:rPr>
              <w:t>LANDLORD/TENANT RESPONSIBILITY MATRIX - DRAFI'</w:t>
            </w:r>
          </w:p>
        </w:tc>
        <w:tc>
          <w:tcPr>
            <w:tcW w:w="940" w:type="dxa"/>
            <w:vAlign w:val="bottom"/>
            <w:tcBorders>
              <w:bottom w:val="single" w:sz="8" w:color="auto"/>
              <w:right w:val="single" w:sz="8" w:color="auto"/>
            </w:tcBorders>
            <w:shd w:val="clear" w:color="auto" w:fill="D8E4BC"/>
          </w:tcPr>
          <w:p>
            <w:pPr>
              <w:spacing w:after="0"/>
              <w:rPr>
                <w:sz w:val="16"/>
                <w:szCs w:val="16"/>
                <w:color w:val="auto"/>
              </w:rPr>
            </w:pPr>
          </w:p>
        </w:tc>
        <w:tc>
          <w:tcPr>
            <w:tcW w:w="720" w:type="dxa"/>
            <w:vAlign w:val="bottom"/>
            <w:tcBorders>
              <w:bottom w:val="single" w:sz="8" w:color="auto"/>
              <w:right w:val="single" w:sz="8" w:color="auto"/>
            </w:tcBorders>
            <w:shd w:val="clear" w:color="auto" w:fill="D8E4BC"/>
          </w:tcPr>
          <w:p>
            <w:pPr>
              <w:spacing w:after="0"/>
              <w:rPr>
                <w:sz w:val="16"/>
                <w:szCs w:val="16"/>
                <w:color w:val="auto"/>
              </w:rPr>
            </w:pPr>
          </w:p>
        </w:tc>
        <w:tc>
          <w:tcPr>
            <w:tcW w:w="1820" w:type="dxa"/>
            <w:vAlign w:val="bottom"/>
            <w:tcBorders>
              <w:bottom w:val="single" w:sz="8" w:color="auto"/>
              <w:right w:val="single" w:sz="8" w:color="auto"/>
            </w:tcBorders>
            <w:shd w:val="clear" w:color="auto" w:fill="D8E4BC"/>
          </w:tcPr>
          <w:p>
            <w:pPr>
              <w:ind w:left="460"/>
              <w:spacing w:after="0"/>
              <w:rPr>
                <w:sz w:val="20"/>
                <w:szCs w:val="20"/>
                <w:color w:val="auto"/>
              </w:rPr>
            </w:pPr>
            <w:r>
              <w:rPr>
                <w:rFonts w:ascii="Times New Roman" w:cs="Times New Roman" w:eastAsia="Times New Roman" w:hAnsi="Times New Roman"/>
                <w:sz w:val="15"/>
                <w:szCs w:val="15"/>
                <w:color w:val="080808"/>
              </w:rPr>
              <w:t>Expense)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40"/>
              <w:spacing w:after="0"/>
              <w:rPr>
                <w:sz w:val="20"/>
                <w:szCs w:val="20"/>
                <w:color w:val="auto"/>
              </w:rPr>
            </w:pPr>
            <w:r>
              <w:rPr>
                <w:rFonts w:ascii="Arial" w:cs="Arial" w:eastAsia="Arial" w:hAnsi="Arial"/>
                <w:sz w:val="14"/>
                <w:szCs w:val="14"/>
                <w:b w:val="1"/>
                <w:bCs w:val="1"/>
                <w:color w:val="080808"/>
              </w:rPr>
              <w:t>GENERAL</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The Core &amp; Shell shall be certified by the USGBC at a minimum of LEED Gold</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The Tenant Improvements shall be certified by the USGBC at a minimum of LEED Silver</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60" w:type="dxa"/>
            <w:vAlign w:val="bottom"/>
            <w:tcBorders>
              <w:right w:val="single" w:sz="8" w:color="auto"/>
            </w:tcBorders>
          </w:tcPr>
          <w:p>
            <w:pPr>
              <w:spacing w:after="0"/>
              <w:rPr>
                <w:sz w:val="17"/>
                <w:szCs w:val="17"/>
                <w:color w:val="auto"/>
              </w:rPr>
            </w:pPr>
          </w:p>
        </w:tc>
        <w:tc>
          <w:tcPr>
            <w:tcW w:w="75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At grade parking spaces at a ratio of 2</w:t>
            </w:r>
            <w:r>
              <w:rPr>
                <w:rFonts w:ascii="Arial" w:cs="Arial" w:eastAsia="Arial" w:hAnsi="Arial"/>
                <w:sz w:val="13"/>
                <w:szCs w:val="13"/>
                <w:color w:val="424242"/>
              </w:rPr>
              <w:t>.</w:t>
            </w:r>
            <w:r>
              <w:rPr>
                <w:rFonts w:ascii="Arial" w:cs="Arial" w:eastAsia="Arial" w:hAnsi="Arial"/>
                <w:sz w:val="13"/>
                <w:szCs w:val="13"/>
                <w:color w:val="080808"/>
              </w:rPr>
              <w:t>0 cars per 1,000 RSF leased</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Changes to the Core &amp; Shell scope to meet FM Global (or equal) requirements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3"/>
                <w:szCs w:val="13"/>
                <w:color w:val="080808"/>
              </w:rPr>
              <w:t>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The Core &amp; Shell third-party commissioning to meet LEED Enhanced Commissioning requirements</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60" w:type="dxa"/>
            <w:vAlign w:val="bottom"/>
            <w:tcBorders>
              <w:right w:val="single" w:sz="8" w:color="auto"/>
            </w:tcBorders>
          </w:tcPr>
          <w:p>
            <w:pPr>
              <w:spacing w:after="0"/>
              <w:rPr>
                <w:sz w:val="6"/>
                <w:szCs w:val="6"/>
                <w:color w:val="auto"/>
              </w:rPr>
            </w:pPr>
          </w:p>
        </w:tc>
        <w:tc>
          <w:tcPr>
            <w:tcW w:w="75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60" w:type="dxa"/>
            <w:vAlign w:val="bottom"/>
            <w:tcBorders>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The Tenant third-party commissioning to meet LEED Enhanced Commissioning requirements</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60" w:type="dxa"/>
            <w:vAlign w:val="bottom"/>
            <w:tcBorders>
              <w:right w:val="single" w:sz="8" w:color="auto"/>
            </w:tcBorders>
          </w:tcPr>
          <w:p>
            <w:pPr>
              <w:spacing w:after="0"/>
              <w:rPr>
                <w:sz w:val="6"/>
                <w:szCs w:val="6"/>
                <w:color w:val="auto"/>
              </w:rPr>
            </w:pPr>
          </w:p>
        </w:tc>
        <w:tc>
          <w:tcPr>
            <w:tcW w:w="75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60" w:type="dxa"/>
            <w:vAlign w:val="bottom"/>
            <w:tcBorders>
              <w:right w:val="single" w:sz="8" w:color="auto"/>
            </w:tcBorders>
          </w:tcPr>
          <w:p>
            <w:pPr>
              <w:spacing w:after="0"/>
              <w:rPr>
                <w:sz w:val="6"/>
                <w:szCs w:val="6"/>
                <w:color w:val="auto"/>
              </w:rPr>
            </w:pPr>
          </w:p>
        </w:tc>
        <w:tc>
          <w:tcPr>
            <w:tcW w:w="75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80808"/>
              </w:rPr>
              <w:t>SITEWORK</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Perimeter sidewalks</w:t>
            </w:r>
            <w:r>
              <w:rPr>
                <w:rFonts w:ascii="Arial" w:cs="Arial" w:eastAsia="Arial" w:hAnsi="Arial"/>
                <w:sz w:val="13"/>
                <w:szCs w:val="13"/>
                <w:color w:val="424242"/>
              </w:rPr>
              <w:t>,</w:t>
            </w:r>
            <w:r>
              <w:rPr>
                <w:rFonts w:ascii="Arial" w:cs="Arial" w:eastAsia="Arial" w:hAnsi="Arial"/>
                <w:sz w:val="13"/>
                <w:szCs w:val="13"/>
                <w:color w:val="080808"/>
              </w:rPr>
              <w:t xml:space="preserve"> street curbs</w:t>
            </w:r>
            <w:r>
              <w:rPr>
                <w:rFonts w:ascii="Arial" w:cs="Arial" w:eastAsia="Arial" w:hAnsi="Arial"/>
                <w:sz w:val="13"/>
                <w:szCs w:val="13"/>
                <w:color w:val="424242"/>
              </w:rPr>
              <w:t>,</w:t>
            </w:r>
            <w:r>
              <w:rPr>
                <w:rFonts w:ascii="Arial" w:cs="Arial" w:eastAsia="Arial" w:hAnsi="Arial"/>
                <w:sz w:val="13"/>
                <w:szCs w:val="13"/>
                <w:color w:val="080808"/>
              </w:rPr>
              <w:t xml:space="preserve"> miscellaneous site furnishings</w:t>
            </w:r>
            <w:r>
              <w:rPr>
                <w:rFonts w:ascii="Arial" w:cs="Arial" w:eastAsia="Arial" w:hAnsi="Arial"/>
                <w:sz w:val="13"/>
                <w:szCs w:val="13"/>
                <w:color w:val="424242"/>
              </w:rPr>
              <w:t>,</w:t>
            </w:r>
            <w:r>
              <w:rPr>
                <w:rFonts w:ascii="Arial" w:cs="Arial" w:eastAsia="Arial" w:hAnsi="Arial"/>
                <w:sz w:val="13"/>
                <w:szCs w:val="13"/>
                <w:color w:val="080808"/>
              </w:rPr>
              <w:t xml:space="preserve"> and landscaping</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Telephone service, from local exchange carrier, to the Core &amp; Shell main demarcation room for Core &amp;</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0" w:type="dxa"/>
            <w:vAlign w:val="bottom"/>
            <w:tcBorders>
              <w:right w:val="single" w:sz="8" w:color="auto"/>
            </w:tcBorders>
          </w:tcPr>
          <w:p>
            <w:pPr>
              <w:spacing w:after="0"/>
              <w:rPr>
                <w:sz w:val="7"/>
                <w:szCs w:val="7"/>
                <w:color w:val="auto"/>
              </w:rPr>
            </w:pPr>
          </w:p>
        </w:tc>
        <w:tc>
          <w:tcPr>
            <w:tcW w:w="7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080808"/>
              </w:rPr>
              <w:t>Shell and Tenant Premises connections</w:t>
            </w:r>
            <w:r>
              <w:rPr>
                <w:rFonts w:ascii="Arial" w:cs="Arial" w:eastAsia="Arial" w:hAnsi="Arial"/>
                <w:sz w:val="13"/>
                <w:szCs w:val="13"/>
                <w:color w:val="424242"/>
              </w:rPr>
              <w:t>.</w:t>
            </w:r>
          </w:p>
        </w:tc>
        <w:tc>
          <w:tcPr>
            <w:tcW w:w="94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60" w:type="dxa"/>
            <w:vAlign w:val="bottom"/>
            <w:tcBorders>
              <w:right w:val="single" w:sz="8" w:color="auto"/>
            </w:tcBorders>
          </w:tcPr>
          <w:p>
            <w:pPr>
              <w:spacing w:after="0"/>
              <w:rPr>
                <w:sz w:val="6"/>
                <w:szCs w:val="6"/>
                <w:color w:val="auto"/>
              </w:rPr>
            </w:pPr>
          </w:p>
        </w:tc>
        <w:tc>
          <w:tcPr>
            <w:tcW w:w="7500" w:type="dxa"/>
            <w:vAlign w:val="bottom"/>
            <w:tcBorders>
              <w:bottom w:val="single" w:sz="8" w:color="auto"/>
              <w:right w:val="single" w:sz="8" w:color="auto"/>
            </w:tcBorders>
            <w:vMerge w:val="continue"/>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Domestic sanitary sewer connection to the Core &amp; Shell</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Roof storm drainage</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Electrical service for the Core &amp; Shell and anticipated Tenant Premises loads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Natural gas service for the Core &amp; Shell needs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Natural gas service for the Tenant Premises needs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Domestic water service to the Core &amp; Shell</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Fire protection water service to the Core &amp; Shell</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80808"/>
              </w:rPr>
              <w:t>LANDSCAPING</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Complete site and civil improvements package</w:t>
            </w:r>
            <w:r>
              <w:rPr>
                <w:rFonts w:ascii="Arial" w:cs="Arial" w:eastAsia="Arial" w:hAnsi="Arial"/>
                <w:sz w:val="13"/>
                <w:szCs w:val="13"/>
                <w:color w:val="424242"/>
              </w:rPr>
              <w:t>,</w:t>
            </w:r>
            <w:r>
              <w:rPr>
                <w:rFonts w:ascii="Arial" w:cs="Arial" w:eastAsia="Arial" w:hAnsi="Arial"/>
                <w:sz w:val="13"/>
                <w:szCs w:val="13"/>
                <w:color w:val="080808"/>
              </w:rPr>
              <w:t xml:space="preserve"> including design and installation</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80808"/>
              </w:rPr>
              <w:t>Site landscaping, including design and installation</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80808"/>
              </w:rPr>
              <w:t>STRUCTURE</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Reinforced composite concrete slabs-on-metal deck with 100 psf live load capacity in the Tenant</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80808"/>
              </w:rPr>
              <w:t>Premises</w:t>
            </w: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Reinforced composite concrete slabs-on-metal deck with 100 psf live load capacity in the Core &amp; Shell</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0" w:type="dxa"/>
            <w:vAlign w:val="bottom"/>
            <w:tcBorders>
              <w:right w:val="single" w:sz="8" w:color="auto"/>
            </w:tcBorders>
          </w:tcPr>
          <w:p>
            <w:pPr>
              <w:spacing w:after="0"/>
              <w:rPr>
                <w:sz w:val="14"/>
                <w:szCs w:val="14"/>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Common Areas</w:t>
            </w:r>
          </w:p>
        </w:tc>
        <w:tc>
          <w:tcPr>
            <w:tcW w:w="94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60" w:type="dxa"/>
            <w:vAlign w:val="bottom"/>
            <w:tcBorders>
              <w:right w:val="single" w:sz="8" w:color="auto"/>
            </w:tcBorders>
          </w:tcPr>
          <w:p>
            <w:pPr>
              <w:spacing w:after="0"/>
              <w:rPr>
                <w:sz w:val="7"/>
                <w:szCs w:val="7"/>
                <w:color w:val="auto"/>
              </w:rPr>
            </w:pPr>
          </w:p>
        </w:tc>
        <w:tc>
          <w:tcPr>
            <w:tcW w:w="7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Reinforced composite concrete slabs-on-metal deck with 150 psf loading capacity in the Core &amp; Shell</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80808"/>
              </w:rPr>
              <w:t>mechanical penthouse</w:t>
            </w: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100 PSF load capacity at the penthouse roof at areas designated for Tenant roof top equipment</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250 PSF load capacity at the loading dock</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Concrete containment curbs at mechanical penthouse walls and shafts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Containment curbs in Tenant Premises to support Tenant program</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80808"/>
              </w:rPr>
              <w:t>Structural enhancements for specific Tenant Premises and program load requirements</w:t>
            </w:r>
            <w:r>
              <w:rPr>
                <w:rFonts w:ascii="Arial" w:cs="Arial" w:eastAsia="Arial" w:hAnsi="Arial"/>
                <w:sz w:val="13"/>
                <w:szCs w:val="13"/>
                <w:color w:val="424242"/>
              </w:rPr>
              <w:t>.</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3"/>
                <w:szCs w:val="13"/>
                <w:color w:val="080808"/>
              </w:rPr>
              <w:t>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80808"/>
              </w:rPr>
              <w:t>Structural floor designed to meet peak vibration criterion of 8</w:t>
            </w:r>
            <w:r>
              <w:rPr>
                <w:rFonts w:ascii="Arial" w:cs="Arial" w:eastAsia="Arial" w:hAnsi="Arial"/>
                <w:sz w:val="13"/>
                <w:szCs w:val="13"/>
                <w:color w:val="424242"/>
              </w:rPr>
              <w:t>,</w:t>
            </w:r>
            <w:r>
              <w:rPr>
                <w:rFonts w:ascii="Arial" w:cs="Arial" w:eastAsia="Arial" w:hAnsi="Arial"/>
                <w:sz w:val="13"/>
                <w:szCs w:val="13"/>
                <w:color w:val="080808"/>
              </w:rPr>
              <w:t>000 micro inches per second at 75 spm</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80808"/>
              </w:rPr>
              <w:t>Structural reinforcing to meet vibration criterion required by Tenant</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3"/>
                <w:szCs w:val="13"/>
                <w:color w:val="080808"/>
              </w:rPr>
              <w:t>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 w:type="dxa"/>
            <w:vAlign w:val="bottom"/>
            <w:tcBorders>
              <w:right w:val="single" w:sz="8" w:color="auto"/>
            </w:tcBorders>
          </w:tcPr>
          <w:p>
            <w:pPr>
              <w:spacing w:after="0"/>
              <w:rPr>
                <w:sz w:val="13"/>
                <w:szCs w:val="13"/>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Typical Floor to floor height of</w:t>
            </w:r>
            <w:r>
              <w:rPr>
                <w:rFonts w:ascii="Arial" w:cs="Arial" w:eastAsia="Arial" w:hAnsi="Arial"/>
                <w:sz w:val="13"/>
                <w:szCs w:val="13"/>
                <w:color w:val="424242"/>
              </w:rPr>
              <w:t>:</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 w:type="dxa"/>
            <w:vAlign w:val="bottom"/>
            <w:tcBorders>
              <w:right w:val="single" w:sz="8" w:color="auto"/>
            </w:tcBorders>
          </w:tcPr>
          <w:p>
            <w:pPr>
              <w:spacing w:after="0"/>
              <w:rPr>
                <w:sz w:val="13"/>
                <w:szCs w:val="13"/>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20'-0" at Level 1</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60" w:type="dxa"/>
            <w:vAlign w:val="bottom"/>
            <w:tcBorders>
              <w:right w:val="single" w:sz="8" w:color="auto"/>
            </w:tcBorders>
          </w:tcPr>
          <w:p>
            <w:pPr>
              <w:spacing w:after="0"/>
              <w:rPr>
                <w:sz w:val="6"/>
                <w:szCs w:val="6"/>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80808"/>
              </w:rPr>
              <w:t>15'-0" at Levels 2-4</w:t>
            </w: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60" w:type="dxa"/>
            <w:vAlign w:val="bottom"/>
            <w:tcBorders>
              <w:right w:val="single" w:sz="8" w:color="auto"/>
            </w:tcBorders>
          </w:tcPr>
          <w:p>
            <w:pPr>
              <w:spacing w:after="0"/>
              <w:rPr>
                <w:sz w:val="6"/>
                <w:szCs w:val="6"/>
                <w:color w:val="auto"/>
              </w:rPr>
            </w:pPr>
          </w:p>
        </w:tc>
        <w:tc>
          <w:tcPr>
            <w:tcW w:w="7500" w:type="dxa"/>
            <w:vAlign w:val="bottom"/>
            <w:tcBorders>
              <w:bottom w:val="single" w:sz="8" w:color="auto"/>
              <w:right w:val="single" w:sz="8" w:color="auto"/>
            </w:tcBorders>
            <w:vMerge w:val="continue"/>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60" w:type="dxa"/>
            <w:vAlign w:val="bottom"/>
            <w:tcBorders>
              <w:right w:val="single" w:sz="8" w:color="auto"/>
            </w:tcBorders>
          </w:tcPr>
          <w:p>
            <w:pPr>
              <w:spacing w:after="0"/>
              <w:rPr>
                <w:sz w:val="13"/>
                <w:szCs w:val="13"/>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20'-0" at Penthouse</w:t>
            </w:r>
          </w:p>
        </w:tc>
        <w:tc>
          <w:tcPr>
            <w:tcW w:w="9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Proposed column bay spacing</w:t>
            </w:r>
            <w:r>
              <w:rPr>
                <w:rFonts w:ascii="Arial" w:cs="Arial" w:eastAsia="Arial" w:hAnsi="Arial"/>
                <w:sz w:val="13"/>
                <w:szCs w:val="13"/>
                <w:color w:val="424242"/>
              </w:rPr>
              <w:t>:</w:t>
            </w:r>
            <w:r>
              <w:rPr>
                <w:rFonts w:ascii="Arial" w:cs="Arial" w:eastAsia="Arial" w:hAnsi="Arial"/>
                <w:sz w:val="13"/>
                <w:szCs w:val="13"/>
                <w:color w:val="080808"/>
              </w:rPr>
              <w:t xml:space="preserve"> 33'-0" N-S and 30'-0" + 50'-4 1/2" E-W</w:t>
            </w:r>
            <w:r>
              <w:rPr>
                <w:rFonts w:ascii="Arial" w:cs="Arial" w:eastAsia="Arial" w:hAnsi="Arial"/>
                <w:sz w:val="13"/>
                <w:szCs w:val="13"/>
                <w:color w:val="424242"/>
              </w:rPr>
              <w:t>,</w:t>
            </w:r>
            <w:r>
              <w:rPr>
                <w:rFonts w:ascii="Arial" w:cs="Arial" w:eastAsia="Arial" w:hAnsi="Arial"/>
                <w:sz w:val="13"/>
                <w:szCs w:val="13"/>
                <w:color w:val="080808"/>
              </w:rPr>
              <w:t xml:space="preserve"> typical</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80808"/>
              </w:rPr>
              <w:t>Structural framing dunnage above the roof for the Core &amp; Shell equipment</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80808"/>
              </w:rPr>
              <w:t>Structural framing dunnage above the roof for Tenant equipment</w:t>
            </w:r>
            <w:r>
              <w:rPr>
                <w:rFonts w:ascii="Arial" w:cs="Arial" w:eastAsia="Arial" w:hAnsi="Arial"/>
                <w:sz w:val="13"/>
                <w:szCs w:val="13"/>
                <w:color w:val="424242"/>
              </w:rPr>
              <w:t>,</w:t>
            </w:r>
            <w:r>
              <w:rPr>
                <w:rFonts w:ascii="Arial" w:cs="Arial" w:eastAsia="Arial" w:hAnsi="Arial"/>
                <w:sz w:val="13"/>
                <w:szCs w:val="13"/>
                <w:color w:val="080808"/>
              </w:rPr>
              <w:t xml:space="preserve"> subject to Landlord review and approval</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vMerge w:val="restart"/>
          </w:tcPr>
          <w:p>
            <w:pPr>
              <w:ind w:left="1020"/>
              <w:spacing w:after="0"/>
              <w:rPr>
                <w:sz w:val="20"/>
                <w:szCs w:val="20"/>
                <w:color w:val="auto"/>
              </w:rPr>
            </w:pPr>
            <w:r>
              <w:rPr>
                <w:rFonts w:ascii="Arial" w:cs="Arial" w:eastAsia="Arial" w:hAnsi="Arial"/>
                <w:sz w:val="13"/>
                <w:szCs w:val="13"/>
                <w:color w:val="080808"/>
              </w:rPr>
              <w:t>X</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Framed openings for the Core &amp; Shell utility risers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Framed openings</w:t>
            </w:r>
            <w:r>
              <w:rPr>
                <w:rFonts w:ascii="Arial" w:cs="Arial" w:eastAsia="Arial" w:hAnsi="Arial"/>
                <w:sz w:val="13"/>
                <w:szCs w:val="13"/>
                <w:color w:val="424242"/>
              </w:rPr>
              <w:t>,</w:t>
            </w:r>
            <w:r>
              <w:rPr>
                <w:rFonts w:ascii="Arial" w:cs="Arial" w:eastAsia="Arial" w:hAnsi="Arial"/>
                <w:sz w:val="13"/>
                <w:szCs w:val="13"/>
                <w:color w:val="080808"/>
              </w:rPr>
              <w:t xml:space="preserve"> within pre-allocated Core &amp; Shell areas</w:t>
            </w:r>
            <w:r>
              <w:rPr>
                <w:rFonts w:ascii="Arial" w:cs="Arial" w:eastAsia="Arial" w:hAnsi="Arial"/>
                <w:sz w:val="13"/>
                <w:szCs w:val="13"/>
                <w:color w:val="424242"/>
              </w:rPr>
              <w:t>,</w:t>
            </w:r>
            <w:r>
              <w:rPr>
                <w:rFonts w:ascii="Arial" w:cs="Arial" w:eastAsia="Arial" w:hAnsi="Arial"/>
                <w:sz w:val="13"/>
                <w:szCs w:val="13"/>
                <w:color w:val="080808"/>
              </w:rPr>
              <w:t xml:space="preserve"> for Tenant utility risers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Framed openings, beyond what the Core &amp; Shell is providing within pre-allocated Core &amp; Shell areas</w:t>
            </w:r>
            <w:r>
              <w:rPr>
                <w:rFonts w:ascii="Arial" w:cs="Arial" w:eastAsia="Arial" w:hAnsi="Arial"/>
                <w:sz w:val="13"/>
                <w:szCs w:val="13"/>
                <w:color w:val="424242"/>
              </w:rPr>
              <w:t>,</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vMerge w:val="restart"/>
          </w:tcPr>
          <w:p>
            <w:pPr>
              <w:ind w:left="1020"/>
              <w:spacing w:after="0"/>
              <w:rPr>
                <w:sz w:val="20"/>
                <w:szCs w:val="20"/>
                <w:color w:val="auto"/>
              </w:rPr>
            </w:pPr>
            <w:r>
              <w:rPr>
                <w:rFonts w:ascii="Arial" w:cs="Arial" w:eastAsia="Arial" w:hAnsi="Arial"/>
                <w:sz w:val="13"/>
                <w:szCs w:val="13"/>
                <w:color w:val="080808"/>
              </w:rPr>
              <w:t>X</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080808"/>
              </w:rPr>
              <w:t>for the Tenant, subject to Landlord review and approval</w:t>
            </w: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Miscellaneous metals and/or concrete pads for the Core &amp; Shell equipment</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Miscellaneous metals items and/or concrete pads for the Tenant equipment</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80808"/>
              </w:rPr>
              <w:t>ROOFING</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80808"/>
              </w:rPr>
              <w:t>Single-ply TPO roofing system with protection board, rigid insulation, AVB, and 20 year warranty</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Roofing penetrations for the Core &amp; Shell equipment</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Roofing penetrations for the Tenant equipment, installed by Core &amp; Shell roofing subcontractor.</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vMerge w:val="restart"/>
          </w:tcPr>
          <w:p>
            <w:pPr>
              <w:ind w:left="1020"/>
              <w:spacing w:after="0"/>
              <w:rPr>
                <w:sz w:val="20"/>
                <w:szCs w:val="20"/>
                <w:color w:val="auto"/>
              </w:rPr>
            </w:pPr>
            <w:r>
              <w:rPr>
                <w:rFonts w:ascii="Arial" w:cs="Arial" w:eastAsia="Arial" w:hAnsi="Arial"/>
                <w:sz w:val="13"/>
                <w:szCs w:val="13"/>
                <w:color w:val="080808"/>
              </w:rPr>
              <w:t>X</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80808"/>
              </w:rPr>
              <w:t>Penetrations subject to Landlord review and approval.</w:t>
            </w: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7"/>
        </w:trPr>
        <w:tc>
          <w:tcPr>
            <w:tcW w:w="16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-8524240</wp:posOffset>
            </wp:positionV>
            <wp:extent cx="4791710" cy="16256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2">
                      <a:extLst>
                        <a:ext uri="{28A0092B-C50C-407E-A947-70E740481C1C}"/>
                      </a:extLst>
                    </a:blip>
                    <a:srcRect/>
                    <a:stretch>
                      <a:fillRect/>
                    </a:stretch>
                  </pic:blipFill>
                  <pic:spPr bwMode="auto">
                    <a:xfrm>
                      <a:off x="0" y="0"/>
                      <a:ext cx="479171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-1182370</wp:posOffset>
            </wp:positionV>
            <wp:extent cx="2425700" cy="41148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5">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3" w:name="page394"/>
    <w:bookmarkEnd w:id="393"/>
    <w:p>
      <w:pPr>
        <w:ind w:left="9940"/>
        <w:spacing w:after="0"/>
        <w:rPr>
          <w:sz w:val="20"/>
          <w:szCs w:val="20"/>
          <w:color w:val="auto"/>
        </w:rPr>
      </w:pPr>
      <w:r>
        <w:rPr>
          <w:rFonts w:ascii="Arial" w:cs="Arial" w:eastAsia="Arial" w:hAnsi="Arial"/>
          <w:sz w:val="17"/>
          <w:szCs w:val="17"/>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200660</wp:posOffset>
            </wp:positionV>
            <wp:extent cx="6998970" cy="88709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6">
                      <a:extLst>
                        <a:ext uri="{28A0092B-C50C-407E-A947-70E740481C1C}"/>
                      </a:extLst>
                    </a:blip>
                    <a:srcRect/>
                    <a:stretch>
                      <a:fillRect/>
                    </a:stretch>
                  </pic:blipFill>
                  <pic:spPr bwMode="auto">
                    <a:xfrm>
                      <a:off x="0" y="0"/>
                      <a:ext cx="6998970" cy="887095"/>
                    </a:xfrm>
                    <a:prstGeom prst="rect">
                      <a:avLst/>
                    </a:prstGeom>
                    <a:noFill/>
                  </pic:spPr>
                </pic:pic>
              </a:graphicData>
            </a:graphic>
          </wp:anchor>
        </w:drawing>
      </w:r>
    </w:p>
    <w:p>
      <w:pPr>
        <w:sectPr>
          <w:pgSz w:w="11900" w:h="16838" w:orient="portrait"/>
          <w:cols w:equalWidth="0" w:num="1">
            <w:col w:w="11040"/>
          </w:cols>
          <w:pgMar w:left="520" w:top="769" w:right="339" w:bottom="1440" w:gutter="0" w:footer="0" w:header="0"/>
        </w:sectPr>
      </w:pPr>
    </w:p>
    <w:p>
      <w:pPr>
        <w:spacing w:after="0" w:line="345" w:lineRule="exact"/>
        <w:rPr>
          <w:sz w:val="20"/>
          <w:szCs w:val="20"/>
          <w:color w:val="auto"/>
        </w:rPr>
      </w:pPr>
    </w:p>
    <w:p>
      <w:pPr>
        <w:ind w:left="20" w:right="1440"/>
        <w:spacing w:after="0" w:line="284" w:lineRule="auto"/>
        <w:rPr>
          <w:sz w:val="20"/>
          <w:szCs w:val="20"/>
          <w:color w:val="auto"/>
        </w:rPr>
      </w:pPr>
      <w:r>
        <w:rPr>
          <w:rFonts w:ascii="Arial" w:cs="Arial" w:eastAsia="Arial" w:hAnsi="Arial"/>
          <w:sz w:val="13"/>
          <w:szCs w:val="13"/>
          <w:color w:val="080808"/>
        </w:rPr>
        <w:t>Walkway pads to the Core &amp; Shell equipment X Walkway pads to the Tenant equipment</w:t>
      </w:r>
    </w:p>
    <w:p>
      <w:pPr>
        <w:spacing w:after="0" w:line="201" w:lineRule="exact"/>
        <w:rPr>
          <w:sz w:val="20"/>
          <w:szCs w:val="20"/>
          <w:color w:val="auto"/>
        </w:rPr>
      </w:pPr>
    </w:p>
    <w:p>
      <w:pPr>
        <w:ind w:right="3860" w:hanging="1"/>
        <w:spacing w:after="0" w:line="286" w:lineRule="auto"/>
        <w:rPr>
          <w:sz w:val="20"/>
          <w:szCs w:val="20"/>
          <w:color w:val="auto"/>
        </w:rPr>
      </w:pPr>
      <w:r>
        <w:rPr>
          <w:rFonts w:ascii="Arial" w:cs="Arial" w:eastAsia="Arial" w:hAnsi="Arial"/>
          <w:sz w:val="13"/>
          <w:szCs w:val="13"/>
          <w:color w:val="080808"/>
        </w:rPr>
        <w:t>Roofing alterations driven by approved Tenant requested modifications to the Core &amp; Shell</w:t>
      </w:r>
      <w:r>
        <w:rPr>
          <w:rFonts w:ascii="Arial" w:cs="Arial" w:eastAsia="Arial" w:hAnsi="Arial"/>
          <w:sz w:val="13"/>
          <w:szCs w:val="13"/>
          <w:color w:val="424242"/>
        </w:rPr>
        <w:t>,</w:t>
      </w:r>
      <w:r>
        <w:rPr>
          <w:rFonts w:ascii="Arial" w:cs="Arial" w:eastAsia="Arial" w:hAnsi="Arial"/>
          <w:sz w:val="13"/>
          <w:szCs w:val="13"/>
          <w:color w:val="080808"/>
        </w:rPr>
        <w:t xml:space="preserve"> installed by the Core &amp; Shell roofing subcontractor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1144270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080808"/>
        </w:rPr>
        <w:t>X</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080808"/>
        </w:rPr>
        <w:t>X</w:t>
      </w:r>
    </w:p>
    <w:p>
      <w:pPr>
        <w:sectPr>
          <w:pgSz w:w="11900" w:h="16838" w:orient="portrait"/>
          <w:cols w:equalWidth="0" w:num="2">
            <w:col w:w="9420" w:space="720"/>
            <w:col w:w="900"/>
          </w:cols>
          <w:pgMar w:left="520" w:top="769" w:right="339" w:bottom="1440" w:gutter="0" w:footer="0" w:header="0"/>
          <w:type w:val="continuous"/>
        </w:sectPr>
      </w:pPr>
    </w:p>
    <w:bookmarkStart w:id="394" w:name="page395"/>
    <w:bookmarkEnd w:id="394"/>
    <w:tbl>
      <w:tblPr>
        <w:tblLayout w:type="fixed"/>
        <w:tblInd w:w="0" w:type="dxa"/>
        <w:tblCellMar>
          <w:top w:w="0" w:type="dxa"/>
          <w:left w:w="0" w:type="dxa"/>
          <w:bottom w:w="0" w:type="dxa"/>
          <w:right w:w="0" w:type="dxa"/>
        </w:tblCellMar>
      </w:tblPr>
      <w:tr>
        <w:trPr>
          <w:trHeight w:val="247"/>
        </w:trPr>
        <w:tc>
          <w:tcPr>
            <w:tcW w:w="16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920" w:type="dxa"/>
            <w:vAlign w:val="bottom"/>
            <w:gridSpan w:val="2"/>
          </w:tcPr>
          <w:p>
            <w:pPr>
              <w:ind w:left="820"/>
              <w:spacing w:after="0"/>
              <w:rPr>
                <w:sz w:val="20"/>
                <w:szCs w:val="20"/>
                <w:color w:val="auto"/>
              </w:rPr>
            </w:pPr>
            <w:r>
              <w:rPr>
                <w:rFonts w:ascii="Arial" w:cs="Arial" w:eastAsia="Arial" w:hAnsi="Arial"/>
                <w:sz w:val="18"/>
                <w:szCs w:val="18"/>
                <w:b w:val="1"/>
                <w:bCs w:val="1"/>
                <w:color w:val="auto"/>
                <w:w w:val="98"/>
              </w:rPr>
              <w:t>Exhibit 10.13</w:t>
            </w:r>
          </w:p>
        </w:tc>
        <w:tc>
          <w:tcPr>
            <w:tcW w:w="0" w:type="dxa"/>
            <w:vAlign w:val="bottom"/>
          </w:tcPr>
          <w:p>
            <w:pPr>
              <w:spacing w:after="0"/>
              <w:rPr>
                <w:sz w:val="1"/>
                <w:szCs w:val="1"/>
                <w:color w:val="auto"/>
              </w:rPr>
            </w:pPr>
          </w:p>
        </w:tc>
      </w:tr>
      <w:tr>
        <w:trPr>
          <w:trHeight w:val="285"/>
        </w:trPr>
        <w:tc>
          <w:tcPr>
            <w:tcW w:w="1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60" w:type="dxa"/>
            <w:vAlign w:val="bottom"/>
            <w:tcBorders>
              <w:right w:val="single" w:sz="8" w:color="D8E4BC"/>
            </w:tcBorders>
          </w:tcPr>
          <w:p>
            <w:pPr>
              <w:spacing w:after="0"/>
              <w:rPr>
                <w:sz w:val="20"/>
                <w:szCs w:val="20"/>
                <w:color w:val="auto"/>
              </w:rPr>
            </w:pPr>
          </w:p>
        </w:tc>
        <w:tc>
          <w:tcPr>
            <w:tcW w:w="7500" w:type="dxa"/>
            <w:vAlign w:val="bottom"/>
            <w:tcBorders>
              <w:top w:val="single" w:sz="8" w:color="D8E4BC"/>
              <w:bottom w:val="single" w:sz="8" w:color="D8E4BC"/>
              <w:right w:val="single" w:sz="8" w:color="D8E4BC"/>
            </w:tcBorders>
            <w:shd w:val="clear" w:color="auto" w:fill="D8E4BC"/>
          </w:tcPr>
          <w:p>
            <w:pPr>
              <w:ind w:left="1560"/>
              <w:spacing w:after="0" w:line="165" w:lineRule="exact"/>
              <w:rPr>
                <w:sz w:val="20"/>
                <w:szCs w:val="20"/>
                <w:color w:val="auto"/>
              </w:rPr>
            </w:pPr>
            <w:r>
              <w:rPr>
                <w:rFonts w:ascii="Times New Roman" w:cs="Times New Roman" w:eastAsia="Times New Roman" w:hAnsi="Times New Roman"/>
                <w:sz w:val="14"/>
                <w:szCs w:val="14"/>
                <w:color w:val="070707"/>
              </w:rPr>
              <w:t xml:space="preserve">ARSENAL ON </w:t>
            </w:r>
            <w:r>
              <w:rPr>
                <w:rFonts w:ascii="Times New Roman" w:cs="Times New Roman" w:eastAsia="Times New Roman" w:hAnsi="Times New Roman"/>
                <w:sz w:val="15"/>
                <w:szCs w:val="15"/>
                <w:b w:val="1"/>
                <w:bCs w:val="1"/>
                <w:color w:val="070707"/>
              </w:rPr>
              <w:t>THE</w:t>
            </w:r>
            <w:r>
              <w:rPr>
                <w:rFonts w:ascii="Times New Roman" w:cs="Times New Roman" w:eastAsia="Times New Roman" w:hAnsi="Times New Roman"/>
                <w:sz w:val="14"/>
                <w:szCs w:val="14"/>
                <w:color w:val="070707"/>
              </w:rPr>
              <w:t xml:space="preserve"> CHARLES - BUILDING NO</w:t>
            </w:r>
            <w:r>
              <w:rPr>
                <w:rFonts w:ascii="Times New Roman" w:cs="Times New Roman" w:eastAsia="Times New Roman" w:hAnsi="Times New Roman"/>
                <w:sz w:val="14"/>
                <w:szCs w:val="14"/>
                <w:color w:val="4B4B4B"/>
              </w:rPr>
              <w:t>.</w:t>
            </w:r>
            <w:r>
              <w:rPr>
                <w:rFonts w:ascii="Times New Roman" w:cs="Times New Roman" w:eastAsia="Times New Roman" w:hAnsi="Times New Roman"/>
                <w:sz w:val="14"/>
                <w:szCs w:val="14"/>
                <w:color w:val="070707"/>
              </w:rPr>
              <w:t xml:space="preserve"> </w:t>
            </w:r>
            <w:r>
              <w:rPr>
                <w:rFonts w:ascii="Times New Roman" w:cs="Times New Roman" w:eastAsia="Times New Roman" w:hAnsi="Times New Roman"/>
                <w:sz w:val="15"/>
                <w:szCs w:val="15"/>
                <w:b w:val="1"/>
                <w:bCs w:val="1"/>
                <w:color w:val="070707"/>
              </w:rPr>
              <w:t>1</w:t>
            </w:r>
          </w:p>
        </w:tc>
        <w:tc>
          <w:tcPr>
            <w:tcW w:w="940" w:type="dxa"/>
            <w:vAlign w:val="bottom"/>
            <w:tcBorders>
              <w:top w:val="single" w:sz="8" w:color="auto"/>
              <w:bottom w:val="single" w:sz="8" w:color="auto"/>
              <w:right w:val="single" w:sz="8" w:color="auto"/>
            </w:tcBorders>
            <w:shd w:val="clear" w:color="auto" w:fill="D8E4BC"/>
          </w:tcPr>
          <w:p>
            <w:pPr>
              <w:ind w:left="100"/>
              <w:spacing w:after="0"/>
              <w:rPr>
                <w:sz w:val="20"/>
                <w:szCs w:val="20"/>
                <w:color w:val="auto"/>
              </w:rPr>
            </w:pPr>
            <w:r>
              <w:rPr>
                <w:rFonts w:ascii="Times New Roman" w:cs="Times New Roman" w:eastAsia="Times New Roman" w:hAnsi="Times New Roman"/>
                <w:sz w:val="15"/>
                <w:szCs w:val="15"/>
                <w:color w:val="070707"/>
              </w:rPr>
              <w:t>Landlord</w:t>
            </w:r>
          </w:p>
        </w:tc>
        <w:tc>
          <w:tcPr>
            <w:tcW w:w="720" w:type="dxa"/>
            <w:vAlign w:val="bottom"/>
            <w:tcBorders>
              <w:top w:val="single" w:sz="8" w:color="auto"/>
              <w:bottom w:val="single" w:sz="8" w:color="auto"/>
              <w:right w:val="single" w:sz="8" w:color="auto"/>
            </w:tcBorders>
            <w:shd w:val="clear" w:color="auto" w:fill="D8E4BC"/>
          </w:tcPr>
          <w:p>
            <w:pPr>
              <w:ind w:left="100"/>
              <w:spacing w:after="0"/>
              <w:rPr>
                <w:sz w:val="20"/>
                <w:szCs w:val="20"/>
                <w:color w:val="auto"/>
              </w:rPr>
            </w:pPr>
            <w:r>
              <w:rPr>
                <w:rFonts w:ascii="Times New Roman" w:cs="Times New Roman" w:eastAsia="Times New Roman" w:hAnsi="Times New Roman"/>
                <w:sz w:val="15"/>
                <w:szCs w:val="15"/>
                <w:color w:val="070707"/>
              </w:rPr>
              <w:t>Tenant</w:t>
            </w:r>
          </w:p>
        </w:tc>
        <w:tc>
          <w:tcPr>
            <w:tcW w:w="1820" w:type="dxa"/>
            <w:vAlign w:val="bottom"/>
            <w:tcBorders>
              <w:top w:val="single" w:sz="8" w:color="auto"/>
              <w:bottom w:val="single" w:sz="8" w:color="D8E4BC"/>
              <w:right w:val="single" w:sz="8" w:color="auto"/>
            </w:tcBorders>
            <w:shd w:val="clear" w:color="auto" w:fill="D8E4BC"/>
          </w:tcPr>
          <w:p>
            <w:pPr>
              <w:jc w:val="center"/>
              <w:spacing w:after="0" w:line="165" w:lineRule="exact"/>
              <w:rPr>
                <w:sz w:val="20"/>
                <w:szCs w:val="20"/>
                <w:color w:val="auto"/>
              </w:rPr>
            </w:pPr>
            <w:r>
              <w:rPr>
                <w:rFonts w:ascii="Times New Roman" w:cs="Times New Roman" w:eastAsia="Times New Roman" w:hAnsi="Times New Roman"/>
                <w:sz w:val="15"/>
                <w:szCs w:val="15"/>
                <w:color w:val="070707"/>
              </w:rPr>
              <w:t>Landlord (at Tenant's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160" w:type="dxa"/>
            <w:vAlign w:val="bottom"/>
            <w:tcBorders>
              <w:right w:val="single" w:sz="8" w:color="auto"/>
            </w:tcBorders>
          </w:tcPr>
          <w:p>
            <w:pPr>
              <w:spacing w:after="0"/>
              <w:rPr>
                <w:sz w:val="10"/>
                <w:szCs w:val="10"/>
                <w:color w:val="auto"/>
              </w:rPr>
            </w:pPr>
          </w:p>
        </w:tc>
        <w:tc>
          <w:tcPr>
            <w:tcW w:w="7500" w:type="dxa"/>
            <w:vAlign w:val="bottom"/>
            <w:tcBorders>
              <w:top w:val="single" w:sz="8" w:color="D8E4BC"/>
              <w:bottom w:val="single" w:sz="8" w:color="auto"/>
              <w:right w:val="single" w:sz="8" w:color="auto"/>
            </w:tcBorders>
            <w:shd w:val="clear" w:color="auto" w:fill="D8E4BC"/>
          </w:tcPr>
          <w:p>
            <w:pPr>
              <w:ind w:left="1880"/>
              <w:spacing w:after="0" w:line="116" w:lineRule="exact"/>
              <w:rPr>
                <w:sz w:val="20"/>
                <w:szCs w:val="20"/>
                <w:color w:val="auto"/>
              </w:rPr>
            </w:pPr>
            <w:r>
              <w:rPr>
                <w:rFonts w:ascii="Times New Roman" w:cs="Times New Roman" w:eastAsia="Times New Roman" w:hAnsi="Times New Roman"/>
                <w:sz w:val="13"/>
                <w:szCs w:val="13"/>
                <w:color w:val="070707"/>
              </w:rPr>
              <w:t>LANDLORD/TENANT RESPONSIBILITY MATRIX - DRAFI'</w:t>
            </w:r>
          </w:p>
        </w:tc>
        <w:tc>
          <w:tcPr>
            <w:tcW w:w="940" w:type="dxa"/>
            <w:vAlign w:val="bottom"/>
            <w:tcBorders>
              <w:top w:val="single" w:sz="8" w:color="auto"/>
              <w:bottom w:val="single" w:sz="8" w:color="auto"/>
              <w:right w:val="single" w:sz="8" w:color="auto"/>
            </w:tcBorders>
            <w:shd w:val="clear" w:color="auto" w:fill="D8E4BC"/>
          </w:tcPr>
          <w:p>
            <w:pPr>
              <w:spacing w:after="0"/>
              <w:rPr>
                <w:sz w:val="10"/>
                <w:szCs w:val="10"/>
                <w:color w:val="auto"/>
              </w:rPr>
            </w:pPr>
          </w:p>
        </w:tc>
        <w:tc>
          <w:tcPr>
            <w:tcW w:w="720" w:type="dxa"/>
            <w:vAlign w:val="bottom"/>
            <w:tcBorders>
              <w:top w:val="single" w:sz="8" w:color="auto"/>
              <w:bottom w:val="single" w:sz="8" w:color="auto"/>
              <w:right w:val="single" w:sz="8" w:color="auto"/>
            </w:tcBorders>
            <w:shd w:val="clear" w:color="auto" w:fill="D8E4BC"/>
          </w:tcPr>
          <w:p>
            <w:pPr>
              <w:spacing w:after="0"/>
              <w:rPr>
                <w:sz w:val="10"/>
                <w:szCs w:val="10"/>
                <w:color w:val="auto"/>
              </w:rPr>
            </w:pPr>
          </w:p>
        </w:tc>
        <w:tc>
          <w:tcPr>
            <w:tcW w:w="1820" w:type="dxa"/>
            <w:vAlign w:val="bottom"/>
            <w:tcBorders>
              <w:top w:val="single" w:sz="8" w:color="D8E4BC"/>
              <w:bottom w:val="single" w:sz="8" w:color="auto"/>
              <w:right w:val="single" w:sz="8" w:color="auto"/>
            </w:tcBorders>
            <w:shd w:val="clear" w:color="auto" w:fill="D8E4BC"/>
          </w:tcPr>
          <w:p>
            <w:pPr>
              <w:jc w:val="center"/>
              <w:spacing w:after="0" w:line="108" w:lineRule="exact"/>
              <w:rPr>
                <w:sz w:val="20"/>
                <w:szCs w:val="20"/>
                <w:color w:val="auto"/>
              </w:rPr>
            </w:pPr>
            <w:r>
              <w:rPr>
                <w:rFonts w:ascii="Times New Roman" w:cs="Times New Roman" w:eastAsia="Times New Roman" w:hAnsi="Times New Roman"/>
                <w:sz w:val="12"/>
                <w:szCs w:val="12"/>
                <w:color w:val="070707"/>
              </w:rPr>
              <w:t>Expense)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70707"/>
              </w:rPr>
              <w:t>EXTERIOR</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The Core &amp; Shell exterior (note: the Core &amp; Shell fac;:ade is currently being designed and will be</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0" w:type="dxa"/>
            <w:vAlign w:val="bottom"/>
            <w:tcBorders>
              <w:right w:val="single" w:sz="8" w:color="auto"/>
            </w:tcBorders>
          </w:tcPr>
          <w:p>
            <w:pPr>
              <w:spacing w:after="0"/>
              <w:rPr>
                <w:sz w:val="14"/>
                <w:szCs w:val="14"/>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consistent with a Class A building typical to the local market and sustainability goals)</w:t>
            </w:r>
          </w:p>
        </w:tc>
        <w:tc>
          <w:tcPr>
            <w:tcW w:w="94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The Core &amp; Shell accessible entrances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60" w:type="dxa"/>
            <w:vAlign w:val="bottom"/>
            <w:tcBorders>
              <w:right w:val="single" w:sz="8" w:color="auto"/>
            </w:tcBorders>
          </w:tcPr>
          <w:p>
            <w:pPr>
              <w:spacing w:after="0"/>
              <w:rPr>
                <w:sz w:val="11"/>
                <w:szCs w:val="11"/>
                <w:color w:val="auto"/>
              </w:rPr>
            </w:pPr>
          </w:p>
        </w:tc>
        <w:tc>
          <w:tcPr>
            <w:tcW w:w="7500" w:type="dxa"/>
            <w:vAlign w:val="bottom"/>
            <w:tcBorders>
              <w:right w:val="single" w:sz="8" w:color="auto"/>
            </w:tcBorders>
          </w:tcPr>
          <w:p>
            <w:pPr>
              <w:ind w:left="40"/>
              <w:spacing w:after="0" w:line="138" w:lineRule="exact"/>
              <w:rPr>
                <w:sz w:val="20"/>
                <w:szCs w:val="20"/>
                <w:color w:val="auto"/>
              </w:rPr>
            </w:pPr>
            <w:r>
              <w:rPr>
                <w:rFonts w:ascii="Arial" w:cs="Arial" w:eastAsia="Arial" w:hAnsi="Arial"/>
                <w:sz w:val="13"/>
                <w:szCs w:val="13"/>
                <w:color w:val="070707"/>
              </w:rPr>
              <w:t>Building mounted signage and/or ground mounted exterior signage in accordance with City of</w:t>
            </w:r>
          </w:p>
        </w:tc>
        <w:tc>
          <w:tcPr>
            <w:tcW w:w="9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60" w:type="dxa"/>
            <w:vAlign w:val="bottom"/>
            <w:tcBorders>
              <w:right w:val="single" w:sz="8" w:color="auto"/>
            </w:tcBorders>
          </w:tcPr>
          <w:p>
            <w:pPr>
              <w:spacing w:after="0"/>
              <w:rPr>
                <w:sz w:val="15"/>
                <w:szCs w:val="15"/>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70707"/>
              </w:rPr>
              <w:t>Watertown rules and regulations and the Lease</w:t>
            </w:r>
            <w:r>
              <w:rPr>
                <w:rFonts w:ascii="Arial" w:cs="Arial" w:eastAsia="Arial" w:hAnsi="Arial"/>
                <w:sz w:val="13"/>
                <w:szCs w:val="13"/>
                <w:color w:val="4B4B4B"/>
              </w:rPr>
              <w:t>,</w:t>
            </w:r>
            <w:r>
              <w:rPr>
                <w:rFonts w:ascii="Arial" w:cs="Arial" w:eastAsia="Arial" w:hAnsi="Arial"/>
                <w:sz w:val="13"/>
                <w:szCs w:val="13"/>
                <w:color w:val="070707"/>
              </w:rPr>
              <w:t xml:space="preserve"> subject to Landlord review and approval.</w:t>
            </w:r>
          </w:p>
        </w:tc>
        <w:tc>
          <w:tcPr>
            <w:tcW w:w="94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Penthouse enclosure for tenant equipment</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Penthouse enclosure for Core Shell equipment</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Rooftop Screen for Core and Shell rooftop equipment</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Rooftop Screen for the Tenant rooftop equipment</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70707"/>
              </w:rPr>
              <w:t>COMMON AREAS</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Accessible Core &amp; Shell entrances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Egress corridors on multi-tenant floors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First floor finished lobby, consistent with a Class A building typical to the local market</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Toilet rooms in Building Core</w:t>
            </w:r>
            <w:r>
              <w:rPr>
                <w:rFonts w:ascii="Arial" w:cs="Arial" w:eastAsia="Arial" w:hAnsi="Arial"/>
                <w:sz w:val="13"/>
                <w:szCs w:val="13"/>
                <w:color w:val="4B4B4B"/>
              </w:rPr>
              <w:t>,</w:t>
            </w:r>
            <w:r>
              <w:rPr>
                <w:rFonts w:ascii="Arial" w:cs="Arial" w:eastAsia="Arial" w:hAnsi="Arial"/>
                <w:sz w:val="13"/>
                <w:szCs w:val="13"/>
                <w:color w:val="070707"/>
              </w:rPr>
              <w:t xml:space="preserve"> consistent with a Class A building typical to the local market</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Finishes in the Core &amp; Shell Common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Code required interior signage for the Core &amp; Shell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Maintenance closets in the Core &amp; Shell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Electrical rooms in the Core &amp; Shell areas for Core &amp; Shell equipment and Tenant sub meters</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60" w:type="dxa"/>
            <w:vAlign w:val="bottom"/>
            <w:tcBorders>
              <w:right w:val="single" w:sz="8" w:color="auto"/>
            </w:tcBorders>
          </w:tcPr>
          <w:p>
            <w:pPr>
              <w:spacing w:after="0"/>
              <w:rPr>
                <w:sz w:val="6"/>
                <w:szCs w:val="6"/>
                <w:color w:val="auto"/>
              </w:rPr>
            </w:pPr>
          </w:p>
        </w:tc>
        <w:tc>
          <w:tcPr>
            <w:tcW w:w="75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60" w:type="dxa"/>
            <w:vAlign w:val="bottom"/>
            <w:tcBorders>
              <w:right w:val="single" w:sz="8" w:color="auto"/>
            </w:tcBorders>
          </w:tcPr>
          <w:p>
            <w:pPr>
              <w:spacing w:after="0"/>
              <w:rPr>
                <w:sz w:val="6"/>
                <w:szCs w:val="6"/>
                <w:color w:val="auto"/>
              </w:rPr>
            </w:pPr>
          </w:p>
        </w:tc>
        <w:tc>
          <w:tcPr>
            <w:tcW w:w="75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The Core &amp; Shell Tel Data Demarcation room (MPOE)</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Pathway from the Core &amp; Shell demarcation room to the Core &amp; Shell lDF rooms on each floor</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60" w:type="dxa"/>
            <w:vAlign w:val="bottom"/>
            <w:tcBorders>
              <w:right w:val="single" w:sz="8" w:color="auto"/>
            </w:tcBorders>
          </w:tcPr>
          <w:p>
            <w:pPr>
              <w:spacing w:after="0"/>
              <w:rPr>
                <w:sz w:val="6"/>
                <w:szCs w:val="6"/>
                <w:color w:val="auto"/>
              </w:rPr>
            </w:pPr>
          </w:p>
        </w:tc>
        <w:tc>
          <w:tcPr>
            <w:tcW w:w="75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60" w:type="dxa"/>
            <w:vAlign w:val="bottom"/>
            <w:tcBorders>
              <w:right w:val="single" w:sz="8" w:color="auto"/>
            </w:tcBorders>
          </w:tcPr>
          <w:p>
            <w:pPr>
              <w:spacing w:after="0"/>
              <w:rPr>
                <w:sz w:val="6"/>
                <w:szCs w:val="6"/>
                <w:color w:val="auto"/>
              </w:rPr>
            </w:pPr>
          </w:p>
        </w:tc>
        <w:tc>
          <w:tcPr>
            <w:tcW w:w="75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Tenant IDF rooms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Tenant low voltage infrastructure from the Core &amp; Shell Demarcation room (MPOE) to Tenant IDF</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rooms and distribution to Tenant Premises</w:t>
            </w: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Doors, frames, and hardware at the Core &amp; Shell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Doors</w:t>
            </w:r>
            <w:r>
              <w:rPr>
                <w:rFonts w:ascii="Arial" w:cs="Arial" w:eastAsia="Arial" w:hAnsi="Arial"/>
                <w:sz w:val="13"/>
                <w:szCs w:val="13"/>
                <w:color w:val="4B4B4B"/>
              </w:rPr>
              <w:t>,</w:t>
            </w:r>
            <w:r>
              <w:rPr>
                <w:rFonts w:ascii="Arial" w:cs="Arial" w:eastAsia="Arial" w:hAnsi="Arial"/>
                <w:sz w:val="13"/>
                <w:szCs w:val="13"/>
                <w:color w:val="070707"/>
              </w:rPr>
              <w:t xml:space="preserve"> frames</w:t>
            </w:r>
            <w:r>
              <w:rPr>
                <w:rFonts w:ascii="Arial" w:cs="Arial" w:eastAsia="Arial" w:hAnsi="Arial"/>
                <w:sz w:val="13"/>
                <w:szCs w:val="13"/>
                <w:color w:val="4B4B4B"/>
              </w:rPr>
              <w:t>,</w:t>
            </w:r>
            <w:r>
              <w:rPr>
                <w:rFonts w:ascii="Arial" w:cs="Arial" w:eastAsia="Arial" w:hAnsi="Arial"/>
                <w:sz w:val="13"/>
                <w:szCs w:val="13"/>
                <w:color w:val="070707"/>
              </w:rPr>
              <w:t xml:space="preserve"> and hardware at the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70707"/>
              </w:rPr>
              <w:t>ELEVATORS</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Two (2) passenger elevators</w:t>
            </w:r>
            <w:r>
              <w:rPr>
                <w:rFonts w:ascii="Arial" w:cs="Arial" w:eastAsia="Arial" w:hAnsi="Arial"/>
                <w:sz w:val="13"/>
                <w:szCs w:val="13"/>
                <w:color w:val="4B4B4B"/>
              </w:rPr>
              <w:t>,</w:t>
            </w:r>
            <w:r>
              <w:rPr>
                <w:rFonts w:ascii="Arial" w:cs="Arial" w:eastAsia="Arial" w:hAnsi="Arial"/>
                <w:sz w:val="13"/>
                <w:szCs w:val="13"/>
                <w:color w:val="070707"/>
              </w:rPr>
              <w:t xml:space="preserve"> serving levels 1-4</w:t>
            </w:r>
            <w:r>
              <w:rPr>
                <w:rFonts w:ascii="Arial" w:cs="Arial" w:eastAsia="Arial" w:hAnsi="Arial"/>
                <w:sz w:val="13"/>
                <w:szCs w:val="13"/>
                <w:color w:val="343434"/>
              </w:rPr>
              <w:t>.</w:t>
            </w:r>
            <w:r>
              <w:rPr>
                <w:rFonts w:ascii="Arial" w:cs="Arial" w:eastAsia="Arial" w:hAnsi="Arial"/>
                <w:sz w:val="13"/>
                <w:szCs w:val="13"/>
                <w:color w:val="070707"/>
              </w:rPr>
              <w:t xml:space="preserve"> The elevator will have 3</w:t>
            </w:r>
            <w:r>
              <w:rPr>
                <w:rFonts w:ascii="Arial" w:cs="Arial" w:eastAsia="Arial" w:hAnsi="Arial"/>
                <w:sz w:val="13"/>
                <w:szCs w:val="13"/>
                <w:color w:val="4B4B4B"/>
              </w:rPr>
              <w:t>,</w:t>
            </w:r>
            <w:r>
              <w:rPr>
                <w:rFonts w:ascii="Arial" w:cs="Arial" w:eastAsia="Arial" w:hAnsi="Arial"/>
                <w:sz w:val="13"/>
                <w:szCs w:val="13"/>
                <w:color w:val="070707"/>
              </w:rPr>
              <w:t>500 lb</w:t>
            </w:r>
            <w:r>
              <w:rPr>
                <w:rFonts w:ascii="Arial" w:cs="Arial" w:eastAsia="Arial" w:hAnsi="Arial"/>
                <w:sz w:val="13"/>
                <w:szCs w:val="13"/>
                <w:color w:val="4B4B4B"/>
              </w:rPr>
              <w:t>.</w:t>
            </w:r>
            <w:r>
              <w:rPr>
                <w:rFonts w:ascii="Arial" w:cs="Arial" w:eastAsia="Arial" w:hAnsi="Arial"/>
                <w:sz w:val="13"/>
                <w:szCs w:val="13"/>
                <w:color w:val="070707"/>
              </w:rPr>
              <w:t xml:space="preserve"> capacity</w:t>
            </w:r>
            <w:r>
              <w:rPr>
                <w:rFonts w:ascii="Arial" w:cs="Arial" w:eastAsia="Arial" w:hAnsi="Arial"/>
                <w:sz w:val="13"/>
                <w:szCs w:val="13"/>
                <w:color w:val="4B4B4B"/>
              </w:rPr>
              <w:t>,</w:t>
            </w:r>
            <w:r>
              <w:rPr>
                <w:rFonts w:ascii="Arial" w:cs="Arial" w:eastAsia="Arial" w:hAnsi="Arial"/>
                <w:sz w:val="13"/>
                <w:szCs w:val="13"/>
                <w:color w:val="070707"/>
              </w:rPr>
              <w:t>350 FPM</w:t>
            </w:r>
            <w:r>
              <w:rPr>
                <w:rFonts w:ascii="Arial" w:cs="Arial" w:eastAsia="Arial" w:hAnsi="Arial"/>
                <w:sz w:val="13"/>
                <w:szCs w:val="13"/>
                <w:color w:val="4B4B4B"/>
              </w:rPr>
              <w:t>,</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and 3'6" wide opening</w:t>
            </w:r>
            <w:r>
              <w:rPr>
                <w:rFonts w:ascii="Arial" w:cs="Arial" w:eastAsia="Arial" w:hAnsi="Arial"/>
                <w:sz w:val="13"/>
                <w:szCs w:val="13"/>
                <w:color w:val="4B4B4B"/>
              </w:rPr>
              <w:t>.</w:t>
            </w: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One (1) service elevator serving every floor including the penthouse</w:t>
            </w:r>
            <w:r>
              <w:rPr>
                <w:rFonts w:ascii="Arial" w:cs="Arial" w:eastAsia="Arial" w:hAnsi="Arial"/>
                <w:sz w:val="13"/>
                <w:szCs w:val="13"/>
                <w:color w:val="343434"/>
              </w:rPr>
              <w:t>.</w:t>
            </w:r>
            <w:r>
              <w:rPr>
                <w:rFonts w:ascii="Arial" w:cs="Arial" w:eastAsia="Arial" w:hAnsi="Arial"/>
                <w:sz w:val="13"/>
                <w:szCs w:val="13"/>
                <w:color w:val="070707"/>
              </w:rPr>
              <w:t xml:space="preserve"> Elevator will have 5,000 lb.</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capacity, 350 FPM, 4</w:t>
            </w:r>
            <w:r>
              <w:rPr>
                <w:rFonts w:ascii="Arial" w:cs="Arial" w:eastAsia="Arial" w:hAnsi="Arial"/>
                <w:sz w:val="13"/>
                <w:szCs w:val="13"/>
                <w:color w:val="4B4B4B"/>
              </w:rPr>
              <w:t>'</w:t>
            </w:r>
            <w:r>
              <w:rPr>
                <w:rFonts w:ascii="Arial" w:cs="Arial" w:eastAsia="Arial" w:hAnsi="Arial"/>
                <w:sz w:val="13"/>
                <w:szCs w:val="13"/>
                <w:color w:val="070707"/>
              </w:rPr>
              <w:t>-6</w:t>
            </w:r>
            <w:r>
              <w:rPr>
                <w:rFonts w:ascii="Arial" w:cs="Arial" w:eastAsia="Arial" w:hAnsi="Arial"/>
                <w:sz w:val="13"/>
                <w:szCs w:val="13"/>
                <w:color w:val="262626"/>
              </w:rPr>
              <w:t>"</w:t>
            </w:r>
            <w:r>
              <w:rPr>
                <w:rFonts w:ascii="Arial" w:cs="Arial" w:eastAsia="Arial" w:hAnsi="Arial"/>
                <w:sz w:val="13"/>
                <w:szCs w:val="13"/>
                <w:color w:val="070707"/>
              </w:rPr>
              <w:t xml:space="preserve"> wide door opening</w:t>
            </w:r>
            <w:r>
              <w:rPr>
                <w:rFonts w:ascii="Arial" w:cs="Arial" w:eastAsia="Arial" w:hAnsi="Arial"/>
                <w:sz w:val="13"/>
                <w:szCs w:val="13"/>
                <w:color w:val="4B4B4B"/>
              </w:rPr>
              <w:t>.</w:t>
            </w: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Modifications to the Core &amp; Shell elevators to accommodate Tenant requirements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3"/>
                <w:szCs w:val="13"/>
                <w:color w:val="070707"/>
              </w:rPr>
              <w:t>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70707"/>
              </w:rPr>
              <w:t>WINDOW TREATMENT</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 w:type="dxa"/>
            <w:vAlign w:val="bottom"/>
            <w:tcBorders>
              <w:right w:val="single" w:sz="8" w:color="auto"/>
            </w:tcBorders>
          </w:tcPr>
          <w:p>
            <w:pPr>
              <w:spacing w:after="0"/>
              <w:rPr>
                <w:sz w:val="14"/>
                <w:szCs w:val="14"/>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Furnish and install the Core &amp; Shell automated window treatment standard</w:t>
            </w:r>
            <w:r>
              <w:rPr>
                <w:rFonts w:ascii="Arial" w:cs="Arial" w:eastAsia="Arial" w:hAnsi="Arial"/>
                <w:sz w:val="13"/>
                <w:szCs w:val="13"/>
                <w:color w:val="4B4B4B"/>
              </w:rPr>
              <w:t>,</w:t>
            </w:r>
            <w:r>
              <w:rPr>
                <w:rFonts w:ascii="Arial" w:cs="Arial" w:eastAsia="Arial" w:hAnsi="Arial"/>
                <w:sz w:val="13"/>
                <w:szCs w:val="13"/>
                <w:color w:val="070707"/>
              </w:rPr>
              <w:t xml:space="preserve"> including associated</w:t>
            </w:r>
          </w:p>
        </w:tc>
        <w:tc>
          <w:tcPr>
            <w:tcW w:w="94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supports and blocking</w:t>
            </w:r>
            <w:r>
              <w:rPr>
                <w:rFonts w:ascii="Arial" w:cs="Arial" w:eastAsia="Arial" w:hAnsi="Arial"/>
                <w:sz w:val="13"/>
                <w:szCs w:val="13"/>
                <w:color w:val="4B4B4B"/>
              </w:rPr>
              <w:t>,</w:t>
            </w:r>
            <w:r>
              <w:rPr>
                <w:rFonts w:ascii="Arial" w:cs="Arial" w:eastAsia="Arial" w:hAnsi="Arial"/>
                <w:sz w:val="13"/>
                <w:szCs w:val="13"/>
                <w:color w:val="070707"/>
              </w:rPr>
              <w:t xml:space="preserve"> in Tenant Premises</w:t>
            </w:r>
            <w:r>
              <w:rPr>
                <w:rFonts w:ascii="Arial" w:cs="Arial" w:eastAsia="Arial" w:hAnsi="Arial"/>
                <w:sz w:val="13"/>
                <w:szCs w:val="13"/>
                <w:color w:val="4B4B4B"/>
              </w:rPr>
              <w:t>;</w:t>
            </w:r>
            <w:r>
              <w:rPr>
                <w:rFonts w:ascii="Arial" w:cs="Arial" w:eastAsia="Arial" w:hAnsi="Arial"/>
                <w:sz w:val="13"/>
                <w:szCs w:val="13"/>
                <w:color w:val="070707"/>
              </w:rPr>
              <w:t xml:space="preserve"> the standard window treatment is currently TBD</w:t>
            </w:r>
            <w:r>
              <w:rPr>
                <w:rFonts w:ascii="Arial" w:cs="Arial" w:eastAsia="Arial" w:hAnsi="Arial"/>
                <w:sz w:val="13"/>
                <w:szCs w:val="13"/>
                <w:color w:val="343434"/>
              </w:rPr>
              <w:t>.</w:t>
            </w:r>
          </w:p>
        </w:tc>
        <w:tc>
          <w:tcPr>
            <w:tcW w:w="9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vMerge w:val="continue"/>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70707"/>
              </w:rPr>
              <w:t>Solid surface window sills as applicable in Tenant Premises</w:t>
            </w:r>
          </w:p>
        </w:tc>
        <w:tc>
          <w:tcPr>
            <w:tcW w:w="9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40"/>
              <w:spacing w:after="0"/>
              <w:rPr>
                <w:sz w:val="20"/>
                <w:szCs w:val="20"/>
                <w:color w:val="auto"/>
              </w:rPr>
            </w:pPr>
            <w:r>
              <w:rPr>
                <w:rFonts w:ascii="Arial" w:cs="Arial" w:eastAsia="Arial" w:hAnsi="Arial"/>
                <w:sz w:val="14"/>
                <w:szCs w:val="14"/>
                <w:b w:val="1"/>
                <w:bCs w:val="1"/>
                <w:color w:val="070707"/>
              </w:rPr>
              <w:t>TENANT PREMISES</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Drywall and finishes at inside face of exterior walls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Finishes at inside face at Tenant side of core partitions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Toilet rooms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Finishes in Tenant Mechanical rooms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Electrical closets for Tenant program</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Tel/data rooms for Tenant program</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Tenant kitchen areas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Modifications to the Core &amp; Shell to accommodate Tenant requirements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3"/>
                <w:szCs w:val="13"/>
                <w:color w:val="070707"/>
              </w:rPr>
              <w:t>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Moisture mitigation measures at slabs 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Partitions, ceilings</w:t>
            </w:r>
            <w:r>
              <w:rPr>
                <w:rFonts w:ascii="Arial" w:cs="Arial" w:eastAsia="Arial" w:hAnsi="Arial"/>
                <w:sz w:val="13"/>
                <w:szCs w:val="13"/>
                <w:color w:val="343434"/>
              </w:rPr>
              <w:t>,</w:t>
            </w:r>
            <w:r>
              <w:rPr>
                <w:rFonts w:ascii="Arial" w:cs="Arial" w:eastAsia="Arial" w:hAnsi="Arial"/>
                <w:sz w:val="13"/>
                <w:szCs w:val="13"/>
                <w:color w:val="070707"/>
              </w:rPr>
              <w:t xml:space="preserve"> flooring, painting</w:t>
            </w:r>
            <w:r>
              <w:rPr>
                <w:rFonts w:ascii="Arial" w:cs="Arial" w:eastAsia="Arial" w:hAnsi="Arial"/>
                <w:sz w:val="13"/>
                <w:szCs w:val="13"/>
                <w:color w:val="343434"/>
              </w:rPr>
              <w:t>,</w:t>
            </w:r>
            <w:r>
              <w:rPr>
                <w:rFonts w:ascii="Arial" w:cs="Arial" w:eastAsia="Arial" w:hAnsi="Arial"/>
                <w:sz w:val="13"/>
                <w:szCs w:val="13"/>
                <w:color w:val="070707"/>
              </w:rPr>
              <w:t xml:space="preserve"> finishes, doors, frames, hardware, millwork, casework, and</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buildout in Tenant Premises</w:t>
            </w: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Fixed or movable casework 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Laboratory equipment including</w:t>
            </w:r>
            <w:r>
              <w:rPr>
                <w:rFonts w:ascii="Arial" w:cs="Arial" w:eastAsia="Arial" w:hAnsi="Arial"/>
                <w:sz w:val="13"/>
                <w:szCs w:val="13"/>
                <w:color w:val="343434"/>
              </w:rPr>
              <w:t>,</w:t>
            </w:r>
            <w:r>
              <w:rPr>
                <w:rFonts w:ascii="Arial" w:cs="Arial" w:eastAsia="Arial" w:hAnsi="Arial"/>
                <w:sz w:val="13"/>
                <w:szCs w:val="13"/>
                <w:color w:val="070707"/>
              </w:rPr>
              <w:t xml:space="preserve"> but not limited to</w:t>
            </w:r>
            <w:r>
              <w:rPr>
                <w:rFonts w:ascii="Arial" w:cs="Arial" w:eastAsia="Arial" w:hAnsi="Arial"/>
                <w:sz w:val="13"/>
                <w:szCs w:val="13"/>
                <w:color w:val="343434"/>
              </w:rPr>
              <w:t>,</w:t>
            </w:r>
            <w:r>
              <w:rPr>
                <w:rFonts w:ascii="Arial" w:cs="Arial" w:eastAsia="Arial" w:hAnsi="Arial"/>
                <w:sz w:val="13"/>
                <w:szCs w:val="13"/>
                <w:color w:val="070707"/>
              </w:rPr>
              <w:t xml:space="preserve"> biosafety cabinets, autoclaves</w:t>
            </w:r>
            <w:r>
              <w:rPr>
                <w:rFonts w:ascii="Arial" w:cs="Arial" w:eastAsia="Arial" w:hAnsi="Arial"/>
                <w:sz w:val="13"/>
                <w:szCs w:val="13"/>
                <w:color w:val="343434"/>
              </w:rPr>
              <w:t>,</w:t>
            </w:r>
            <w:r>
              <w:rPr>
                <w:rFonts w:ascii="Arial" w:cs="Arial" w:eastAsia="Arial" w:hAnsi="Arial"/>
                <w:sz w:val="13"/>
                <w:szCs w:val="13"/>
                <w:color w:val="070707"/>
              </w:rPr>
              <w:t xml:space="preserve"> glasswashers</w:t>
            </w:r>
            <w:r>
              <w:rPr>
                <w:rFonts w:ascii="Arial" w:cs="Arial" w:eastAsia="Arial" w:hAnsi="Arial"/>
                <w:sz w:val="13"/>
                <w:szCs w:val="13"/>
                <w:color w:val="343434"/>
              </w:rPr>
              <w:t>,</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bioreactors in Tenant Premises</w:t>
            </w: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Chemical fume hoods</w:t>
            </w:r>
            <w:r>
              <w:rPr>
                <w:rFonts w:ascii="Arial" w:cs="Arial" w:eastAsia="Arial" w:hAnsi="Arial"/>
                <w:sz w:val="13"/>
                <w:szCs w:val="13"/>
                <w:color w:val="4B4B4B"/>
              </w:rPr>
              <w:t>,</w:t>
            </w:r>
            <w:r>
              <w:rPr>
                <w:rFonts w:ascii="Arial" w:cs="Arial" w:eastAsia="Arial" w:hAnsi="Arial"/>
                <w:sz w:val="13"/>
                <w:szCs w:val="13"/>
                <w:color w:val="070707"/>
              </w:rPr>
              <w:t xml:space="preserve"> bench fume hood</w:t>
            </w:r>
            <w:r>
              <w:rPr>
                <w:rFonts w:ascii="Arial" w:cs="Arial" w:eastAsia="Arial" w:hAnsi="Arial"/>
                <w:sz w:val="13"/>
                <w:szCs w:val="13"/>
                <w:color w:val="4B4B4B"/>
              </w:rPr>
              <w:t>,</w:t>
            </w:r>
            <w:r>
              <w:rPr>
                <w:rFonts w:ascii="Arial" w:cs="Arial" w:eastAsia="Arial" w:hAnsi="Arial"/>
                <w:sz w:val="13"/>
                <w:szCs w:val="13"/>
                <w:color w:val="070707"/>
              </w:rPr>
              <w:t xml:space="preserve"> lab casework 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70707"/>
              </w:rPr>
              <w:t>Shaft enclosures for Core &amp; Shell risers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70707"/>
              </w:rPr>
              <w:t>Shaft enclosures for Tenant risers within allocated space in the main vertical Core &amp; Shell shafts</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70707"/>
              </w:rPr>
              <w:t>Shaft enclosures for Tenant risers outside of the allocated space in the main vertical Core &amp; Shell</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shafts, subject to Landlord approval.</w:t>
            </w: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7"/>
        </w:trPr>
        <w:tc>
          <w:tcPr>
            <w:tcW w:w="16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-8507095</wp:posOffset>
            </wp:positionV>
            <wp:extent cx="4791710" cy="16256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8">
                      <a:extLst>
                        <a:ext uri="{28A0092B-C50C-407E-A947-70E740481C1C}"/>
                      </a:extLst>
                    </a:blip>
                    <a:srcRect/>
                    <a:stretch>
                      <a:fillRect/>
                    </a:stretch>
                  </pic:blipFill>
                  <pic:spPr bwMode="auto">
                    <a:xfrm>
                      <a:off x="0" y="0"/>
                      <a:ext cx="479171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-1182370</wp:posOffset>
            </wp:positionV>
            <wp:extent cx="2425700" cy="41148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1">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193675</wp:posOffset>
            </wp:positionV>
            <wp:extent cx="4791710" cy="15430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2">
                      <a:extLst>
                        <a:ext uri="{28A0092B-C50C-407E-A947-70E740481C1C}"/>
                      </a:extLst>
                    </a:blip>
                    <a:srcRect/>
                    <a:stretch>
                      <a:fillRect/>
                    </a:stretch>
                  </pic:blipFill>
                  <pic:spPr bwMode="auto">
                    <a:xfrm>
                      <a:off x="0" y="0"/>
                      <a:ext cx="4791710" cy="15430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7500" w:type="dxa"/>
            <w:vAlign w:val="bottom"/>
          </w:tcPr>
          <w:p>
            <w:pPr>
              <w:ind w:left="40"/>
              <w:spacing w:after="0"/>
              <w:rPr>
                <w:sz w:val="20"/>
                <w:szCs w:val="20"/>
                <w:color w:val="auto"/>
              </w:rPr>
            </w:pPr>
            <w:r>
              <w:rPr>
                <w:rFonts w:ascii="Arial" w:cs="Arial" w:eastAsia="Arial" w:hAnsi="Arial"/>
                <w:sz w:val="13"/>
                <w:szCs w:val="13"/>
                <w:color w:val="070707"/>
              </w:rPr>
              <w:t>All interior signage for Tenant Premises</w:t>
            </w:r>
          </w:p>
        </w:tc>
        <w:tc>
          <w:tcPr>
            <w:tcW w:w="940" w:type="dxa"/>
            <w:vAlign w:val="bottom"/>
            <w:tcBorders>
              <w:top w:val="single" w:sz="8" w:color="auto"/>
              <w:right w:val="single" w:sz="8" w:color="auto"/>
            </w:tcBorders>
          </w:tcPr>
          <w:p>
            <w:pPr>
              <w:spacing w:after="0"/>
              <w:rPr>
                <w:sz w:val="16"/>
                <w:szCs w:val="16"/>
                <w:color w:val="auto"/>
              </w:rPr>
            </w:pPr>
          </w:p>
        </w:tc>
        <w:tc>
          <w:tcPr>
            <w:tcW w:w="72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top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70707"/>
              </w:rPr>
              <w:t>Sound attenuation upgrades (interior and / or exterior) in order to comply with City of Watertown's</w:t>
            </w:r>
          </w:p>
        </w:tc>
        <w:tc>
          <w:tcPr>
            <w:tcW w:w="940" w:type="dxa"/>
            <w:vAlign w:val="bottom"/>
            <w:tcBorders>
              <w:top w:val="single" w:sz="8" w:color="auto"/>
              <w:right w:val="single" w:sz="8" w:color="auto"/>
            </w:tcBorders>
          </w:tcPr>
          <w:p>
            <w:pPr>
              <w:spacing w:after="0"/>
              <w:rPr>
                <w:sz w:val="13"/>
                <w:szCs w:val="13"/>
                <w:color w:val="auto"/>
              </w:rPr>
            </w:pPr>
          </w:p>
        </w:tc>
        <w:tc>
          <w:tcPr>
            <w:tcW w:w="72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top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acoustical criteria and design of Tenant Premises</w:t>
            </w: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Upgrades to Tenant Mechanical rooms (solid partition enclosures; wall</w:t>
            </w:r>
            <w:r>
              <w:rPr>
                <w:rFonts w:ascii="Arial" w:cs="Arial" w:eastAsia="Arial" w:hAnsi="Arial"/>
                <w:sz w:val="13"/>
                <w:szCs w:val="13"/>
                <w:color w:val="343434"/>
              </w:rPr>
              <w:t>,</w:t>
            </w:r>
            <w:r>
              <w:rPr>
                <w:rFonts w:ascii="Arial" w:cs="Arial" w:eastAsia="Arial" w:hAnsi="Arial"/>
                <w:sz w:val="13"/>
                <w:szCs w:val="13"/>
                <w:color w:val="070707"/>
              </w:rPr>
              <w:t xml:space="preserve"> ceiling and floor finishes;</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doors</w:t>
            </w:r>
            <w:r>
              <w:rPr>
                <w:rFonts w:ascii="Arial" w:cs="Arial" w:eastAsia="Arial" w:hAnsi="Arial"/>
                <w:sz w:val="13"/>
                <w:szCs w:val="13"/>
                <w:color w:val="4B4B4B"/>
              </w:rPr>
              <w:t>,</w:t>
            </w:r>
            <w:r>
              <w:rPr>
                <w:rFonts w:ascii="Arial" w:cs="Arial" w:eastAsia="Arial" w:hAnsi="Arial"/>
                <w:sz w:val="13"/>
                <w:szCs w:val="13"/>
                <w:color w:val="070707"/>
              </w:rPr>
              <w:t xml:space="preserve"> frames and hardware)</w:t>
            </w: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7"/>
        </w:trPr>
        <w:tc>
          <w:tcPr>
            <w:tcW w:w="16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-1182370</wp:posOffset>
            </wp:positionV>
            <wp:extent cx="2425700" cy="41148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5">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247"/>
        </w:trPr>
        <w:tc>
          <w:tcPr>
            <w:tcW w:w="16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920" w:type="dxa"/>
            <w:vAlign w:val="bottom"/>
            <w:gridSpan w:val="2"/>
          </w:tcPr>
          <w:p>
            <w:pPr>
              <w:ind w:left="820"/>
              <w:spacing w:after="0"/>
              <w:rPr>
                <w:sz w:val="20"/>
                <w:szCs w:val="20"/>
                <w:color w:val="auto"/>
              </w:rPr>
            </w:pPr>
            <w:r>
              <w:rPr>
                <w:rFonts w:ascii="Arial" w:cs="Arial" w:eastAsia="Arial" w:hAnsi="Arial"/>
                <w:sz w:val="18"/>
                <w:szCs w:val="18"/>
                <w:b w:val="1"/>
                <w:bCs w:val="1"/>
                <w:color w:val="auto"/>
                <w:w w:val="98"/>
              </w:rPr>
              <w:t>Exhibit 10.13</w:t>
            </w:r>
          </w:p>
        </w:tc>
        <w:tc>
          <w:tcPr>
            <w:tcW w:w="0" w:type="dxa"/>
            <w:vAlign w:val="bottom"/>
          </w:tcPr>
          <w:p>
            <w:pPr>
              <w:spacing w:after="0"/>
              <w:rPr>
                <w:sz w:val="1"/>
                <w:szCs w:val="1"/>
                <w:color w:val="auto"/>
              </w:rPr>
            </w:pPr>
          </w:p>
        </w:tc>
      </w:tr>
      <w:tr>
        <w:trPr>
          <w:trHeight w:val="285"/>
        </w:trPr>
        <w:tc>
          <w:tcPr>
            <w:tcW w:w="1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tcBorders>
              <w:right w:val="single" w:sz="8" w:color="D8E4BC"/>
            </w:tcBorders>
          </w:tcPr>
          <w:p>
            <w:pPr>
              <w:spacing w:after="0"/>
              <w:rPr>
                <w:sz w:val="17"/>
                <w:szCs w:val="17"/>
                <w:color w:val="auto"/>
              </w:rPr>
            </w:pPr>
          </w:p>
        </w:tc>
        <w:tc>
          <w:tcPr>
            <w:tcW w:w="7500" w:type="dxa"/>
            <w:vAlign w:val="bottom"/>
            <w:tcBorders>
              <w:top w:val="single" w:sz="8" w:color="D8E4BC"/>
              <w:right w:val="single" w:sz="8" w:color="D8E4BC"/>
            </w:tcBorders>
            <w:shd w:val="clear" w:color="auto" w:fill="D8E4BC"/>
          </w:tcPr>
          <w:p>
            <w:pPr>
              <w:ind w:left="1560"/>
              <w:spacing w:after="0"/>
              <w:rPr>
                <w:sz w:val="20"/>
                <w:szCs w:val="20"/>
                <w:color w:val="auto"/>
              </w:rPr>
            </w:pPr>
            <w:r>
              <w:rPr>
                <w:rFonts w:ascii="Times New Roman" w:cs="Times New Roman" w:eastAsia="Times New Roman" w:hAnsi="Times New Roman"/>
                <w:sz w:val="14"/>
                <w:szCs w:val="14"/>
                <w:color w:val="080808"/>
              </w:rPr>
              <w:t xml:space="preserve">ARSENAL ON </w:t>
            </w:r>
            <w:r>
              <w:rPr>
                <w:rFonts w:ascii="Times New Roman" w:cs="Times New Roman" w:eastAsia="Times New Roman" w:hAnsi="Times New Roman"/>
                <w:sz w:val="15"/>
                <w:szCs w:val="15"/>
                <w:b w:val="1"/>
                <w:bCs w:val="1"/>
                <w:color w:val="080808"/>
              </w:rPr>
              <w:t>THE</w:t>
            </w:r>
            <w:r>
              <w:rPr>
                <w:rFonts w:ascii="Times New Roman" w:cs="Times New Roman" w:eastAsia="Times New Roman" w:hAnsi="Times New Roman"/>
                <w:sz w:val="14"/>
                <w:szCs w:val="14"/>
                <w:color w:val="080808"/>
              </w:rPr>
              <w:t xml:space="preserve"> CHARLES - BUILDING NO</w:t>
            </w:r>
            <w:r>
              <w:rPr>
                <w:rFonts w:ascii="Times New Roman" w:cs="Times New Roman" w:eastAsia="Times New Roman" w:hAnsi="Times New Roman"/>
                <w:sz w:val="14"/>
                <w:szCs w:val="14"/>
                <w:color w:val="4D4D4D"/>
              </w:rPr>
              <w:t>.</w:t>
            </w:r>
            <w:r>
              <w:rPr>
                <w:rFonts w:ascii="Times New Roman" w:cs="Times New Roman" w:eastAsia="Times New Roman" w:hAnsi="Times New Roman"/>
                <w:sz w:val="14"/>
                <w:szCs w:val="14"/>
                <w:color w:val="080808"/>
              </w:rPr>
              <w:t xml:space="preserve"> </w:t>
            </w:r>
            <w:r>
              <w:rPr>
                <w:rFonts w:ascii="Times New Roman" w:cs="Times New Roman" w:eastAsia="Times New Roman" w:hAnsi="Times New Roman"/>
                <w:sz w:val="15"/>
                <w:szCs w:val="15"/>
                <w:b w:val="1"/>
                <w:bCs w:val="1"/>
                <w:color w:val="080808"/>
              </w:rPr>
              <w:t>1</w:t>
            </w:r>
          </w:p>
        </w:tc>
        <w:tc>
          <w:tcPr>
            <w:tcW w:w="940" w:type="dxa"/>
            <w:vAlign w:val="bottom"/>
            <w:tcBorders>
              <w:top w:val="single" w:sz="8" w:color="auto"/>
              <w:right w:val="single" w:sz="8" w:color="auto"/>
            </w:tcBorders>
            <w:shd w:val="clear" w:color="auto" w:fill="D8E4BC"/>
          </w:tcPr>
          <w:p>
            <w:pPr>
              <w:ind w:left="100"/>
              <w:spacing w:after="0"/>
              <w:rPr>
                <w:sz w:val="20"/>
                <w:szCs w:val="20"/>
                <w:color w:val="auto"/>
              </w:rPr>
            </w:pPr>
            <w:r>
              <w:rPr>
                <w:rFonts w:ascii="Times New Roman" w:cs="Times New Roman" w:eastAsia="Times New Roman" w:hAnsi="Times New Roman"/>
                <w:sz w:val="15"/>
                <w:szCs w:val="15"/>
                <w:color w:val="080808"/>
              </w:rPr>
              <w:t>Landlord</w:t>
            </w:r>
          </w:p>
        </w:tc>
        <w:tc>
          <w:tcPr>
            <w:tcW w:w="720" w:type="dxa"/>
            <w:vAlign w:val="bottom"/>
            <w:tcBorders>
              <w:top w:val="single" w:sz="8" w:color="auto"/>
              <w:right w:val="single" w:sz="8" w:color="auto"/>
            </w:tcBorders>
            <w:shd w:val="clear" w:color="auto" w:fill="D8E4BC"/>
          </w:tcPr>
          <w:p>
            <w:pPr>
              <w:ind w:left="100"/>
              <w:spacing w:after="0"/>
              <w:rPr>
                <w:sz w:val="20"/>
                <w:szCs w:val="20"/>
                <w:color w:val="auto"/>
              </w:rPr>
            </w:pPr>
            <w:r>
              <w:rPr>
                <w:rFonts w:ascii="Times New Roman" w:cs="Times New Roman" w:eastAsia="Times New Roman" w:hAnsi="Times New Roman"/>
                <w:sz w:val="15"/>
                <w:szCs w:val="15"/>
                <w:color w:val="080808"/>
              </w:rPr>
              <w:t>Tenant</w:t>
            </w:r>
          </w:p>
        </w:tc>
        <w:tc>
          <w:tcPr>
            <w:tcW w:w="1820" w:type="dxa"/>
            <w:vAlign w:val="bottom"/>
            <w:tcBorders>
              <w:top w:val="single" w:sz="8" w:color="auto"/>
              <w:right w:val="single" w:sz="8" w:color="auto"/>
            </w:tcBorders>
            <w:shd w:val="clear" w:color="auto" w:fill="D8E4BC"/>
          </w:tcPr>
          <w:p>
            <w:pPr>
              <w:ind w:left="60"/>
              <w:spacing w:after="0"/>
              <w:rPr>
                <w:sz w:val="20"/>
                <w:szCs w:val="20"/>
                <w:color w:val="auto"/>
              </w:rPr>
            </w:pPr>
            <w:r>
              <w:rPr>
                <w:rFonts w:ascii="Times New Roman" w:cs="Times New Roman" w:eastAsia="Times New Roman" w:hAnsi="Times New Roman"/>
                <w:sz w:val="15"/>
                <w:szCs w:val="15"/>
                <w:color w:val="080808"/>
              </w:rPr>
              <w:t>Landlord (at Tenant's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 w:type="dxa"/>
            <w:vAlign w:val="bottom"/>
            <w:tcBorders>
              <w:right w:val="single" w:sz="8" w:color="auto"/>
            </w:tcBorders>
          </w:tcPr>
          <w:p>
            <w:pPr>
              <w:spacing w:after="0"/>
              <w:rPr>
                <w:sz w:val="16"/>
                <w:szCs w:val="16"/>
                <w:color w:val="auto"/>
              </w:rPr>
            </w:pPr>
          </w:p>
        </w:tc>
        <w:tc>
          <w:tcPr>
            <w:tcW w:w="7500" w:type="dxa"/>
            <w:vAlign w:val="bottom"/>
            <w:tcBorders>
              <w:bottom w:val="single" w:sz="8" w:color="auto"/>
              <w:right w:val="single" w:sz="8" w:color="auto"/>
            </w:tcBorders>
            <w:shd w:val="clear" w:color="auto" w:fill="D8E4BC"/>
          </w:tcPr>
          <w:p>
            <w:pPr>
              <w:ind w:left="1880"/>
              <w:spacing w:after="0"/>
              <w:rPr>
                <w:sz w:val="20"/>
                <w:szCs w:val="20"/>
                <w:color w:val="auto"/>
              </w:rPr>
            </w:pPr>
            <w:r>
              <w:rPr>
                <w:rFonts w:ascii="Times New Roman" w:cs="Times New Roman" w:eastAsia="Times New Roman" w:hAnsi="Times New Roman"/>
                <w:sz w:val="14"/>
                <w:szCs w:val="14"/>
                <w:color w:val="080808"/>
              </w:rPr>
              <w:t>LANDLORD/TENANT RESPONSIBILITY MATRIX - DRAFI'</w:t>
            </w:r>
          </w:p>
        </w:tc>
        <w:tc>
          <w:tcPr>
            <w:tcW w:w="940" w:type="dxa"/>
            <w:vAlign w:val="bottom"/>
            <w:tcBorders>
              <w:bottom w:val="single" w:sz="8" w:color="auto"/>
              <w:right w:val="single" w:sz="8" w:color="auto"/>
            </w:tcBorders>
            <w:shd w:val="clear" w:color="auto" w:fill="D8E4BC"/>
          </w:tcPr>
          <w:p>
            <w:pPr>
              <w:spacing w:after="0"/>
              <w:rPr>
                <w:sz w:val="16"/>
                <w:szCs w:val="16"/>
                <w:color w:val="auto"/>
              </w:rPr>
            </w:pPr>
          </w:p>
        </w:tc>
        <w:tc>
          <w:tcPr>
            <w:tcW w:w="720" w:type="dxa"/>
            <w:vAlign w:val="bottom"/>
            <w:tcBorders>
              <w:bottom w:val="single" w:sz="8" w:color="auto"/>
              <w:right w:val="single" w:sz="8" w:color="auto"/>
            </w:tcBorders>
            <w:shd w:val="clear" w:color="auto" w:fill="D8E4BC"/>
          </w:tcPr>
          <w:p>
            <w:pPr>
              <w:spacing w:after="0"/>
              <w:rPr>
                <w:sz w:val="16"/>
                <w:szCs w:val="16"/>
                <w:color w:val="auto"/>
              </w:rPr>
            </w:pPr>
          </w:p>
        </w:tc>
        <w:tc>
          <w:tcPr>
            <w:tcW w:w="1820" w:type="dxa"/>
            <w:vAlign w:val="bottom"/>
            <w:tcBorders>
              <w:bottom w:val="single" w:sz="8" w:color="auto"/>
              <w:right w:val="single" w:sz="8" w:color="auto"/>
            </w:tcBorders>
            <w:shd w:val="clear" w:color="auto" w:fill="D8E4BC"/>
          </w:tcPr>
          <w:p>
            <w:pPr>
              <w:ind w:left="460"/>
              <w:spacing w:after="0"/>
              <w:rPr>
                <w:sz w:val="20"/>
                <w:szCs w:val="20"/>
                <w:color w:val="auto"/>
              </w:rPr>
            </w:pPr>
            <w:r>
              <w:rPr>
                <w:rFonts w:ascii="Times New Roman" w:cs="Times New Roman" w:eastAsia="Times New Roman" w:hAnsi="Times New Roman"/>
                <w:sz w:val="15"/>
                <w:szCs w:val="15"/>
                <w:color w:val="080808"/>
              </w:rPr>
              <w:t>Expense)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80808"/>
              </w:rPr>
              <w:t>FIRE PROTECTION</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Fire service entrance including fire department connection, alarm valve</w:t>
            </w:r>
            <w:r>
              <w:rPr>
                <w:rFonts w:ascii="Arial" w:cs="Arial" w:eastAsia="Arial" w:hAnsi="Arial"/>
                <w:sz w:val="13"/>
                <w:szCs w:val="13"/>
                <w:color w:val="343434"/>
              </w:rPr>
              <w:t>,</w:t>
            </w:r>
            <w:r>
              <w:rPr>
                <w:rFonts w:ascii="Arial" w:cs="Arial" w:eastAsia="Arial" w:hAnsi="Arial"/>
                <w:sz w:val="13"/>
                <w:szCs w:val="13"/>
                <w:color w:val="080808"/>
              </w:rPr>
              <w:t xml:space="preserve"> and back flow protection</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60" w:type="dxa"/>
            <w:vAlign w:val="bottom"/>
            <w:tcBorders>
              <w:right w:val="single" w:sz="8" w:color="auto"/>
            </w:tcBorders>
          </w:tcPr>
          <w:p>
            <w:pPr>
              <w:spacing w:after="0"/>
              <w:rPr>
                <w:sz w:val="6"/>
                <w:szCs w:val="6"/>
                <w:color w:val="auto"/>
              </w:rPr>
            </w:pPr>
          </w:p>
        </w:tc>
        <w:tc>
          <w:tcPr>
            <w:tcW w:w="75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60" w:type="dxa"/>
            <w:vAlign w:val="bottom"/>
            <w:tcBorders>
              <w:right w:val="single" w:sz="8" w:color="auto"/>
            </w:tcBorders>
          </w:tcPr>
          <w:p>
            <w:pPr>
              <w:spacing w:after="0"/>
              <w:rPr>
                <w:sz w:val="6"/>
                <w:szCs w:val="6"/>
                <w:color w:val="auto"/>
              </w:rPr>
            </w:pPr>
          </w:p>
        </w:tc>
        <w:tc>
          <w:tcPr>
            <w:tcW w:w="75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Primary distribution and sprinkler heads adequate to support ordinary hazard (with upturned heads)</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60" w:type="dxa"/>
            <w:vAlign w:val="bottom"/>
            <w:tcBorders>
              <w:right w:val="single" w:sz="8" w:color="auto"/>
            </w:tcBorders>
          </w:tcPr>
          <w:p>
            <w:pPr>
              <w:spacing w:after="0"/>
              <w:rPr>
                <w:sz w:val="6"/>
                <w:szCs w:val="6"/>
                <w:color w:val="auto"/>
              </w:rPr>
            </w:pPr>
          </w:p>
        </w:tc>
        <w:tc>
          <w:tcPr>
            <w:tcW w:w="75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60" w:type="dxa"/>
            <w:vAlign w:val="bottom"/>
            <w:tcBorders>
              <w:right w:val="single" w:sz="8" w:color="auto"/>
            </w:tcBorders>
          </w:tcPr>
          <w:p>
            <w:pPr>
              <w:spacing w:after="0"/>
              <w:rPr>
                <w:sz w:val="6"/>
                <w:szCs w:val="6"/>
                <w:color w:val="auto"/>
              </w:rPr>
            </w:pPr>
          </w:p>
        </w:tc>
        <w:tc>
          <w:tcPr>
            <w:tcW w:w="75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All run outs</w:t>
            </w:r>
            <w:r>
              <w:rPr>
                <w:rFonts w:ascii="Arial" w:cs="Arial" w:eastAsia="Arial" w:hAnsi="Arial"/>
                <w:sz w:val="13"/>
                <w:szCs w:val="13"/>
                <w:color w:val="343434"/>
              </w:rPr>
              <w:t>,</w:t>
            </w:r>
            <w:r>
              <w:rPr>
                <w:rFonts w:ascii="Arial" w:cs="Arial" w:eastAsia="Arial" w:hAnsi="Arial"/>
                <w:sz w:val="13"/>
                <w:szCs w:val="13"/>
                <w:color w:val="080808"/>
              </w:rPr>
              <w:t xml:space="preserve"> drop heads</w:t>
            </w:r>
            <w:r>
              <w:rPr>
                <w:rFonts w:ascii="Arial" w:cs="Arial" w:eastAsia="Arial" w:hAnsi="Arial"/>
                <w:sz w:val="13"/>
                <w:szCs w:val="13"/>
                <w:color w:val="343434"/>
              </w:rPr>
              <w:t>,</w:t>
            </w:r>
            <w:r>
              <w:rPr>
                <w:rFonts w:ascii="Arial" w:cs="Arial" w:eastAsia="Arial" w:hAnsi="Arial"/>
                <w:sz w:val="13"/>
                <w:szCs w:val="13"/>
                <w:color w:val="080808"/>
              </w:rPr>
              <w:t xml:space="preserve"> and related equipment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Borders>
              <w:right w:val="single" w:sz="8" w:color="auto"/>
            </w:tcBorders>
          </w:tcPr>
          <w:p>
            <w:pPr>
              <w:spacing w:after="0"/>
              <w:rPr>
                <w:sz w:val="14"/>
                <w:szCs w:val="14"/>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Modification to the Core &amp; Shell Fire Protection system</w:t>
            </w:r>
            <w:r>
              <w:rPr>
                <w:rFonts w:ascii="Arial" w:cs="Arial" w:eastAsia="Arial" w:hAnsi="Arial"/>
                <w:sz w:val="13"/>
                <w:szCs w:val="13"/>
                <w:color w:val="4D4D4D"/>
              </w:rPr>
              <w:t>,</w:t>
            </w:r>
            <w:r>
              <w:rPr>
                <w:rFonts w:ascii="Arial" w:cs="Arial" w:eastAsia="Arial" w:hAnsi="Arial"/>
                <w:sz w:val="13"/>
                <w:szCs w:val="13"/>
                <w:color w:val="080808"/>
              </w:rPr>
              <w:t xml:space="preserve"> including sprinkler piping and head locations</w:t>
            </w:r>
            <w:r>
              <w:rPr>
                <w:rFonts w:ascii="Arial" w:cs="Arial" w:eastAsia="Arial" w:hAnsi="Arial"/>
                <w:sz w:val="13"/>
                <w:szCs w:val="13"/>
                <w:color w:val="343434"/>
              </w:rPr>
              <w:t>,</w:t>
            </w:r>
          </w:p>
        </w:tc>
        <w:tc>
          <w:tcPr>
            <w:tcW w:w="94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60" w:type="dxa"/>
            <w:vAlign w:val="bottom"/>
            <w:tcBorders>
              <w:right w:val="single" w:sz="8" w:color="auto"/>
            </w:tcBorders>
          </w:tcPr>
          <w:p>
            <w:pPr>
              <w:spacing w:after="0"/>
              <w:rPr>
                <w:sz w:val="6"/>
                <w:szCs w:val="6"/>
                <w:color w:val="auto"/>
              </w:rPr>
            </w:pPr>
          </w:p>
        </w:tc>
        <w:tc>
          <w:tcPr>
            <w:tcW w:w="7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080808"/>
              </w:rPr>
              <w:t>to suit Tenant layout and hazard index</w:t>
            </w:r>
          </w:p>
        </w:tc>
        <w:tc>
          <w:tcPr>
            <w:tcW w:w="94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60" w:type="dxa"/>
            <w:vAlign w:val="bottom"/>
            <w:tcBorders>
              <w:right w:val="single" w:sz="8" w:color="auto"/>
            </w:tcBorders>
          </w:tcPr>
          <w:p>
            <w:pPr>
              <w:spacing w:after="0"/>
              <w:rPr>
                <w:sz w:val="8"/>
                <w:szCs w:val="8"/>
                <w:color w:val="auto"/>
              </w:rPr>
            </w:pPr>
          </w:p>
        </w:tc>
        <w:tc>
          <w:tcPr>
            <w:tcW w:w="7500" w:type="dxa"/>
            <w:vAlign w:val="bottom"/>
            <w:tcBorders>
              <w:bottom w:val="single" w:sz="8" w:color="auto"/>
              <w:right w:val="single" w:sz="8" w:color="auto"/>
            </w:tcBorders>
            <w:vMerge w:val="continue"/>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80808"/>
              </w:rPr>
              <w:t>Specialized extinguishing systems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Preaction dry-pipe systems (if required) within Core &amp; Shell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Preaction dry-pipe systems (if required)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Fire extinguisher cabinets within Core &amp; Shell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Fire extinguisher cabinets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80808"/>
              </w:rPr>
              <w:t>Standpipes</w:t>
            </w:r>
            <w:r>
              <w:rPr>
                <w:rFonts w:ascii="Arial" w:cs="Arial" w:eastAsia="Arial" w:hAnsi="Arial"/>
                <w:sz w:val="13"/>
                <w:szCs w:val="13"/>
                <w:color w:val="343434"/>
              </w:rPr>
              <w:t>,</w:t>
            </w:r>
            <w:r>
              <w:rPr>
                <w:rFonts w:ascii="Arial" w:cs="Arial" w:eastAsia="Arial" w:hAnsi="Arial"/>
                <w:sz w:val="13"/>
                <w:szCs w:val="13"/>
                <w:color w:val="080808"/>
              </w:rPr>
              <w:t xml:space="preserve"> distribution and hose connections within building common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Additional hose connections within Tenant Premises</w:t>
            </w:r>
            <w:r>
              <w:rPr>
                <w:rFonts w:ascii="Arial" w:cs="Arial" w:eastAsia="Arial" w:hAnsi="Arial"/>
                <w:sz w:val="13"/>
                <w:szCs w:val="13"/>
                <w:color w:val="343434"/>
              </w:rPr>
              <w:t>,</w:t>
            </w:r>
            <w:r>
              <w:rPr>
                <w:rFonts w:ascii="Arial" w:cs="Arial" w:eastAsia="Arial" w:hAnsi="Arial"/>
                <w:sz w:val="13"/>
                <w:szCs w:val="13"/>
                <w:color w:val="080808"/>
              </w:rPr>
              <w:t xml:space="preserve"> including distribution piping</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Fire Pump</w:t>
            </w:r>
            <w:r>
              <w:rPr>
                <w:rFonts w:ascii="Arial" w:cs="Arial" w:eastAsia="Arial" w:hAnsi="Arial"/>
                <w:sz w:val="13"/>
                <w:szCs w:val="13"/>
                <w:color w:val="4D4D4D"/>
              </w:rPr>
              <w:t>,</w:t>
            </w:r>
            <w:r>
              <w:rPr>
                <w:rFonts w:ascii="Arial" w:cs="Arial" w:eastAsia="Arial" w:hAnsi="Arial"/>
                <w:sz w:val="13"/>
                <w:szCs w:val="13"/>
                <w:color w:val="080808"/>
              </w:rPr>
              <w:t xml:space="preserve"> if required</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80808"/>
              </w:rPr>
              <w:t>PLUMBING</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Domestic water service with backflow prevention and Core &amp; Shell risers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Domestic water distribution within Tenant Premises</w:t>
            </w:r>
            <w:r>
              <w:rPr>
                <w:rFonts w:ascii="Arial" w:cs="Arial" w:eastAsia="Arial" w:hAnsi="Arial"/>
                <w:sz w:val="13"/>
                <w:szCs w:val="13"/>
                <w:color w:val="343434"/>
              </w:rPr>
              <w:t>,</w:t>
            </w:r>
            <w:r>
              <w:rPr>
                <w:rFonts w:ascii="Arial" w:cs="Arial" w:eastAsia="Arial" w:hAnsi="Arial"/>
                <w:sz w:val="13"/>
                <w:szCs w:val="13"/>
                <w:color w:val="080808"/>
              </w:rPr>
              <w:t xml:space="preserve"> including reduced pressure backflow preventer</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60" w:type="dxa"/>
            <w:vAlign w:val="bottom"/>
            <w:tcBorders>
              <w:right w:val="single" w:sz="8" w:color="auto"/>
            </w:tcBorders>
          </w:tcPr>
          <w:p>
            <w:pPr>
              <w:spacing w:after="0"/>
              <w:rPr>
                <w:sz w:val="7"/>
                <w:szCs w:val="7"/>
                <w:color w:val="auto"/>
              </w:rPr>
            </w:pPr>
          </w:p>
        </w:tc>
        <w:tc>
          <w:tcPr>
            <w:tcW w:w="7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vMerge w:val="continue"/>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Non-potable water risers for the Tenant use</w:t>
            </w:r>
            <w:r>
              <w:rPr>
                <w:rFonts w:ascii="Arial" w:cs="Arial" w:eastAsia="Arial" w:hAnsi="Arial"/>
                <w:sz w:val="13"/>
                <w:szCs w:val="13"/>
                <w:color w:val="4D4D4D"/>
              </w:rPr>
              <w:t>,</w:t>
            </w:r>
            <w:r>
              <w:rPr>
                <w:rFonts w:ascii="Arial" w:cs="Arial" w:eastAsia="Arial" w:hAnsi="Arial"/>
                <w:sz w:val="13"/>
                <w:szCs w:val="13"/>
                <w:color w:val="080808"/>
              </w:rPr>
              <w:t xml:space="preserve"> including water booster system and reduced pressure</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0" w:type="dxa"/>
            <w:vAlign w:val="bottom"/>
            <w:tcBorders>
              <w:right w:val="single" w:sz="8" w:color="auto"/>
            </w:tcBorders>
          </w:tcPr>
          <w:p>
            <w:pPr>
              <w:spacing w:after="0"/>
              <w:rPr>
                <w:sz w:val="7"/>
                <w:szCs w:val="7"/>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80808"/>
              </w:rPr>
              <w:t>backflow preventer</w:t>
            </w:r>
          </w:p>
        </w:tc>
        <w:tc>
          <w:tcPr>
            <w:tcW w:w="94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60" w:type="dxa"/>
            <w:vAlign w:val="bottom"/>
            <w:tcBorders>
              <w:right w:val="single" w:sz="8" w:color="auto"/>
            </w:tcBorders>
          </w:tcPr>
          <w:p>
            <w:pPr>
              <w:spacing w:after="0"/>
              <w:rPr>
                <w:sz w:val="6"/>
                <w:szCs w:val="6"/>
                <w:color w:val="auto"/>
              </w:rPr>
            </w:pPr>
          </w:p>
        </w:tc>
        <w:tc>
          <w:tcPr>
            <w:tcW w:w="7500" w:type="dxa"/>
            <w:vAlign w:val="bottom"/>
            <w:tcBorders>
              <w:bottom w:val="single" w:sz="8" w:color="auto"/>
              <w:right w:val="single" w:sz="8" w:color="auto"/>
            </w:tcBorders>
            <w:vMerge w:val="continue"/>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Non-potable water distribution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Core &amp; Shell restroom plumbing fixtures compliant with accessibility requirements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Tenant restroom plumbing fixtures compliant with accessibility requirements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80808"/>
              </w:rPr>
              <w:t>Wall hydrants within the Core &amp; Shell areas (where required by code)</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Tenant metering and sub-metering at Tenant connection</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80808"/>
              </w:rPr>
              <w:t>Storm drainage system</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80808"/>
              </w:rPr>
              <w:t>Sanitary waste and vent service for the Core &amp; Shell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80808"/>
              </w:rPr>
              <w:t>Sanitary waste and vent service for the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80808"/>
              </w:rPr>
              <w:t>Sanitary ejector for Core &amp; Shell fixtures that cannot drain by gravity</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Hot water generation for the Core &amp; Shell restrooms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Potable hot water generation for tenant spaces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Laboratory waste system and risers</w:t>
            </w:r>
            <w:r>
              <w:rPr>
                <w:rFonts w:ascii="Arial" w:cs="Arial" w:eastAsia="Arial" w:hAnsi="Arial"/>
                <w:sz w:val="13"/>
                <w:szCs w:val="13"/>
                <w:color w:val="343434"/>
              </w:rPr>
              <w:t>.</w:t>
            </w:r>
            <w:r>
              <w:rPr>
                <w:rFonts w:ascii="Arial" w:cs="Arial" w:eastAsia="Arial" w:hAnsi="Arial"/>
                <w:sz w:val="13"/>
                <w:szCs w:val="13"/>
                <w:color w:val="080808"/>
              </w:rPr>
              <w:t xml:space="preserve"> Lab waste and vent lines will be capped at each floor for Tenant</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80808"/>
              </w:rPr>
              <w:t>connections</w:t>
            </w:r>
            <w:r>
              <w:rPr>
                <w:rFonts w:ascii="Arial" w:cs="Arial" w:eastAsia="Arial" w:hAnsi="Arial"/>
                <w:sz w:val="13"/>
                <w:szCs w:val="13"/>
                <w:color w:val="4D4D4D"/>
              </w:rPr>
              <w:t>.</w:t>
            </w: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PH adjustment system</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Lab waste ejector system for 1st floor tenant or recessed pH adjustment system</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Tempered hot water distribution piping to pH neutralization system area eyewash/shower unit.</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Lab waste and vent pipe distribution serving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80808"/>
                <w:w w:val="98"/>
              </w:rPr>
              <w:t>Sampling ports at laboratory waste lines prior to connection to building riser. Sampling port locations subject to Landlord's approval.</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Non-potable hot water generation for Tenant use</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Air compressor</w:t>
            </w:r>
            <w:r>
              <w:rPr>
                <w:rFonts w:ascii="Arial" w:cs="Arial" w:eastAsia="Arial" w:hAnsi="Arial"/>
                <w:sz w:val="13"/>
                <w:szCs w:val="13"/>
                <w:color w:val="4D4D4D"/>
              </w:rPr>
              <w:t>,</w:t>
            </w:r>
            <w:r>
              <w:rPr>
                <w:rFonts w:ascii="Arial" w:cs="Arial" w:eastAsia="Arial" w:hAnsi="Arial"/>
                <w:sz w:val="13"/>
                <w:szCs w:val="13"/>
                <w:color w:val="080808"/>
              </w:rPr>
              <w:t xml:space="preserve"> risers</w:t>
            </w:r>
            <w:r>
              <w:rPr>
                <w:rFonts w:ascii="Arial" w:cs="Arial" w:eastAsia="Arial" w:hAnsi="Arial"/>
                <w:sz w:val="13"/>
                <w:szCs w:val="13"/>
                <w:color w:val="4D4D4D"/>
              </w:rPr>
              <w:t>,</w:t>
            </w:r>
            <w:r>
              <w:rPr>
                <w:rFonts w:ascii="Arial" w:cs="Arial" w:eastAsia="Arial" w:hAnsi="Arial"/>
                <w:sz w:val="13"/>
                <w:szCs w:val="13"/>
                <w:color w:val="080808"/>
              </w:rPr>
              <w:t xml:space="preserve"> and pipe distribution</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Lab vacuum system</w:t>
            </w:r>
            <w:r>
              <w:rPr>
                <w:rFonts w:ascii="Arial" w:cs="Arial" w:eastAsia="Arial" w:hAnsi="Arial"/>
                <w:sz w:val="13"/>
                <w:szCs w:val="13"/>
                <w:color w:val="343434"/>
              </w:rPr>
              <w:t>,</w:t>
            </w:r>
            <w:r>
              <w:rPr>
                <w:rFonts w:ascii="Arial" w:cs="Arial" w:eastAsia="Arial" w:hAnsi="Arial"/>
                <w:sz w:val="13"/>
                <w:szCs w:val="13"/>
                <w:color w:val="080808"/>
              </w:rPr>
              <w:t xml:space="preserve"> risers, and pipe distribution</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Tepid water generator and risers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Tepid water pipe distribution and emergency fixtures for Tenant design including open end drain</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60" w:type="dxa"/>
            <w:vAlign w:val="bottom"/>
            <w:tcBorders>
              <w:right w:val="single" w:sz="8" w:color="auto"/>
            </w:tcBorders>
          </w:tcPr>
          <w:p>
            <w:pPr>
              <w:spacing w:after="0"/>
              <w:rPr>
                <w:sz w:val="7"/>
                <w:szCs w:val="7"/>
                <w:color w:val="auto"/>
              </w:rPr>
            </w:pPr>
          </w:p>
        </w:tc>
        <w:tc>
          <w:tcPr>
            <w:tcW w:w="7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vMerge w:val="continue"/>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RO/DI water generator</w:t>
            </w:r>
            <w:r>
              <w:rPr>
                <w:rFonts w:ascii="Arial" w:cs="Arial" w:eastAsia="Arial" w:hAnsi="Arial"/>
                <w:sz w:val="13"/>
                <w:szCs w:val="13"/>
                <w:color w:val="4D4D4D"/>
              </w:rPr>
              <w:t>,</w:t>
            </w:r>
            <w:r>
              <w:rPr>
                <w:rFonts w:ascii="Arial" w:cs="Arial" w:eastAsia="Arial" w:hAnsi="Arial"/>
                <w:sz w:val="13"/>
                <w:szCs w:val="13"/>
                <w:color w:val="080808"/>
              </w:rPr>
              <w:t xml:space="preserve"> risers pipe distribution</w:t>
            </w:r>
            <w:r>
              <w:rPr>
                <w:rFonts w:ascii="Arial" w:cs="Arial" w:eastAsia="Arial" w:hAnsi="Arial"/>
                <w:sz w:val="13"/>
                <w:szCs w:val="13"/>
                <w:color w:val="4D4D4D"/>
              </w:rPr>
              <w:t>,</w:t>
            </w:r>
            <w:r>
              <w:rPr>
                <w:rFonts w:ascii="Arial" w:cs="Arial" w:eastAsia="Arial" w:hAnsi="Arial"/>
                <w:sz w:val="13"/>
                <w:szCs w:val="13"/>
                <w:color w:val="080808"/>
              </w:rPr>
              <w:t xml:space="preserve"> and reject routing to the point of connection</w:t>
            </w:r>
            <w:r>
              <w:rPr>
                <w:rFonts w:ascii="Arial" w:cs="Arial" w:eastAsia="Arial" w:hAnsi="Arial"/>
                <w:sz w:val="13"/>
                <w:szCs w:val="13"/>
                <w:color w:val="4D4D4D"/>
              </w:rPr>
              <w:t>.</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DI water generator, risers, pipe distribution wand reject routing to the point of connection</w:t>
            </w:r>
            <w:r>
              <w:rPr>
                <w:rFonts w:ascii="Arial" w:cs="Arial" w:eastAsia="Arial" w:hAnsi="Arial"/>
                <w:sz w:val="13"/>
                <w:szCs w:val="13"/>
                <w:color w:val="4D4D4D"/>
              </w:rPr>
              <w:t>.</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Manifolds</w:t>
            </w:r>
            <w:r>
              <w:rPr>
                <w:rFonts w:ascii="Arial" w:cs="Arial" w:eastAsia="Arial" w:hAnsi="Arial"/>
                <w:sz w:val="13"/>
                <w:szCs w:val="13"/>
                <w:color w:val="4D4D4D"/>
              </w:rPr>
              <w:t>,</w:t>
            </w:r>
            <w:r>
              <w:rPr>
                <w:rFonts w:ascii="Arial" w:cs="Arial" w:eastAsia="Arial" w:hAnsi="Arial"/>
                <w:sz w:val="13"/>
                <w:szCs w:val="13"/>
                <w:color w:val="080808"/>
              </w:rPr>
              <w:t xml:space="preserve"> piping</w:t>
            </w:r>
            <w:r>
              <w:rPr>
                <w:rFonts w:ascii="Arial" w:cs="Arial" w:eastAsia="Arial" w:hAnsi="Arial"/>
                <w:sz w:val="13"/>
                <w:szCs w:val="13"/>
                <w:color w:val="4D4D4D"/>
              </w:rPr>
              <w:t>,</w:t>
            </w:r>
            <w:r>
              <w:rPr>
                <w:rFonts w:ascii="Arial" w:cs="Arial" w:eastAsia="Arial" w:hAnsi="Arial"/>
                <w:sz w:val="13"/>
                <w:szCs w:val="13"/>
                <w:color w:val="080808"/>
              </w:rPr>
              <w:t xml:space="preserve"> and other requirements including cylinders</w:t>
            </w:r>
            <w:r>
              <w:rPr>
                <w:rFonts w:ascii="Arial" w:cs="Arial" w:eastAsia="Arial" w:hAnsi="Arial"/>
                <w:sz w:val="13"/>
                <w:szCs w:val="13"/>
                <w:color w:val="4D4D4D"/>
              </w:rPr>
              <w:t>,</w:t>
            </w:r>
            <w:r>
              <w:rPr>
                <w:rFonts w:ascii="Arial" w:cs="Arial" w:eastAsia="Arial" w:hAnsi="Arial"/>
                <w:sz w:val="13"/>
                <w:szCs w:val="13"/>
                <w:color w:val="080808"/>
              </w:rPr>
              <w:t xml:space="preserve"> not specifically mentioned above</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OED at janitor closets for clear water waste</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80808"/>
              </w:rPr>
              <w:t>NATURAL GAS</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Natural gas service to the Core &amp; Shell</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Natural gas service</w:t>
            </w:r>
            <w:r>
              <w:rPr>
                <w:rFonts w:ascii="Arial" w:cs="Arial" w:eastAsia="Arial" w:hAnsi="Arial"/>
                <w:sz w:val="13"/>
                <w:szCs w:val="13"/>
                <w:color w:val="4D4D4D"/>
              </w:rPr>
              <w:t>,</w:t>
            </w:r>
            <w:r>
              <w:rPr>
                <w:rFonts w:ascii="Arial" w:cs="Arial" w:eastAsia="Arial" w:hAnsi="Arial"/>
                <w:sz w:val="13"/>
                <w:szCs w:val="13"/>
                <w:color w:val="080808"/>
              </w:rPr>
              <w:t xml:space="preserve"> pressure regulator</w:t>
            </w:r>
            <w:r>
              <w:rPr>
                <w:rFonts w:ascii="Arial" w:cs="Arial" w:eastAsia="Arial" w:hAnsi="Arial"/>
                <w:sz w:val="13"/>
                <w:szCs w:val="13"/>
                <w:color w:val="4D4D4D"/>
              </w:rPr>
              <w:t>,</w:t>
            </w:r>
            <w:r>
              <w:rPr>
                <w:rFonts w:ascii="Arial" w:cs="Arial" w:eastAsia="Arial" w:hAnsi="Arial"/>
                <w:sz w:val="13"/>
                <w:szCs w:val="13"/>
                <w:color w:val="080808"/>
              </w:rPr>
              <w:t xml:space="preserve"> and meter for Core &amp; Shell gas needs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Natural gas service</w:t>
            </w:r>
            <w:r>
              <w:rPr>
                <w:rFonts w:ascii="Arial" w:cs="Arial" w:eastAsia="Arial" w:hAnsi="Arial"/>
                <w:sz w:val="13"/>
                <w:szCs w:val="13"/>
                <w:color w:val="343434"/>
              </w:rPr>
              <w:t>,</w:t>
            </w:r>
            <w:r>
              <w:rPr>
                <w:rFonts w:ascii="Arial" w:cs="Arial" w:eastAsia="Arial" w:hAnsi="Arial"/>
                <w:sz w:val="13"/>
                <w:szCs w:val="13"/>
                <w:color w:val="080808"/>
              </w:rPr>
              <w:t xml:space="preserve"> pressure regulator, and meter for Tenant gas needs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Natural gas piping from Tenant meter to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Natural gas meter serving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Natural gas pipe distribution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80808"/>
              </w:rPr>
              <w:t>HEATING, VENTILATION, AIR CONDITIONING</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An air handling system sized to provide 100% outside air based on 1.4 CFM/USF for tenant areas</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60" w:type="dxa"/>
            <w:vAlign w:val="bottom"/>
            <w:tcBorders>
              <w:right w:val="single" w:sz="8" w:color="auto"/>
            </w:tcBorders>
          </w:tcPr>
          <w:p>
            <w:pPr>
              <w:spacing w:after="0"/>
              <w:rPr>
                <w:sz w:val="7"/>
                <w:szCs w:val="7"/>
                <w:color w:val="auto"/>
              </w:rPr>
            </w:pPr>
          </w:p>
        </w:tc>
        <w:tc>
          <w:tcPr>
            <w:tcW w:w="7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vMerge w:val="continue"/>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6"/>
        </w:trPr>
        <w:tc>
          <w:tcPr>
            <w:tcW w:w="16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-8661400</wp:posOffset>
            </wp:positionV>
            <wp:extent cx="4791710" cy="16256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6">
                      <a:extLst>
                        <a:ext uri="{28A0092B-C50C-407E-A947-70E740481C1C}"/>
                      </a:extLst>
                    </a:blip>
                    <a:srcRect/>
                    <a:stretch>
                      <a:fillRect/>
                    </a:stretch>
                  </pic:blipFill>
                  <pic:spPr bwMode="auto">
                    <a:xfrm>
                      <a:off x="0" y="0"/>
                      <a:ext cx="479171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-1182370</wp:posOffset>
            </wp:positionV>
            <wp:extent cx="2425700" cy="41148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9">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193675</wp:posOffset>
            </wp:positionV>
            <wp:extent cx="4791710" cy="15430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0">
                      <a:extLst>
                        <a:ext uri="{28A0092B-C50C-407E-A947-70E740481C1C}"/>
                      </a:extLst>
                    </a:blip>
                    <a:srcRect/>
                    <a:stretch>
                      <a:fillRect/>
                    </a:stretch>
                  </pic:blipFill>
                  <pic:spPr bwMode="auto">
                    <a:xfrm>
                      <a:off x="0" y="0"/>
                      <a:ext cx="4791710" cy="15430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7500" w:type="dxa"/>
            <w:vAlign w:val="bottom"/>
          </w:tcPr>
          <w:p>
            <w:pPr>
              <w:ind w:left="40"/>
              <w:spacing w:after="0"/>
              <w:rPr>
                <w:sz w:val="20"/>
                <w:szCs w:val="20"/>
                <w:color w:val="auto"/>
              </w:rPr>
            </w:pPr>
            <w:r>
              <w:rPr>
                <w:rFonts w:ascii="Arial" w:cs="Arial" w:eastAsia="Arial" w:hAnsi="Arial"/>
                <w:sz w:val="13"/>
                <w:szCs w:val="13"/>
                <w:color w:val="080808"/>
              </w:rPr>
              <w:t>Tenant fitout areas to utilize fan coils or chilled beams for space conditioning</w:t>
            </w:r>
          </w:p>
        </w:tc>
        <w:tc>
          <w:tcPr>
            <w:tcW w:w="940" w:type="dxa"/>
            <w:vAlign w:val="bottom"/>
            <w:tcBorders>
              <w:top w:val="single" w:sz="8" w:color="auto"/>
              <w:right w:val="single" w:sz="8" w:color="auto"/>
            </w:tcBorders>
          </w:tcPr>
          <w:p>
            <w:pPr>
              <w:spacing w:after="0"/>
              <w:rPr>
                <w:sz w:val="16"/>
                <w:szCs w:val="16"/>
                <w:color w:val="auto"/>
              </w:rPr>
            </w:pPr>
          </w:p>
        </w:tc>
        <w:tc>
          <w:tcPr>
            <w:tcW w:w="72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top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80808"/>
              </w:rPr>
              <w:t>Humidification</w:t>
            </w:r>
          </w:p>
        </w:tc>
        <w:tc>
          <w:tcPr>
            <w:tcW w:w="940" w:type="dxa"/>
            <w:vAlign w:val="bottom"/>
            <w:tcBorders>
              <w:top w:val="single" w:sz="8" w:color="auto"/>
              <w:bottom w:val="single" w:sz="8" w:color="auto"/>
              <w:right w:val="single" w:sz="8" w:color="auto"/>
            </w:tcBorders>
          </w:tcPr>
          <w:p>
            <w:pPr>
              <w:spacing w:after="0"/>
              <w:rPr>
                <w:sz w:val="14"/>
                <w:szCs w:val="14"/>
                <w:color w:val="auto"/>
              </w:rPr>
            </w:pPr>
          </w:p>
        </w:tc>
        <w:tc>
          <w:tcPr>
            <w:tcW w:w="7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80808"/>
              </w:rPr>
              <w:t>X</w:t>
            </w:r>
          </w:p>
        </w:tc>
        <w:tc>
          <w:tcPr>
            <w:tcW w:w="1820" w:type="dxa"/>
            <w:vAlign w:val="bottom"/>
            <w:tcBorders>
              <w:top w:val="single" w:sz="8" w:color="auto"/>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80808"/>
              </w:rPr>
              <w:t>Gas fired condensing boilers to support the 100% outside air handling units and reheat coils</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80808"/>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7"/>
        </w:trPr>
        <w:tc>
          <w:tcPr>
            <w:tcW w:w="16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-1182370</wp:posOffset>
            </wp:positionV>
            <wp:extent cx="2425700" cy="41148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3">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247"/>
        </w:trPr>
        <w:tc>
          <w:tcPr>
            <w:tcW w:w="16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920" w:type="dxa"/>
            <w:vAlign w:val="bottom"/>
            <w:gridSpan w:val="2"/>
          </w:tcPr>
          <w:p>
            <w:pPr>
              <w:ind w:left="820"/>
              <w:spacing w:after="0"/>
              <w:rPr>
                <w:sz w:val="20"/>
                <w:szCs w:val="20"/>
                <w:color w:val="auto"/>
              </w:rPr>
            </w:pPr>
            <w:r>
              <w:rPr>
                <w:rFonts w:ascii="Arial" w:cs="Arial" w:eastAsia="Arial" w:hAnsi="Arial"/>
                <w:sz w:val="18"/>
                <w:szCs w:val="18"/>
                <w:b w:val="1"/>
                <w:bCs w:val="1"/>
                <w:color w:val="auto"/>
                <w:w w:val="98"/>
              </w:rPr>
              <w:t>Exhibit 10.13</w:t>
            </w:r>
          </w:p>
        </w:tc>
        <w:tc>
          <w:tcPr>
            <w:tcW w:w="0" w:type="dxa"/>
            <w:vAlign w:val="bottom"/>
          </w:tcPr>
          <w:p>
            <w:pPr>
              <w:spacing w:after="0"/>
              <w:rPr>
                <w:sz w:val="1"/>
                <w:szCs w:val="1"/>
                <w:color w:val="auto"/>
              </w:rPr>
            </w:pPr>
          </w:p>
        </w:tc>
      </w:tr>
      <w:tr>
        <w:trPr>
          <w:trHeight w:val="285"/>
        </w:trPr>
        <w:tc>
          <w:tcPr>
            <w:tcW w:w="1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60" w:type="dxa"/>
            <w:vAlign w:val="bottom"/>
            <w:tcBorders>
              <w:right w:val="single" w:sz="8" w:color="D8E4BC"/>
            </w:tcBorders>
          </w:tcPr>
          <w:p>
            <w:pPr>
              <w:spacing w:after="0"/>
              <w:rPr>
                <w:sz w:val="20"/>
                <w:szCs w:val="20"/>
                <w:color w:val="auto"/>
              </w:rPr>
            </w:pPr>
          </w:p>
        </w:tc>
        <w:tc>
          <w:tcPr>
            <w:tcW w:w="7500" w:type="dxa"/>
            <w:vAlign w:val="bottom"/>
            <w:tcBorders>
              <w:top w:val="single" w:sz="8" w:color="D8E4BC"/>
              <w:bottom w:val="single" w:sz="8" w:color="D8E4BC"/>
              <w:right w:val="single" w:sz="8" w:color="D8E4BC"/>
            </w:tcBorders>
            <w:shd w:val="clear" w:color="auto" w:fill="D8E4BC"/>
          </w:tcPr>
          <w:p>
            <w:pPr>
              <w:ind w:left="1560"/>
              <w:spacing w:after="0" w:line="165" w:lineRule="exact"/>
              <w:rPr>
                <w:sz w:val="20"/>
                <w:szCs w:val="20"/>
                <w:color w:val="auto"/>
              </w:rPr>
            </w:pPr>
            <w:r>
              <w:rPr>
                <w:rFonts w:ascii="Times New Roman" w:cs="Times New Roman" w:eastAsia="Times New Roman" w:hAnsi="Times New Roman"/>
                <w:sz w:val="15"/>
                <w:szCs w:val="15"/>
                <w:b w:val="1"/>
                <w:bCs w:val="1"/>
                <w:color w:val="070707"/>
              </w:rPr>
              <w:t xml:space="preserve">ARSENAL ON THE CHARLES </w:t>
            </w:r>
            <w:r>
              <w:rPr>
                <w:rFonts w:ascii="Times New Roman" w:cs="Times New Roman" w:eastAsia="Times New Roman" w:hAnsi="Times New Roman"/>
                <w:sz w:val="15"/>
                <w:szCs w:val="15"/>
                <w:color w:val="070707"/>
              </w:rPr>
              <w:t>-</w:t>
            </w:r>
            <w:r>
              <w:rPr>
                <w:rFonts w:ascii="Times New Roman" w:cs="Times New Roman" w:eastAsia="Times New Roman" w:hAnsi="Times New Roman"/>
                <w:sz w:val="15"/>
                <w:szCs w:val="15"/>
                <w:b w:val="1"/>
                <w:bCs w:val="1"/>
                <w:color w:val="070707"/>
              </w:rPr>
              <w:t xml:space="preserve"> BUILDING NO</w:t>
            </w:r>
            <w:r>
              <w:rPr>
                <w:rFonts w:ascii="Times New Roman" w:cs="Times New Roman" w:eastAsia="Times New Roman" w:hAnsi="Times New Roman"/>
                <w:sz w:val="15"/>
                <w:szCs w:val="15"/>
                <w:b w:val="1"/>
                <w:bCs w:val="1"/>
                <w:color w:val="494949"/>
              </w:rPr>
              <w:t>.</w:t>
            </w:r>
            <w:r>
              <w:rPr>
                <w:rFonts w:ascii="Times New Roman" w:cs="Times New Roman" w:eastAsia="Times New Roman" w:hAnsi="Times New Roman"/>
                <w:sz w:val="15"/>
                <w:szCs w:val="15"/>
                <w:b w:val="1"/>
                <w:bCs w:val="1"/>
                <w:color w:val="070707"/>
              </w:rPr>
              <w:t xml:space="preserve"> 1</w:t>
            </w:r>
          </w:p>
        </w:tc>
        <w:tc>
          <w:tcPr>
            <w:tcW w:w="940" w:type="dxa"/>
            <w:vAlign w:val="bottom"/>
            <w:tcBorders>
              <w:top w:val="single" w:sz="8" w:color="auto"/>
              <w:bottom w:val="single" w:sz="8" w:color="auto"/>
              <w:right w:val="single" w:sz="8" w:color="auto"/>
            </w:tcBorders>
            <w:shd w:val="clear" w:color="auto" w:fill="D8E4BC"/>
          </w:tcPr>
          <w:p>
            <w:pPr>
              <w:ind w:left="100"/>
              <w:spacing w:after="0"/>
              <w:rPr>
                <w:sz w:val="20"/>
                <w:szCs w:val="20"/>
                <w:color w:val="auto"/>
              </w:rPr>
            </w:pPr>
            <w:r>
              <w:rPr>
                <w:rFonts w:ascii="Times New Roman" w:cs="Times New Roman" w:eastAsia="Times New Roman" w:hAnsi="Times New Roman"/>
                <w:sz w:val="15"/>
                <w:szCs w:val="15"/>
                <w:color w:val="070707"/>
              </w:rPr>
              <w:t>Landlord</w:t>
            </w:r>
          </w:p>
        </w:tc>
        <w:tc>
          <w:tcPr>
            <w:tcW w:w="720" w:type="dxa"/>
            <w:vAlign w:val="bottom"/>
            <w:tcBorders>
              <w:top w:val="single" w:sz="8" w:color="auto"/>
              <w:bottom w:val="single" w:sz="8" w:color="auto"/>
              <w:right w:val="single" w:sz="8" w:color="auto"/>
            </w:tcBorders>
            <w:shd w:val="clear" w:color="auto" w:fill="D8E4BC"/>
          </w:tcPr>
          <w:p>
            <w:pPr>
              <w:ind w:left="100"/>
              <w:spacing w:after="0"/>
              <w:rPr>
                <w:sz w:val="20"/>
                <w:szCs w:val="20"/>
                <w:color w:val="auto"/>
              </w:rPr>
            </w:pPr>
            <w:r>
              <w:rPr>
                <w:rFonts w:ascii="Times New Roman" w:cs="Times New Roman" w:eastAsia="Times New Roman" w:hAnsi="Times New Roman"/>
                <w:sz w:val="15"/>
                <w:szCs w:val="15"/>
                <w:color w:val="070707"/>
              </w:rPr>
              <w:t>Tenant</w:t>
            </w:r>
          </w:p>
        </w:tc>
        <w:tc>
          <w:tcPr>
            <w:tcW w:w="1820" w:type="dxa"/>
            <w:vAlign w:val="bottom"/>
            <w:tcBorders>
              <w:top w:val="single" w:sz="8" w:color="auto"/>
              <w:bottom w:val="single" w:sz="8" w:color="D8E4BC"/>
              <w:right w:val="single" w:sz="8" w:color="auto"/>
            </w:tcBorders>
            <w:shd w:val="clear" w:color="auto" w:fill="D8E4BC"/>
          </w:tcPr>
          <w:p>
            <w:pPr>
              <w:jc w:val="center"/>
              <w:spacing w:after="0" w:line="165" w:lineRule="exact"/>
              <w:rPr>
                <w:sz w:val="20"/>
                <w:szCs w:val="20"/>
                <w:color w:val="auto"/>
              </w:rPr>
            </w:pPr>
            <w:r>
              <w:rPr>
                <w:rFonts w:ascii="Times New Roman" w:cs="Times New Roman" w:eastAsia="Times New Roman" w:hAnsi="Times New Roman"/>
                <w:sz w:val="15"/>
                <w:szCs w:val="15"/>
                <w:color w:val="070707"/>
              </w:rPr>
              <w:t>Landlord (at Tenant's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60" w:type="dxa"/>
            <w:vAlign w:val="bottom"/>
            <w:tcBorders>
              <w:right w:val="single" w:sz="8" w:color="auto"/>
            </w:tcBorders>
          </w:tcPr>
          <w:p>
            <w:pPr>
              <w:spacing w:after="0"/>
              <w:rPr>
                <w:sz w:val="11"/>
                <w:szCs w:val="11"/>
                <w:color w:val="auto"/>
              </w:rPr>
            </w:pPr>
          </w:p>
        </w:tc>
        <w:tc>
          <w:tcPr>
            <w:tcW w:w="7500" w:type="dxa"/>
            <w:vAlign w:val="bottom"/>
            <w:tcBorders>
              <w:top w:val="single" w:sz="8" w:color="D8E4BC"/>
              <w:bottom w:val="single" w:sz="8" w:color="auto"/>
              <w:right w:val="single" w:sz="8" w:color="auto"/>
            </w:tcBorders>
            <w:shd w:val="clear" w:color="auto" w:fill="D8E4BC"/>
          </w:tcPr>
          <w:p>
            <w:pPr>
              <w:ind w:left="1660"/>
              <w:spacing w:after="0" w:line="130" w:lineRule="exact"/>
              <w:rPr>
                <w:sz w:val="20"/>
                <w:szCs w:val="20"/>
                <w:color w:val="auto"/>
              </w:rPr>
            </w:pPr>
            <w:r>
              <w:rPr>
                <w:rFonts w:ascii="Times New Roman" w:cs="Times New Roman" w:eastAsia="Times New Roman" w:hAnsi="Times New Roman"/>
                <w:sz w:val="15"/>
                <w:szCs w:val="15"/>
                <w:b w:val="1"/>
                <w:bCs w:val="1"/>
                <w:color w:val="070707"/>
              </w:rPr>
              <w:t xml:space="preserve">LANDLORD/TENANT RESPONSIBILITY MATRIX </w:t>
            </w:r>
            <w:r>
              <w:rPr>
                <w:rFonts w:ascii="Times New Roman" w:cs="Times New Roman" w:eastAsia="Times New Roman" w:hAnsi="Times New Roman"/>
                <w:sz w:val="15"/>
                <w:szCs w:val="15"/>
                <w:color w:val="070707"/>
              </w:rPr>
              <w:t>-</w:t>
            </w:r>
            <w:r>
              <w:rPr>
                <w:rFonts w:ascii="Times New Roman" w:cs="Times New Roman" w:eastAsia="Times New Roman" w:hAnsi="Times New Roman"/>
                <w:sz w:val="15"/>
                <w:szCs w:val="15"/>
                <w:b w:val="1"/>
                <w:bCs w:val="1"/>
                <w:color w:val="070707"/>
              </w:rPr>
              <w:t xml:space="preserve"> DRAFI'</w:t>
            </w:r>
          </w:p>
        </w:tc>
        <w:tc>
          <w:tcPr>
            <w:tcW w:w="940" w:type="dxa"/>
            <w:vAlign w:val="bottom"/>
            <w:tcBorders>
              <w:top w:val="single" w:sz="8" w:color="auto"/>
              <w:bottom w:val="single" w:sz="8" w:color="auto"/>
              <w:right w:val="single" w:sz="8" w:color="auto"/>
            </w:tcBorders>
            <w:shd w:val="clear" w:color="auto" w:fill="D8E4BC"/>
          </w:tcPr>
          <w:p>
            <w:pPr>
              <w:spacing w:after="0"/>
              <w:rPr>
                <w:sz w:val="11"/>
                <w:szCs w:val="11"/>
                <w:color w:val="auto"/>
              </w:rPr>
            </w:pPr>
          </w:p>
        </w:tc>
        <w:tc>
          <w:tcPr>
            <w:tcW w:w="720" w:type="dxa"/>
            <w:vAlign w:val="bottom"/>
            <w:tcBorders>
              <w:top w:val="single" w:sz="8" w:color="auto"/>
              <w:bottom w:val="single" w:sz="8" w:color="auto"/>
              <w:right w:val="single" w:sz="8" w:color="auto"/>
            </w:tcBorders>
            <w:shd w:val="clear" w:color="auto" w:fill="D8E4BC"/>
          </w:tcPr>
          <w:p>
            <w:pPr>
              <w:spacing w:after="0"/>
              <w:rPr>
                <w:sz w:val="11"/>
                <w:szCs w:val="11"/>
                <w:color w:val="auto"/>
              </w:rPr>
            </w:pPr>
          </w:p>
        </w:tc>
        <w:tc>
          <w:tcPr>
            <w:tcW w:w="1820" w:type="dxa"/>
            <w:vAlign w:val="bottom"/>
            <w:tcBorders>
              <w:top w:val="single" w:sz="8" w:color="D8E4BC"/>
              <w:bottom w:val="single" w:sz="8" w:color="auto"/>
              <w:right w:val="single" w:sz="8" w:color="auto"/>
            </w:tcBorders>
            <w:shd w:val="clear" w:color="auto" w:fill="D8E4BC"/>
          </w:tcPr>
          <w:p>
            <w:pPr>
              <w:jc w:val="center"/>
              <w:spacing w:after="0" w:line="108" w:lineRule="exact"/>
              <w:rPr>
                <w:sz w:val="20"/>
                <w:szCs w:val="20"/>
                <w:color w:val="auto"/>
              </w:rPr>
            </w:pPr>
            <w:r>
              <w:rPr>
                <w:rFonts w:ascii="Times New Roman" w:cs="Times New Roman" w:eastAsia="Times New Roman" w:hAnsi="Times New Roman"/>
                <w:sz w:val="12"/>
                <w:szCs w:val="12"/>
                <w:color w:val="070707"/>
              </w:rPr>
              <w:t>Expense)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Chiller plant to provide chilled water for AHUs and terminal units (fan coils or chilled beams) on the</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0" w:type="dxa"/>
            <w:vAlign w:val="bottom"/>
            <w:tcBorders>
              <w:right w:val="single" w:sz="8" w:color="auto"/>
            </w:tcBorders>
          </w:tcPr>
          <w:p>
            <w:pPr>
              <w:spacing w:after="0"/>
              <w:rPr>
                <w:sz w:val="14"/>
                <w:szCs w:val="14"/>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70707"/>
              </w:rPr>
              <w:t>floors</w:t>
            </w:r>
          </w:p>
        </w:tc>
        <w:tc>
          <w:tcPr>
            <w:tcW w:w="940" w:type="dxa"/>
            <w:vAlign w:val="bottom"/>
            <w:tcBorders>
              <w:right w:val="single" w:sz="8" w:color="auto"/>
            </w:tcBorders>
            <w:vMerge w:val="continue"/>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Chilled water to floors sized for 500 SF/ton</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70707"/>
              </w:rPr>
              <w:t>Vertical supply air duct distribution with horizontal take off through a smoke/fire damper at the Tenant</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0" w:type="dxa"/>
            <w:vAlign w:val="bottom"/>
            <w:tcBorders>
              <w:right w:val="single" w:sz="8" w:color="auto"/>
            </w:tcBorders>
          </w:tcPr>
          <w:p>
            <w:pPr>
              <w:spacing w:after="0"/>
              <w:rPr>
                <w:sz w:val="7"/>
                <w:szCs w:val="7"/>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connection point</w:t>
            </w:r>
          </w:p>
        </w:tc>
        <w:tc>
          <w:tcPr>
            <w:tcW w:w="94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60" w:type="dxa"/>
            <w:vAlign w:val="bottom"/>
            <w:tcBorders>
              <w:right w:val="single" w:sz="8" w:color="auto"/>
            </w:tcBorders>
          </w:tcPr>
          <w:p>
            <w:pPr>
              <w:spacing w:after="0"/>
              <w:rPr>
                <w:sz w:val="6"/>
                <w:szCs w:val="6"/>
                <w:color w:val="auto"/>
              </w:rPr>
            </w:pPr>
          </w:p>
        </w:tc>
        <w:tc>
          <w:tcPr>
            <w:tcW w:w="7500" w:type="dxa"/>
            <w:vAlign w:val="bottom"/>
            <w:tcBorders>
              <w:bottom w:val="single" w:sz="8" w:color="auto"/>
              <w:right w:val="single" w:sz="8" w:color="auto"/>
            </w:tcBorders>
            <w:vMerge w:val="continue"/>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Air flow monitoring via building management system</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70707"/>
              </w:rPr>
              <w:t>Supply and exhaust air duct distribution within Core &amp; Shell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70707"/>
              </w:rPr>
              <w:t>Supply and exhaust air duct distribution with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70707"/>
              </w:rPr>
              <w:t>Vertical exhaust air duct risers at the Tenant connection point</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Exhaust air duct distribution within Core &amp; Shell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Exhaust air duct distribution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70707"/>
              </w:rPr>
              <w:t>Specialty exhaust system for Tenant program</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Restroom exhaust for Core &amp; Shell toilet rooms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Restroom exhaust for bathrooms within the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Hot water pipe risers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Hot water pipe distribution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Hot water BTU meter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Building Management System (BMS) for the Core &amp; Shell</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BMS (compatible with Landlord</w:t>
            </w:r>
            <w:r>
              <w:rPr>
                <w:rFonts w:ascii="Arial" w:cs="Arial" w:eastAsia="Arial" w:hAnsi="Arial"/>
                <w:sz w:val="13"/>
                <w:szCs w:val="13"/>
                <w:color w:val="494949"/>
              </w:rPr>
              <w:t>'</w:t>
            </w:r>
            <w:r>
              <w:rPr>
                <w:rFonts w:ascii="Arial" w:cs="Arial" w:eastAsia="Arial" w:hAnsi="Arial"/>
                <w:sz w:val="13"/>
                <w:szCs w:val="13"/>
                <w:color w:val="070707"/>
              </w:rPr>
              <w:t>s system and subject to Landlord review and approval) within Tenant</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0" w:type="dxa"/>
            <w:vAlign w:val="bottom"/>
            <w:tcBorders>
              <w:right w:val="single" w:sz="8" w:color="auto"/>
            </w:tcBorders>
          </w:tcPr>
          <w:p>
            <w:pPr>
              <w:spacing w:after="0"/>
              <w:rPr>
                <w:sz w:val="7"/>
                <w:szCs w:val="7"/>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Premises monitoring Tenant infrastructure</w:t>
            </w:r>
          </w:p>
        </w:tc>
        <w:tc>
          <w:tcPr>
            <w:tcW w:w="94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60" w:type="dxa"/>
            <w:vAlign w:val="bottom"/>
            <w:tcBorders>
              <w:right w:val="single" w:sz="8" w:color="auto"/>
            </w:tcBorders>
          </w:tcPr>
          <w:p>
            <w:pPr>
              <w:spacing w:after="0"/>
              <w:rPr>
                <w:sz w:val="6"/>
                <w:szCs w:val="6"/>
                <w:color w:val="auto"/>
              </w:rPr>
            </w:pPr>
          </w:p>
        </w:tc>
        <w:tc>
          <w:tcPr>
            <w:tcW w:w="7500" w:type="dxa"/>
            <w:vAlign w:val="bottom"/>
            <w:tcBorders>
              <w:bottom w:val="single" w:sz="8" w:color="auto"/>
              <w:right w:val="single" w:sz="8" w:color="auto"/>
            </w:tcBorders>
            <w:vMerge w:val="continue"/>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Cooling system for the Core &amp; Shell electrical closets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Cooling system for electrical closets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tcBorders>
              <w:right w:val="single" w:sz="8" w:color="auto"/>
            </w:tcBorders>
          </w:tcPr>
          <w:p>
            <w:pPr>
              <w:spacing w:after="0"/>
              <w:rPr>
                <w:sz w:val="14"/>
                <w:szCs w:val="14"/>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70707"/>
              </w:rPr>
              <w:t>Sound attenuation for the Core &amp; Shell infrastructure to comply with Watertown Noise Ordinance</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70707"/>
              </w:rPr>
              <w:t>Sound attenuation for Tenant equipment to comply with Watertown Noise Ordinance</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Additional/ dedicated cooling equipment for Tenant requirements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Chilled water pipe risers for Tenant use</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Chilled water pipe distribution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70707"/>
              </w:rPr>
              <w:t>ELECTRICAL</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Normal Power with capacity for Tenant Premises based on 12 watts/USF lab and 4 watts/USF of office</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area</w:t>
            </w: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70707"/>
              </w:rPr>
              <w:t xml:space="preserve">Standby Power (generator) with capacity for Tenant Premises based on </w:t>
            </w:r>
            <w:r>
              <w:rPr>
                <w:rFonts w:ascii="Arial" w:cs="Arial" w:eastAsia="Arial" w:hAnsi="Arial"/>
                <w:sz w:val="13"/>
                <w:szCs w:val="13"/>
                <w:b w:val="1"/>
                <w:bCs w:val="1"/>
                <w:color w:val="070707"/>
              </w:rPr>
              <w:t>4</w:t>
            </w:r>
            <w:r>
              <w:rPr>
                <w:rFonts w:ascii="Arial" w:cs="Arial" w:eastAsia="Arial" w:hAnsi="Arial"/>
                <w:sz w:val="13"/>
                <w:szCs w:val="13"/>
                <w:color w:val="070707"/>
              </w:rPr>
              <w:t xml:space="preserve"> watts/RSF based on</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customary diversity measures</w:t>
            </w: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Life Safety Power with battery back-up for all Core &amp; Shell area emergency lighting/exit signage</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60" w:type="dxa"/>
            <w:vAlign w:val="bottom"/>
            <w:tcBorders>
              <w:right w:val="single" w:sz="8" w:color="auto"/>
            </w:tcBorders>
          </w:tcPr>
          <w:p>
            <w:pPr>
              <w:spacing w:after="0"/>
              <w:rPr>
                <w:sz w:val="7"/>
                <w:szCs w:val="7"/>
                <w:color w:val="auto"/>
              </w:rPr>
            </w:pPr>
          </w:p>
        </w:tc>
        <w:tc>
          <w:tcPr>
            <w:tcW w:w="750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right w:val="single" w:sz="8" w:color="auto"/>
            </w:tcBorders>
            <w:vMerge w:val="continue"/>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Life Safety Power with battery back-up for all Tenant area emergency lighting/exit signage</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0" w:type="dxa"/>
            <w:vAlign w:val="bottom"/>
            <w:tcBorders>
              <w:right w:val="single" w:sz="8" w:color="auto"/>
            </w:tcBorders>
          </w:tcPr>
          <w:p>
            <w:pPr>
              <w:spacing w:after="0"/>
              <w:rPr>
                <w:sz w:val="14"/>
                <w:szCs w:val="14"/>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Future standby generators for Tenant use (in addition to what is provided by the Core &amp; Shell)</w:t>
            </w:r>
          </w:p>
        </w:tc>
        <w:tc>
          <w:tcPr>
            <w:tcW w:w="94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60" w:type="dxa"/>
            <w:vAlign w:val="bottom"/>
            <w:tcBorders>
              <w:right w:val="single" w:sz="8" w:color="auto"/>
            </w:tcBorders>
          </w:tcPr>
          <w:p>
            <w:pPr>
              <w:spacing w:after="0"/>
              <w:rPr>
                <w:sz w:val="6"/>
                <w:szCs w:val="6"/>
                <w:color w:val="auto"/>
              </w:rPr>
            </w:pPr>
          </w:p>
        </w:tc>
        <w:tc>
          <w:tcPr>
            <w:tcW w:w="75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vMerge w:val="continue"/>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Normal and standby power distribution within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0" w:type="dxa"/>
            <w:vAlign w:val="bottom"/>
            <w:tcBorders>
              <w:right w:val="single" w:sz="8" w:color="auto"/>
            </w:tcBorders>
          </w:tcPr>
          <w:p>
            <w:pPr>
              <w:spacing w:after="0"/>
              <w:rPr>
                <w:sz w:val="10"/>
                <w:szCs w:val="10"/>
                <w:color w:val="auto"/>
              </w:rPr>
            </w:pPr>
          </w:p>
        </w:tc>
        <w:tc>
          <w:tcPr>
            <w:tcW w:w="75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3"/>
                <w:szCs w:val="13"/>
                <w:color w:val="070707"/>
                <w:w w:val="98"/>
              </w:rPr>
              <w:t>Sound attenuation for the Core &amp; Shell generator to comply with Watertown Noise Ordinance</w:t>
            </w:r>
            <w:r>
              <w:rPr>
                <w:rFonts w:ascii="Arial" w:cs="Arial" w:eastAsia="Arial" w:hAnsi="Arial"/>
                <w:sz w:val="13"/>
                <w:szCs w:val="13"/>
                <w:color w:val="494949"/>
                <w:w w:val="98"/>
              </w:rPr>
              <w:t>.</w:t>
            </w:r>
            <w:r>
              <w:rPr>
                <w:rFonts w:ascii="Arial" w:cs="Arial" w:eastAsia="Arial" w:hAnsi="Arial"/>
                <w:sz w:val="13"/>
                <w:szCs w:val="13"/>
                <w:color w:val="070707"/>
                <w:w w:val="98"/>
              </w:rPr>
              <w:t xml:space="preserve"> Core &amp; Shell generator provided with</w:t>
            </w:r>
          </w:p>
        </w:tc>
        <w:tc>
          <w:tcPr>
            <w:tcW w:w="9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60" w:type="dxa"/>
            <w:vAlign w:val="bottom"/>
            <w:tcBorders>
              <w:right w:val="single" w:sz="8" w:color="auto"/>
            </w:tcBorders>
          </w:tcPr>
          <w:p>
            <w:pPr>
              <w:spacing w:after="0"/>
              <w:rPr>
                <w:sz w:val="16"/>
                <w:szCs w:val="16"/>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fuel tanks to support 12 hours of run time with a local agreement for 8 hour fuel service</w:t>
            </w:r>
            <w:r>
              <w:rPr>
                <w:rFonts w:ascii="Arial" w:cs="Arial" w:eastAsia="Arial" w:hAnsi="Arial"/>
                <w:sz w:val="13"/>
                <w:szCs w:val="13"/>
                <w:color w:val="494949"/>
              </w:rPr>
              <w:t>.</w:t>
            </w:r>
          </w:p>
        </w:tc>
        <w:tc>
          <w:tcPr>
            <w:tcW w:w="94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480V normal power distribution for Tenant connection</w:t>
            </w:r>
            <w:r>
              <w:rPr>
                <w:rFonts w:ascii="Arial" w:cs="Arial" w:eastAsia="Arial" w:hAnsi="Arial"/>
                <w:sz w:val="13"/>
                <w:szCs w:val="13"/>
                <w:color w:val="494949"/>
              </w:rPr>
              <w:t>,</w:t>
            </w:r>
            <w:r>
              <w:rPr>
                <w:rFonts w:ascii="Arial" w:cs="Arial" w:eastAsia="Arial" w:hAnsi="Arial"/>
                <w:sz w:val="13"/>
                <w:szCs w:val="13"/>
                <w:color w:val="070707"/>
              </w:rPr>
              <w:t xml:space="preserve"> unmetered</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070707"/>
              </w:rPr>
              <w:t>Switchgear and panels for standby and life safety power on each floor are available for Tenant power</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connections.</w:t>
            </w: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70707"/>
              </w:rPr>
              <w:t>Switchgear and busway for Tenant tie-in with bus plug and check meter</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Lighting and power distribution for the Core &amp; Shell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Lighting and power distribution for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Lighting in Tenant Premises to be programmed to turn lights off at a certain time (time to be</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determined by Landlord)</w:t>
            </w: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Tenant distribution panels</w:t>
            </w:r>
            <w:r>
              <w:rPr>
                <w:rFonts w:ascii="Arial" w:cs="Arial" w:eastAsia="Arial" w:hAnsi="Arial"/>
                <w:sz w:val="13"/>
                <w:szCs w:val="13"/>
                <w:color w:val="494949"/>
              </w:rPr>
              <w:t>,</w:t>
            </w:r>
            <w:r>
              <w:rPr>
                <w:rFonts w:ascii="Arial" w:cs="Arial" w:eastAsia="Arial" w:hAnsi="Arial"/>
                <w:sz w:val="13"/>
                <w:szCs w:val="13"/>
                <w:color w:val="070707"/>
              </w:rPr>
              <w:t xml:space="preserve"> transformers</w:t>
            </w:r>
            <w:r>
              <w:rPr>
                <w:rFonts w:ascii="Arial" w:cs="Arial" w:eastAsia="Arial" w:hAnsi="Arial"/>
                <w:sz w:val="13"/>
                <w:szCs w:val="13"/>
                <w:color w:val="494949"/>
              </w:rPr>
              <w:t>,</w:t>
            </w:r>
            <w:r>
              <w:rPr>
                <w:rFonts w:ascii="Arial" w:cs="Arial" w:eastAsia="Arial" w:hAnsi="Arial"/>
                <w:sz w:val="13"/>
                <w:szCs w:val="13"/>
                <w:color w:val="070707"/>
              </w:rPr>
              <w:t xml:space="preserve"> etc</w:t>
            </w:r>
            <w:r>
              <w:rPr>
                <w:rFonts w:ascii="Arial" w:cs="Arial" w:eastAsia="Arial" w:hAnsi="Arial"/>
                <w:sz w:val="13"/>
                <w:szCs w:val="13"/>
                <w:color w:val="313131"/>
              </w:rPr>
              <w:t>.</w:t>
            </w:r>
            <w:r>
              <w:rPr>
                <w:rFonts w:ascii="Arial" w:cs="Arial" w:eastAsia="Arial" w:hAnsi="Arial"/>
                <w:sz w:val="13"/>
                <w:szCs w:val="13"/>
                <w:color w:val="070707"/>
              </w:rPr>
              <w:t xml:space="preserve"> in Tenant Premises to serve Tenant loads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Electronic check metering for Tenant normal and standby power including reporting to the Core &amp; Shell</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BMS system</w:t>
            </w: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Lightning Protection System for the Tenant Premises (proper surge protection on Tenant equipment</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including protecting any circuits that extend up through the roof)</w:t>
            </w: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Grounding Riser network and copper grounding bar on each level within the Core &amp; Shell electrical</w:t>
            </w:r>
          </w:p>
        </w:tc>
        <w:tc>
          <w:tcPr>
            <w:tcW w:w="9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070707"/>
              </w:rPr>
              <w:t>room</w:t>
            </w:r>
          </w:p>
        </w:tc>
        <w:tc>
          <w:tcPr>
            <w:tcW w:w="9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Grounding extension to and within the Tenant Premises</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7500" w:type="dxa"/>
            <w:vAlign w:val="bottom"/>
            <w:tcBorders>
              <w:bottom w:val="single" w:sz="8" w:color="auto"/>
              <w:right w:val="single" w:sz="8" w:color="DFDFDF"/>
            </w:tcBorders>
            <w:shd w:val="clear" w:color="auto" w:fill="DFDFDF"/>
          </w:tcPr>
          <w:p>
            <w:pPr>
              <w:ind w:left="60"/>
              <w:spacing w:after="0"/>
              <w:rPr>
                <w:sz w:val="20"/>
                <w:szCs w:val="20"/>
                <w:color w:val="auto"/>
              </w:rPr>
            </w:pPr>
            <w:r>
              <w:rPr>
                <w:rFonts w:ascii="Arial" w:cs="Arial" w:eastAsia="Arial" w:hAnsi="Arial"/>
                <w:sz w:val="14"/>
                <w:szCs w:val="14"/>
                <w:b w:val="1"/>
                <w:bCs w:val="1"/>
                <w:color w:val="070707"/>
              </w:rPr>
              <w:t>FIRE ALARM</w:t>
            </w:r>
          </w:p>
        </w:tc>
        <w:tc>
          <w:tcPr>
            <w:tcW w:w="940" w:type="dxa"/>
            <w:vAlign w:val="bottom"/>
            <w:tcBorders>
              <w:bottom w:val="single" w:sz="8" w:color="auto"/>
              <w:right w:val="single" w:sz="8" w:color="DFDFDF"/>
            </w:tcBorders>
            <w:shd w:val="clear" w:color="auto" w:fill="DFDFDF"/>
          </w:tcPr>
          <w:p>
            <w:pPr>
              <w:spacing w:after="0"/>
              <w:rPr>
                <w:sz w:val="15"/>
                <w:szCs w:val="15"/>
                <w:color w:val="auto"/>
              </w:rPr>
            </w:pPr>
          </w:p>
        </w:tc>
        <w:tc>
          <w:tcPr>
            <w:tcW w:w="720" w:type="dxa"/>
            <w:vAlign w:val="bottom"/>
            <w:tcBorders>
              <w:bottom w:val="single" w:sz="8" w:color="auto"/>
              <w:right w:val="single" w:sz="8" w:color="DFDFDF"/>
            </w:tcBorders>
            <w:shd w:val="clear" w:color="auto" w:fill="DFDFDF"/>
          </w:tcPr>
          <w:p>
            <w:pPr>
              <w:spacing w:after="0"/>
              <w:rPr>
                <w:sz w:val="15"/>
                <w:szCs w:val="15"/>
                <w:color w:val="auto"/>
              </w:rPr>
            </w:pPr>
          </w:p>
        </w:tc>
        <w:tc>
          <w:tcPr>
            <w:tcW w:w="1820" w:type="dxa"/>
            <w:vAlign w:val="bottom"/>
            <w:tcBorders>
              <w:bottom w:val="single" w:sz="8" w:color="auto"/>
              <w:right w:val="single" w:sz="8" w:color="auto"/>
            </w:tcBorders>
            <w:shd w:val="clear" w:color="auto" w:fill="DFDFD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Borders>
              <w:right w:val="single" w:sz="8" w:color="auto"/>
            </w:tcBorders>
          </w:tcPr>
          <w:p>
            <w:pPr>
              <w:spacing w:after="0"/>
              <w:rPr>
                <w:sz w:val="14"/>
                <w:szCs w:val="14"/>
                <w:color w:val="auto"/>
              </w:rPr>
            </w:pPr>
          </w:p>
        </w:tc>
        <w:tc>
          <w:tcPr>
            <w:tcW w:w="75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070707"/>
              </w:rPr>
              <w:t>Fire alarm system with devices within the Core &amp; Shell areas</w:t>
            </w:r>
          </w:p>
        </w:tc>
        <w:tc>
          <w:tcPr>
            <w:tcW w:w="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070707"/>
              </w:rPr>
              <w:t>X</w:t>
            </w:r>
          </w:p>
        </w:tc>
        <w:tc>
          <w:tcPr>
            <w:tcW w:w="7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75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070707"/>
              </w:rPr>
              <w:t>Fire alarm expansion sub panels and devices for Tenant Premises with integration into the Core &amp;</w:t>
            </w:r>
          </w:p>
        </w:tc>
        <w:tc>
          <w:tcPr>
            <w:tcW w:w="9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60" w:type="dxa"/>
            <w:vAlign w:val="bottom"/>
            <w:tcBorders>
              <w:right w:val="single" w:sz="8" w:color="auto"/>
            </w:tcBorders>
          </w:tcPr>
          <w:p>
            <w:pPr>
              <w:spacing w:after="0"/>
              <w:rPr>
                <w:sz w:val="8"/>
                <w:szCs w:val="8"/>
                <w:color w:val="auto"/>
              </w:rPr>
            </w:pPr>
          </w:p>
        </w:tc>
        <w:tc>
          <w:tcPr>
            <w:tcW w:w="7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070707"/>
              </w:rPr>
              <w:t>Shell system</w:t>
            </w: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0" w:type="dxa"/>
            <w:vAlign w:val="bottom"/>
            <w:tcBorders>
              <w:right w:val="single" w:sz="8" w:color="auto"/>
            </w:tcBorders>
          </w:tcPr>
          <w:p>
            <w:pPr>
              <w:spacing w:after="0"/>
              <w:rPr>
                <w:sz w:val="5"/>
                <w:szCs w:val="5"/>
                <w:color w:val="auto"/>
              </w:rPr>
            </w:pPr>
          </w:p>
        </w:tc>
        <w:tc>
          <w:tcPr>
            <w:tcW w:w="7500" w:type="dxa"/>
            <w:vAlign w:val="bottom"/>
            <w:tcBorders>
              <w:bottom w:val="single" w:sz="8" w:color="auto"/>
              <w:right w:val="single" w:sz="8" w:color="auto"/>
            </w:tcBorders>
            <w:vMerge w:val="continue"/>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7"/>
        </w:trPr>
        <w:tc>
          <w:tcPr>
            <w:tcW w:w="16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-8498840</wp:posOffset>
            </wp:positionV>
            <wp:extent cx="4791710" cy="16256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4">
                      <a:extLst>
                        <a:ext uri="{28A0092B-C50C-407E-A947-70E740481C1C}"/>
                      </a:extLst>
                    </a:blip>
                    <a:srcRect/>
                    <a:stretch>
                      <a:fillRect/>
                    </a:stretch>
                  </pic:blipFill>
                  <pic:spPr bwMode="auto">
                    <a:xfrm>
                      <a:off x="0" y="0"/>
                      <a:ext cx="479171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-1182370</wp:posOffset>
            </wp:positionV>
            <wp:extent cx="2425700" cy="41148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7">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9" w:name="page400"/>
    <w:bookmarkEnd w:id="399"/>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193675</wp:posOffset>
            </wp:positionV>
            <wp:extent cx="6998970" cy="6045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8">
                      <a:extLst>
                        <a:ext uri="{28A0092B-C50C-407E-A947-70E740481C1C}"/>
                      </a:extLst>
                    </a:blip>
                    <a:srcRect/>
                    <a:stretch>
                      <a:fillRect/>
                    </a:stretch>
                  </pic:blipFill>
                  <pic:spPr bwMode="auto">
                    <a:xfrm>
                      <a:off x="0" y="0"/>
                      <a:ext cx="6998970" cy="604520"/>
                    </a:xfrm>
                    <a:prstGeom prst="rect">
                      <a:avLst/>
                    </a:prstGeom>
                    <a:noFill/>
                  </pic:spPr>
                </pic:pic>
              </a:graphicData>
            </a:graphic>
          </wp:anchor>
        </w:drawing>
      </w: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7440" w:type="dxa"/>
            <w:vAlign w:val="bottom"/>
          </w:tcPr>
          <w:p>
            <w:pPr>
              <w:spacing w:after="0"/>
              <w:rPr>
                <w:sz w:val="20"/>
                <w:szCs w:val="20"/>
                <w:color w:val="auto"/>
              </w:rPr>
            </w:pPr>
            <w:r>
              <w:rPr>
                <w:rFonts w:ascii="Arial" w:cs="Arial" w:eastAsia="Arial" w:hAnsi="Arial"/>
                <w:sz w:val="13"/>
                <w:szCs w:val="13"/>
                <w:color w:val="070707"/>
              </w:rPr>
              <w:t>Alteration/reprogramming to fire alarm system to facilitate Tenant program</w:t>
            </w:r>
          </w:p>
        </w:tc>
        <w:tc>
          <w:tcPr>
            <w:tcW w:w="960" w:type="dxa"/>
            <w:vAlign w:val="bottom"/>
            <w:tcBorders>
              <w:top w:val="single" w:sz="8" w:color="auto"/>
              <w:bottom w:val="single" w:sz="8" w:color="auto"/>
              <w:right w:val="single" w:sz="8" w:color="auto"/>
            </w:tcBorders>
          </w:tcPr>
          <w:p>
            <w:pPr>
              <w:spacing w:after="0"/>
              <w:rPr>
                <w:sz w:val="16"/>
                <w:szCs w:val="16"/>
                <w:color w:val="auto"/>
              </w:rPr>
            </w:pPr>
          </w:p>
        </w:tc>
        <w:tc>
          <w:tcPr>
            <w:tcW w:w="7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70707"/>
              </w:rPr>
              <w:t>X</w:t>
            </w:r>
          </w:p>
        </w:tc>
        <w:tc>
          <w:tcPr>
            <w:tcW w:w="1820" w:type="dxa"/>
            <w:vAlign w:val="bottom"/>
            <w:tcBorders>
              <w:top w:val="single" w:sz="8" w:color="auto"/>
              <w:bottom w:val="single" w:sz="8" w:color="auto"/>
            </w:tcBorders>
          </w:tcPr>
          <w:p>
            <w:pPr>
              <w:spacing w:after="0"/>
              <w:rPr>
                <w:sz w:val="16"/>
                <w:szCs w:val="16"/>
                <w:color w:val="auto"/>
              </w:rPr>
            </w:pPr>
          </w:p>
        </w:tc>
      </w:tr>
    </w:tbl>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70707"/>
        </w:rPr>
        <w:t>TELEPHONE/DAT A</w:t>
      </w:r>
    </w:p>
    <w:p>
      <w:pPr>
        <w:ind w:left="200"/>
        <w:spacing w:after="0" w:line="210" w:lineRule="auto"/>
        <w:rPr>
          <w:sz w:val="20"/>
          <w:szCs w:val="20"/>
          <w:color w:val="auto"/>
        </w:rPr>
      </w:pPr>
      <w:r>
        <w:rPr>
          <w:rFonts w:ascii="Arial" w:cs="Arial" w:eastAsia="Arial" w:hAnsi="Arial"/>
          <w:sz w:val="13"/>
          <w:szCs w:val="13"/>
          <w:color w:val="070707"/>
        </w:rPr>
        <w:t>Underground local exchange carrier service to the Core &amp; Shell demarcation room (MPOE)</w:t>
      </w:r>
    </w:p>
    <w:p>
      <w:pPr>
        <w:ind w:left="8100"/>
        <w:spacing w:after="0"/>
        <w:rPr>
          <w:sz w:val="20"/>
          <w:szCs w:val="20"/>
          <w:color w:val="auto"/>
        </w:rPr>
      </w:pPr>
      <w:r>
        <w:rPr>
          <w:rFonts w:ascii="Arial" w:cs="Arial" w:eastAsia="Arial" w:hAnsi="Arial"/>
          <w:sz w:val="13"/>
          <w:szCs w:val="13"/>
          <w:color w:val="070707"/>
        </w:rPr>
        <w:t>X</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80" w:type="dxa"/>
            <w:vAlign w:val="bottom"/>
          </w:tcPr>
          <w:p>
            <w:pPr>
              <w:ind w:left="200"/>
              <w:spacing w:after="0"/>
              <w:rPr>
                <w:sz w:val="20"/>
                <w:szCs w:val="20"/>
                <w:color w:val="auto"/>
              </w:rPr>
            </w:pPr>
            <w:r>
              <w:rPr>
                <w:rFonts w:ascii="Arial" w:cs="Arial" w:eastAsia="Arial" w:hAnsi="Arial"/>
                <w:sz w:val="13"/>
                <w:szCs w:val="13"/>
                <w:color w:val="070707"/>
              </w:rPr>
              <w:t>Tenant tel/data rooms</w:t>
            </w:r>
          </w:p>
        </w:tc>
        <w:tc>
          <w:tcPr>
            <w:tcW w:w="6060" w:type="dxa"/>
            <w:vAlign w:val="bottom"/>
          </w:tcPr>
          <w:p>
            <w:pPr>
              <w:ind w:left="3760"/>
              <w:spacing w:after="0"/>
              <w:rPr>
                <w:sz w:val="20"/>
                <w:szCs w:val="20"/>
                <w:color w:val="auto"/>
              </w:rPr>
            </w:pPr>
            <w:r>
              <w:rPr>
                <w:rFonts w:ascii="Arial" w:cs="Arial" w:eastAsia="Arial" w:hAnsi="Arial"/>
                <w:sz w:val="13"/>
                <w:szCs w:val="13"/>
                <w:color w:val="070707"/>
              </w:rPr>
              <w:t>X</w:t>
            </w:r>
          </w:p>
        </w:tc>
      </w:tr>
      <w:tr>
        <w:trPr>
          <w:trHeight w:val="1855"/>
        </w:trPr>
        <w:tc>
          <w:tcPr>
            <w:tcW w:w="5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-1182370</wp:posOffset>
            </wp:positionV>
            <wp:extent cx="2425700" cy="41148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1">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0" w:name="page401"/>
    <w:bookmarkEnd w:id="400"/>
    <w:p>
      <w:pPr>
        <w:ind w:left="400"/>
        <w:spacing w:after="0"/>
        <w:rPr>
          <w:sz w:val="20"/>
          <w:szCs w:val="20"/>
          <w:color w:val="auto"/>
        </w:rPr>
      </w:pPr>
      <w:r>
        <w:rPr>
          <w:rFonts w:ascii="Arial" w:cs="Arial" w:eastAsia="Arial" w:hAnsi="Arial"/>
          <w:sz w:val="18"/>
          <w:szCs w:val="18"/>
          <w:b w:val="1"/>
          <w:bCs w:val="1"/>
          <w:color w:val="auto"/>
        </w:rPr>
        <w:t>Building 1 (AOTC) / Kymera Therapeutics, Inc. – Ex. C</w:t>
      </w:r>
    </w:p>
    <w:p>
      <w:pPr>
        <w:spacing w:after="0" w:line="14"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7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40" w:type="dxa"/>
            <w:vAlign w:val="bottom"/>
          </w:tcPr>
          <w:p>
            <w:pPr>
              <w:ind w:left="740"/>
              <w:spacing w:after="0"/>
              <w:rPr>
                <w:sz w:val="20"/>
                <w:szCs w:val="20"/>
                <w:color w:val="auto"/>
              </w:rPr>
            </w:pPr>
            <w:r>
              <w:rPr>
                <w:rFonts w:ascii="Arial" w:cs="Arial" w:eastAsia="Arial" w:hAnsi="Arial"/>
                <w:sz w:val="18"/>
                <w:szCs w:val="18"/>
                <w:b w:val="1"/>
                <w:bCs w:val="1"/>
                <w:color w:val="auto"/>
                <w:w w:val="96"/>
              </w:rPr>
              <w:t>Exhibit 10.13</w:t>
            </w:r>
          </w:p>
        </w:tc>
        <w:tc>
          <w:tcPr>
            <w:tcW w:w="0" w:type="dxa"/>
            <w:vAlign w:val="bottom"/>
          </w:tcPr>
          <w:p>
            <w:pPr>
              <w:spacing w:after="0"/>
              <w:rPr>
                <w:sz w:val="1"/>
                <w:szCs w:val="1"/>
                <w:color w:val="auto"/>
              </w:rPr>
            </w:pPr>
          </w:p>
        </w:tc>
      </w:tr>
      <w:tr>
        <w:trPr>
          <w:trHeight w:val="200"/>
        </w:trPr>
        <w:tc>
          <w:tcPr>
            <w:tcW w:w="7680" w:type="dxa"/>
            <w:vAlign w:val="bottom"/>
            <w:tcBorders>
              <w:bottom w:val="single" w:sz="8" w:color="D8E4B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680" w:type="dxa"/>
            <w:vAlign w:val="bottom"/>
            <w:tcBorders>
              <w:left w:val="single" w:sz="8" w:color="D8E4BC"/>
              <w:right w:val="single" w:sz="8" w:color="D8E4BC"/>
            </w:tcBorders>
            <w:shd w:val="clear" w:color="auto" w:fill="D8E4BC"/>
          </w:tcPr>
          <w:p>
            <w:pPr>
              <w:ind w:left="1580"/>
              <w:spacing w:after="0"/>
              <w:rPr>
                <w:sz w:val="20"/>
                <w:szCs w:val="20"/>
                <w:color w:val="auto"/>
              </w:rPr>
            </w:pPr>
            <w:r>
              <w:rPr>
                <w:rFonts w:ascii="Times New Roman" w:cs="Times New Roman" w:eastAsia="Times New Roman" w:hAnsi="Times New Roman"/>
                <w:sz w:val="14"/>
                <w:szCs w:val="14"/>
                <w:color w:val="050505"/>
              </w:rPr>
              <w:t>ARSENAL ON THE CHARLES - BUILDING NO</w:t>
            </w:r>
            <w:r>
              <w:rPr>
                <w:rFonts w:ascii="Times New Roman" w:cs="Times New Roman" w:eastAsia="Times New Roman" w:hAnsi="Times New Roman"/>
                <w:sz w:val="14"/>
                <w:szCs w:val="14"/>
                <w:color w:val="4B4B4B"/>
              </w:rPr>
              <w:t>.</w:t>
            </w:r>
            <w:r>
              <w:rPr>
                <w:rFonts w:ascii="Times New Roman" w:cs="Times New Roman" w:eastAsia="Times New Roman" w:hAnsi="Times New Roman"/>
                <w:sz w:val="14"/>
                <w:szCs w:val="14"/>
                <w:color w:val="050505"/>
              </w:rPr>
              <w:t xml:space="preserve"> 1</w:t>
            </w:r>
          </w:p>
        </w:tc>
        <w:tc>
          <w:tcPr>
            <w:tcW w:w="980" w:type="dxa"/>
            <w:vAlign w:val="bottom"/>
            <w:tcBorders>
              <w:right w:val="single" w:sz="8" w:color="auto"/>
            </w:tcBorders>
            <w:vMerge w:val="restart"/>
            <w:shd w:val="clear" w:color="auto" w:fill="D8E4BC"/>
          </w:tcPr>
          <w:p>
            <w:pPr>
              <w:ind w:left="100"/>
              <w:spacing w:after="0"/>
              <w:rPr>
                <w:sz w:val="20"/>
                <w:szCs w:val="20"/>
                <w:color w:val="auto"/>
              </w:rPr>
            </w:pPr>
            <w:r>
              <w:rPr>
                <w:rFonts w:ascii="Arial" w:cs="Arial" w:eastAsia="Arial" w:hAnsi="Arial"/>
                <w:sz w:val="13"/>
                <w:szCs w:val="13"/>
                <w:color w:val="050505"/>
              </w:rPr>
              <w:t>Landlord</w:t>
            </w:r>
          </w:p>
        </w:tc>
        <w:tc>
          <w:tcPr>
            <w:tcW w:w="740" w:type="dxa"/>
            <w:vAlign w:val="bottom"/>
            <w:tcBorders>
              <w:right w:val="single" w:sz="8" w:color="auto"/>
            </w:tcBorders>
            <w:vMerge w:val="restart"/>
            <w:shd w:val="clear" w:color="auto" w:fill="D8E4BC"/>
          </w:tcPr>
          <w:p>
            <w:pPr>
              <w:ind w:left="80"/>
              <w:spacing w:after="0"/>
              <w:rPr>
                <w:sz w:val="20"/>
                <w:szCs w:val="20"/>
                <w:color w:val="auto"/>
              </w:rPr>
            </w:pPr>
            <w:r>
              <w:rPr>
                <w:rFonts w:ascii="Arial" w:cs="Arial" w:eastAsia="Arial" w:hAnsi="Arial"/>
                <w:sz w:val="13"/>
                <w:szCs w:val="13"/>
                <w:color w:val="050505"/>
              </w:rPr>
              <w:t>Tenant</w:t>
            </w:r>
          </w:p>
        </w:tc>
        <w:tc>
          <w:tcPr>
            <w:tcW w:w="1840" w:type="dxa"/>
            <w:vAlign w:val="bottom"/>
            <w:tcBorders>
              <w:right w:val="single" w:sz="8" w:color="auto"/>
            </w:tcBorders>
            <w:shd w:val="clear" w:color="auto" w:fill="D8E4BC"/>
          </w:tcPr>
          <w:p>
            <w:pPr>
              <w:ind w:left="40"/>
              <w:spacing w:after="0"/>
              <w:rPr>
                <w:sz w:val="20"/>
                <w:szCs w:val="20"/>
                <w:color w:val="auto"/>
              </w:rPr>
            </w:pPr>
            <w:r>
              <w:rPr>
                <w:rFonts w:ascii="Arial" w:cs="Arial" w:eastAsia="Arial" w:hAnsi="Arial"/>
                <w:sz w:val="13"/>
                <w:szCs w:val="13"/>
                <w:color w:val="050505"/>
                <w:w w:val="97"/>
              </w:rPr>
              <w:t>Landlord (at Tenant's Expense)</w:t>
            </w:r>
          </w:p>
        </w:tc>
        <w:tc>
          <w:tcPr>
            <w:tcW w:w="0" w:type="dxa"/>
            <w:vAlign w:val="bottom"/>
          </w:tcPr>
          <w:p>
            <w:pPr>
              <w:spacing w:after="0"/>
              <w:rPr>
                <w:sz w:val="1"/>
                <w:szCs w:val="1"/>
                <w:color w:val="auto"/>
              </w:rPr>
            </w:pPr>
          </w:p>
        </w:tc>
      </w:tr>
      <w:tr>
        <w:trPr>
          <w:trHeight w:val="77"/>
        </w:trPr>
        <w:tc>
          <w:tcPr>
            <w:tcW w:w="7680" w:type="dxa"/>
            <w:vAlign w:val="bottom"/>
            <w:tcBorders>
              <w:left w:val="single" w:sz="8" w:color="auto"/>
              <w:right w:val="single" w:sz="8" w:color="auto"/>
            </w:tcBorders>
            <w:vMerge w:val="restart"/>
            <w:shd w:val="clear" w:color="auto" w:fill="D8E4BC"/>
          </w:tcPr>
          <w:p>
            <w:pPr>
              <w:ind w:left="1980"/>
              <w:spacing w:after="0"/>
              <w:rPr>
                <w:sz w:val="20"/>
                <w:szCs w:val="20"/>
                <w:color w:val="auto"/>
              </w:rPr>
            </w:pPr>
            <w:r>
              <w:rPr>
                <w:rFonts w:ascii="Times New Roman" w:cs="Times New Roman" w:eastAsia="Times New Roman" w:hAnsi="Times New Roman"/>
                <w:sz w:val="14"/>
                <w:szCs w:val="14"/>
                <w:color w:val="050505"/>
              </w:rPr>
              <w:t>LANDLORD/TENANT RESPONSIBILITY MATRIX - DRAFI'</w:t>
            </w:r>
          </w:p>
        </w:tc>
        <w:tc>
          <w:tcPr>
            <w:tcW w:w="980" w:type="dxa"/>
            <w:vAlign w:val="bottom"/>
            <w:tcBorders>
              <w:right w:val="single" w:sz="8" w:color="auto"/>
            </w:tcBorders>
            <w:vMerge w:val="continue"/>
            <w:shd w:val="clear" w:color="auto" w:fill="D8E4BC"/>
          </w:tcPr>
          <w:p>
            <w:pPr>
              <w:spacing w:after="0"/>
              <w:rPr>
                <w:sz w:val="6"/>
                <w:szCs w:val="6"/>
                <w:color w:val="auto"/>
              </w:rPr>
            </w:pPr>
          </w:p>
        </w:tc>
        <w:tc>
          <w:tcPr>
            <w:tcW w:w="740" w:type="dxa"/>
            <w:vAlign w:val="bottom"/>
            <w:tcBorders>
              <w:right w:val="single" w:sz="8" w:color="auto"/>
            </w:tcBorders>
            <w:vMerge w:val="continue"/>
            <w:shd w:val="clear" w:color="auto" w:fill="D8E4BC"/>
          </w:tcPr>
          <w:p>
            <w:pPr>
              <w:spacing w:after="0"/>
              <w:rPr>
                <w:sz w:val="6"/>
                <w:szCs w:val="6"/>
                <w:color w:val="auto"/>
              </w:rPr>
            </w:pPr>
          </w:p>
        </w:tc>
        <w:tc>
          <w:tcPr>
            <w:tcW w:w="1840" w:type="dxa"/>
            <w:vAlign w:val="bottom"/>
            <w:tcBorders>
              <w:right w:val="single" w:sz="8" w:color="auto"/>
            </w:tcBorders>
            <w:shd w:val="clear" w:color="auto" w:fill="D8E4BC"/>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7680" w:type="dxa"/>
            <w:vAlign w:val="bottom"/>
            <w:tcBorders>
              <w:left w:val="single" w:sz="8" w:color="auto"/>
              <w:bottom w:val="single" w:sz="8" w:color="auto"/>
              <w:right w:val="single" w:sz="8" w:color="auto"/>
            </w:tcBorders>
            <w:vMerge w:val="continue"/>
            <w:shd w:val="clear" w:color="auto" w:fill="D8E4BC"/>
          </w:tcPr>
          <w:p>
            <w:pPr>
              <w:spacing w:after="0"/>
              <w:rPr>
                <w:sz w:val="9"/>
                <w:szCs w:val="9"/>
                <w:color w:val="auto"/>
              </w:rPr>
            </w:pPr>
          </w:p>
        </w:tc>
        <w:tc>
          <w:tcPr>
            <w:tcW w:w="980" w:type="dxa"/>
            <w:vAlign w:val="bottom"/>
            <w:tcBorders>
              <w:bottom w:val="single" w:sz="8" w:color="auto"/>
              <w:right w:val="single" w:sz="8" w:color="auto"/>
            </w:tcBorders>
            <w:shd w:val="clear" w:color="auto" w:fill="D8E4BC"/>
          </w:tcPr>
          <w:p>
            <w:pPr>
              <w:spacing w:after="0"/>
              <w:rPr>
                <w:sz w:val="9"/>
                <w:szCs w:val="9"/>
                <w:color w:val="auto"/>
              </w:rPr>
            </w:pPr>
          </w:p>
        </w:tc>
        <w:tc>
          <w:tcPr>
            <w:tcW w:w="740" w:type="dxa"/>
            <w:vAlign w:val="bottom"/>
            <w:tcBorders>
              <w:bottom w:val="single" w:sz="8" w:color="auto"/>
              <w:right w:val="single" w:sz="8" w:color="auto"/>
            </w:tcBorders>
            <w:shd w:val="clear" w:color="auto" w:fill="D8E4BC"/>
          </w:tcPr>
          <w:p>
            <w:pPr>
              <w:spacing w:after="0"/>
              <w:rPr>
                <w:sz w:val="9"/>
                <w:szCs w:val="9"/>
                <w:color w:val="auto"/>
              </w:rPr>
            </w:pPr>
          </w:p>
        </w:tc>
        <w:tc>
          <w:tcPr>
            <w:tcW w:w="1840" w:type="dxa"/>
            <w:vAlign w:val="bottom"/>
            <w:tcBorders>
              <w:bottom w:val="single" w:sz="8" w:color="auto"/>
              <w:right w:val="single" w:sz="8" w:color="auto"/>
            </w:tcBorders>
            <w:shd w:val="clear" w:color="auto" w:fill="D8E4BC"/>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7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050505"/>
              </w:rPr>
              <w:t>Pathways from the Core &amp; Shell demarcation room (MPOE) to Core &amp; Shell tel/data rooms</w:t>
            </w:r>
          </w:p>
        </w:tc>
        <w:tc>
          <w:tcPr>
            <w:tcW w:w="980" w:type="dxa"/>
            <w:vAlign w:val="bottom"/>
            <w:tcBorders>
              <w:right w:val="single" w:sz="8" w:color="auto"/>
            </w:tcBorders>
            <w:vMerge w:val="restart"/>
          </w:tcPr>
          <w:p>
            <w:pPr>
              <w:ind w:left="460"/>
              <w:spacing w:after="0"/>
              <w:rPr>
                <w:sz w:val="20"/>
                <w:szCs w:val="20"/>
                <w:color w:val="auto"/>
              </w:rPr>
            </w:pPr>
            <w:r>
              <w:rPr>
                <w:rFonts w:ascii="Arial" w:cs="Arial" w:eastAsia="Arial" w:hAnsi="Arial"/>
                <w:sz w:val="13"/>
                <w:szCs w:val="13"/>
                <w:color w:val="050505"/>
              </w:rPr>
              <w:t>X</w:t>
            </w:r>
          </w:p>
        </w:tc>
        <w:tc>
          <w:tcPr>
            <w:tcW w:w="74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7680" w:type="dxa"/>
            <w:vAlign w:val="bottom"/>
            <w:tcBorders>
              <w:left w:val="single" w:sz="8" w:color="auto"/>
              <w:righ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7680" w:type="dxa"/>
            <w:vAlign w:val="bottom"/>
            <w:tcBorders>
              <w:left w:val="single" w:sz="8" w:color="auto"/>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50505"/>
              </w:rPr>
              <w:t>Pathway from Core &amp; Shell tel/data rooms to Tenant tel/data rooms</w:t>
            </w:r>
          </w:p>
        </w:tc>
        <w:tc>
          <w:tcPr>
            <w:tcW w:w="9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50505"/>
              </w:rPr>
              <w:t>X</w:t>
            </w:r>
          </w:p>
        </w:tc>
        <w:tc>
          <w:tcPr>
            <w:tcW w:w="1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50505"/>
              </w:rPr>
              <w:t>Tel/Data cabling from demarcation room to intermediate distribution frame rooms</w:t>
            </w:r>
          </w:p>
        </w:tc>
        <w:tc>
          <w:tcPr>
            <w:tcW w:w="9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50505"/>
              </w:rPr>
              <w:t>X</w:t>
            </w:r>
          </w:p>
        </w:tc>
        <w:tc>
          <w:tcPr>
            <w:tcW w:w="1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050505"/>
              </w:rPr>
              <w:t>Tel/Data cabling from demarcation room and/ or intermediate distribution frame rooms to Tenant</w:t>
            </w:r>
          </w:p>
        </w:tc>
        <w:tc>
          <w:tcPr>
            <w:tcW w:w="9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50505"/>
              </w:rPr>
              <w:t>X</w:t>
            </w: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76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color w:val="050505"/>
              </w:rPr>
              <w:t>tel/data room</w:t>
            </w:r>
          </w:p>
        </w:tc>
        <w:tc>
          <w:tcPr>
            <w:tcW w:w="9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6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7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050505"/>
              </w:rPr>
              <w:t>Tel/data infrastructure including</w:t>
            </w:r>
            <w:r>
              <w:rPr>
                <w:rFonts w:ascii="Arial" w:cs="Arial" w:eastAsia="Arial" w:hAnsi="Arial"/>
                <w:sz w:val="13"/>
                <w:szCs w:val="13"/>
                <w:color w:val="4B4B4B"/>
              </w:rPr>
              <w:t>,</w:t>
            </w:r>
            <w:r>
              <w:rPr>
                <w:rFonts w:ascii="Arial" w:cs="Arial" w:eastAsia="Arial" w:hAnsi="Arial"/>
                <w:sz w:val="13"/>
                <w:szCs w:val="13"/>
                <w:color w:val="050505"/>
              </w:rPr>
              <w:t xml:space="preserve"> but not limited to</w:t>
            </w:r>
            <w:r>
              <w:rPr>
                <w:rFonts w:ascii="Arial" w:cs="Arial" w:eastAsia="Arial" w:hAnsi="Arial"/>
                <w:sz w:val="13"/>
                <w:szCs w:val="13"/>
                <w:color w:val="4B4B4B"/>
              </w:rPr>
              <w:t>,</w:t>
            </w:r>
            <w:r>
              <w:rPr>
                <w:rFonts w:ascii="Arial" w:cs="Arial" w:eastAsia="Arial" w:hAnsi="Arial"/>
                <w:sz w:val="13"/>
                <w:szCs w:val="13"/>
                <w:color w:val="050505"/>
              </w:rPr>
              <w:t xml:space="preserve"> servers</w:t>
            </w:r>
            <w:r>
              <w:rPr>
                <w:rFonts w:ascii="Arial" w:cs="Arial" w:eastAsia="Arial" w:hAnsi="Arial"/>
                <w:sz w:val="13"/>
                <w:szCs w:val="13"/>
                <w:color w:val="4B4B4B"/>
              </w:rPr>
              <w:t>,</w:t>
            </w:r>
            <w:r>
              <w:rPr>
                <w:rFonts w:ascii="Arial" w:cs="Arial" w:eastAsia="Arial" w:hAnsi="Arial"/>
                <w:sz w:val="13"/>
                <w:szCs w:val="13"/>
                <w:color w:val="050505"/>
              </w:rPr>
              <w:t xml:space="preserve"> computers</w:t>
            </w:r>
            <w:r>
              <w:rPr>
                <w:rFonts w:ascii="Arial" w:cs="Arial" w:eastAsia="Arial" w:hAnsi="Arial"/>
                <w:sz w:val="13"/>
                <w:szCs w:val="13"/>
                <w:color w:val="4B4B4B"/>
              </w:rPr>
              <w:t>,</w:t>
            </w:r>
            <w:r>
              <w:rPr>
                <w:rFonts w:ascii="Arial" w:cs="Arial" w:eastAsia="Arial" w:hAnsi="Arial"/>
                <w:sz w:val="13"/>
                <w:szCs w:val="13"/>
                <w:color w:val="050505"/>
              </w:rPr>
              <w:t xml:space="preserve"> phone systems</w:t>
            </w:r>
            <w:r>
              <w:rPr>
                <w:rFonts w:ascii="Arial" w:cs="Arial" w:eastAsia="Arial" w:hAnsi="Arial"/>
                <w:sz w:val="13"/>
                <w:szCs w:val="13"/>
                <w:color w:val="4B4B4B"/>
              </w:rPr>
              <w:t>,</w:t>
            </w:r>
            <w:r>
              <w:rPr>
                <w:rFonts w:ascii="Arial" w:cs="Arial" w:eastAsia="Arial" w:hAnsi="Arial"/>
                <w:sz w:val="13"/>
                <w:szCs w:val="13"/>
                <w:color w:val="050505"/>
              </w:rPr>
              <w:t xml:space="preserve"> switches</w:t>
            </w:r>
            <w:r>
              <w:rPr>
                <w:rFonts w:ascii="Arial" w:cs="Arial" w:eastAsia="Arial" w:hAnsi="Arial"/>
                <w:sz w:val="13"/>
                <w:szCs w:val="13"/>
                <w:color w:val="4B4B4B"/>
              </w:rPr>
              <w:t>,</w:t>
            </w:r>
          </w:p>
        </w:tc>
        <w:tc>
          <w:tcPr>
            <w:tcW w:w="9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50505"/>
              </w:rPr>
              <w:t>X</w:t>
            </w: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76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color w:val="050505"/>
              </w:rPr>
              <w:t>routers</w:t>
            </w:r>
            <w:r>
              <w:rPr>
                <w:rFonts w:ascii="Arial" w:cs="Arial" w:eastAsia="Arial" w:hAnsi="Arial"/>
                <w:sz w:val="13"/>
                <w:szCs w:val="13"/>
                <w:color w:val="4B4B4B"/>
              </w:rPr>
              <w:t>,</w:t>
            </w:r>
            <w:r>
              <w:rPr>
                <w:rFonts w:ascii="Arial" w:cs="Arial" w:eastAsia="Arial" w:hAnsi="Arial"/>
                <w:sz w:val="13"/>
                <w:szCs w:val="13"/>
                <w:color w:val="050505"/>
              </w:rPr>
              <w:t xml:space="preserve"> MUX panels</w:t>
            </w:r>
            <w:r>
              <w:rPr>
                <w:rFonts w:ascii="Arial" w:cs="Arial" w:eastAsia="Arial" w:hAnsi="Arial"/>
                <w:sz w:val="13"/>
                <w:szCs w:val="13"/>
                <w:color w:val="4B4B4B"/>
              </w:rPr>
              <w:t>,</w:t>
            </w:r>
            <w:r>
              <w:rPr>
                <w:rFonts w:ascii="Arial" w:cs="Arial" w:eastAsia="Arial" w:hAnsi="Arial"/>
                <w:sz w:val="13"/>
                <w:szCs w:val="13"/>
                <w:color w:val="050505"/>
              </w:rPr>
              <w:t xml:space="preserve"> equipment racks</w:t>
            </w:r>
            <w:r>
              <w:rPr>
                <w:rFonts w:ascii="Arial" w:cs="Arial" w:eastAsia="Arial" w:hAnsi="Arial"/>
                <w:sz w:val="13"/>
                <w:szCs w:val="13"/>
                <w:color w:val="4B4B4B"/>
              </w:rPr>
              <w:t>,</w:t>
            </w:r>
            <w:r>
              <w:rPr>
                <w:rFonts w:ascii="Arial" w:cs="Arial" w:eastAsia="Arial" w:hAnsi="Arial"/>
                <w:sz w:val="13"/>
                <w:szCs w:val="13"/>
                <w:color w:val="050505"/>
              </w:rPr>
              <w:t xml:space="preserve"> ladder racks</w:t>
            </w:r>
            <w:r>
              <w:rPr>
                <w:rFonts w:ascii="Arial" w:cs="Arial" w:eastAsia="Arial" w:hAnsi="Arial"/>
                <w:sz w:val="13"/>
                <w:szCs w:val="13"/>
                <w:color w:val="4B4B4B"/>
              </w:rPr>
              <w:t>,</w:t>
            </w:r>
            <w:r>
              <w:rPr>
                <w:rFonts w:ascii="Arial" w:cs="Arial" w:eastAsia="Arial" w:hAnsi="Arial"/>
                <w:sz w:val="13"/>
                <w:szCs w:val="13"/>
                <w:color w:val="050505"/>
              </w:rPr>
              <w:t xml:space="preserve"> etc</w:t>
            </w:r>
            <w:r>
              <w:rPr>
                <w:rFonts w:ascii="Arial" w:cs="Arial" w:eastAsia="Arial" w:hAnsi="Arial"/>
                <w:sz w:val="13"/>
                <w:szCs w:val="13"/>
                <w:color w:val="4B4B4B"/>
              </w:rPr>
              <w:t>.</w:t>
            </w:r>
          </w:p>
        </w:tc>
        <w:tc>
          <w:tcPr>
            <w:tcW w:w="9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6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50505"/>
              </w:rPr>
              <w:t>Provisioning of circuits and service from service providers</w:t>
            </w:r>
          </w:p>
        </w:tc>
        <w:tc>
          <w:tcPr>
            <w:tcW w:w="9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50505"/>
              </w:rPr>
              <w:t>X</w:t>
            </w:r>
          </w:p>
        </w:tc>
        <w:tc>
          <w:tcPr>
            <w:tcW w:w="1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050505"/>
              </w:rPr>
              <w:t>Audio visual systems and support</w:t>
            </w:r>
          </w:p>
        </w:tc>
        <w:tc>
          <w:tcPr>
            <w:tcW w:w="9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50505"/>
              </w:rPr>
              <w:t>X</w:t>
            </w:r>
          </w:p>
        </w:tc>
        <w:tc>
          <w:tcPr>
            <w:tcW w:w="1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50505"/>
              </w:rPr>
              <w:t>Cabling from Tenant tel/data room to all Tenant Premises</w:t>
            </w:r>
          </w:p>
        </w:tc>
        <w:tc>
          <w:tcPr>
            <w:tcW w:w="9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050505"/>
              </w:rPr>
              <w:t>X</w:t>
            </w:r>
          </w:p>
        </w:tc>
        <w:tc>
          <w:tcPr>
            <w:tcW w:w="1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050505"/>
              </w:rPr>
              <w:t>Distributed Antenna System (DAS) for enhanced cellular coverage in Tenant Premises (Tenant DAS</w:t>
            </w:r>
          </w:p>
        </w:tc>
        <w:tc>
          <w:tcPr>
            <w:tcW w:w="9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50505"/>
              </w:rPr>
              <w:t>X</w:t>
            </w: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76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color w:val="050505"/>
              </w:rPr>
              <w:t>prescribed by Landlord)</w:t>
            </w:r>
          </w:p>
        </w:tc>
        <w:tc>
          <w:tcPr>
            <w:tcW w:w="9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6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7680" w:type="dxa"/>
            <w:vAlign w:val="bottom"/>
            <w:tcBorders>
              <w:left w:val="single" w:sz="8" w:color="auto"/>
              <w:bottom w:val="single" w:sz="8" w:color="auto"/>
              <w:right w:val="single" w:sz="8" w:color="DFDFDF"/>
            </w:tcBorders>
            <w:shd w:val="clear" w:color="auto" w:fill="DFDFDF"/>
          </w:tcPr>
          <w:p>
            <w:pPr>
              <w:ind w:left="80"/>
              <w:spacing w:after="0"/>
              <w:rPr>
                <w:sz w:val="20"/>
                <w:szCs w:val="20"/>
                <w:color w:val="auto"/>
              </w:rPr>
            </w:pPr>
            <w:r>
              <w:rPr>
                <w:rFonts w:ascii="Arial" w:cs="Arial" w:eastAsia="Arial" w:hAnsi="Arial"/>
                <w:sz w:val="14"/>
                <w:szCs w:val="14"/>
                <w:b w:val="1"/>
                <w:bCs w:val="1"/>
                <w:color w:val="050505"/>
              </w:rPr>
              <w:t>SECURITY</w:t>
            </w:r>
          </w:p>
        </w:tc>
        <w:tc>
          <w:tcPr>
            <w:tcW w:w="980" w:type="dxa"/>
            <w:vAlign w:val="bottom"/>
            <w:tcBorders>
              <w:bottom w:val="single" w:sz="8" w:color="auto"/>
              <w:right w:val="single" w:sz="8" w:color="DFDFDF"/>
            </w:tcBorders>
            <w:shd w:val="clear" w:color="auto" w:fill="DFDFDF"/>
          </w:tcPr>
          <w:p>
            <w:pPr>
              <w:spacing w:after="0"/>
              <w:rPr>
                <w:sz w:val="15"/>
                <w:szCs w:val="15"/>
                <w:color w:val="auto"/>
              </w:rPr>
            </w:pPr>
          </w:p>
        </w:tc>
        <w:tc>
          <w:tcPr>
            <w:tcW w:w="740" w:type="dxa"/>
            <w:vAlign w:val="bottom"/>
            <w:tcBorders>
              <w:bottom w:val="single" w:sz="8" w:color="auto"/>
              <w:right w:val="single" w:sz="8" w:color="DFDFDF"/>
            </w:tcBorders>
            <w:shd w:val="clear" w:color="auto" w:fill="DFDFDF"/>
          </w:tcPr>
          <w:p>
            <w:pPr>
              <w:spacing w:after="0"/>
              <w:rPr>
                <w:sz w:val="15"/>
                <w:szCs w:val="15"/>
                <w:color w:val="auto"/>
              </w:rPr>
            </w:pPr>
          </w:p>
        </w:tc>
        <w:tc>
          <w:tcPr>
            <w:tcW w:w="1840" w:type="dxa"/>
            <w:vAlign w:val="bottom"/>
            <w:tcBorders>
              <w:bottom w:val="single" w:sz="8" w:color="auto"/>
              <w:right w:val="single" w:sz="8" w:color="auto"/>
            </w:tcBorders>
            <w:shd w:val="clear" w:color="auto" w:fill="DFDFD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050505"/>
              </w:rPr>
              <w:t>Card access at the Core &amp; Shell entries</w:t>
            </w:r>
          </w:p>
        </w:tc>
        <w:tc>
          <w:tcPr>
            <w:tcW w:w="98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3"/>
                <w:szCs w:val="13"/>
                <w:color w:val="050505"/>
              </w:rPr>
              <w:t>X</w:t>
            </w:r>
          </w:p>
        </w:tc>
        <w:tc>
          <w:tcPr>
            <w:tcW w:w="74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050505"/>
              </w:rPr>
              <w:t>Card access into or within Tenant Premises on separate Tenant installed and managed system</w:t>
            </w:r>
          </w:p>
        </w:tc>
        <w:tc>
          <w:tcPr>
            <w:tcW w:w="9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50505"/>
              </w:rPr>
              <w:t>X</w:t>
            </w: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7680" w:type="dxa"/>
            <w:vAlign w:val="bottom"/>
            <w:tcBorders>
              <w:left w:val="single" w:sz="8" w:color="auto"/>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7680" w:type="dxa"/>
            <w:vAlign w:val="bottom"/>
            <w:tcBorders>
              <w:left w:val="single" w:sz="8" w:color="auto"/>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7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050505"/>
              </w:rPr>
              <w:t>Video camera coverage of Tenant Premises on separate Tenant installed and managed system</w:t>
            </w:r>
          </w:p>
        </w:tc>
        <w:tc>
          <w:tcPr>
            <w:tcW w:w="9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color w:val="050505"/>
              </w:rPr>
              <w:t>X</w:t>
            </w: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7680" w:type="dxa"/>
            <w:vAlign w:val="bottom"/>
            <w:tcBorders>
              <w:left w:val="single" w:sz="8" w:color="auto"/>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7680" w:type="dxa"/>
            <w:vAlign w:val="bottom"/>
            <w:tcBorders>
              <w:left w:val="single" w:sz="8" w:color="auto"/>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-2369185</wp:posOffset>
            </wp:positionV>
            <wp:extent cx="4894580" cy="15367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2">
                      <a:extLst>
                        <a:ext uri="{28A0092B-C50C-407E-A947-70E740481C1C}"/>
                      </a:extLst>
                    </a:blip>
                    <a:srcRect/>
                    <a:stretch>
                      <a:fillRect/>
                    </a:stretch>
                  </pic:blipFill>
                  <pic:spPr bwMode="auto">
                    <a:xfrm>
                      <a:off x="0" y="0"/>
                      <a:ext cx="4894580" cy="153670"/>
                    </a:xfrm>
                    <a:prstGeom prst="rect">
                      <a:avLst/>
                    </a:prstGeom>
                    <a:noFill/>
                  </pic:spPr>
                </pic:pic>
              </a:graphicData>
            </a:graphic>
          </wp:anchor>
        </w:drawing>
      </w:r>
    </w:p>
    <w:p>
      <w:pPr>
        <w:spacing w:after="0" w:line="354" w:lineRule="exact"/>
        <w:rPr>
          <w:sz w:val="20"/>
          <w:szCs w:val="20"/>
          <w:color w:val="auto"/>
        </w:rPr>
      </w:pPr>
    </w:p>
    <w:p>
      <w:pPr>
        <w:ind w:right="200"/>
        <w:spacing w:after="0" w:line="252" w:lineRule="auto"/>
        <w:rPr>
          <w:sz w:val="20"/>
          <w:szCs w:val="20"/>
          <w:color w:val="auto"/>
        </w:rPr>
      </w:pPr>
      <w:r>
        <w:rPr>
          <w:rFonts w:ascii="Arial" w:cs="Arial" w:eastAsia="Arial" w:hAnsi="Arial"/>
          <w:sz w:val="13"/>
          <w:szCs w:val="13"/>
          <w:b w:val="1"/>
          <w:bCs w:val="1"/>
          <w:i w:val="1"/>
          <w:iCs w:val="1"/>
          <w:color w:val="050505"/>
        </w:rPr>
        <w:t xml:space="preserve">Disclaimer: For the avoidance of doubt, it is understood that all wattages, pressures, volumes and other capacities referenced or specified </w:t>
      </w:r>
      <w:r>
        <w:rPr>
          <w:rFonts w:ascii="Arial" w:cs="Arial" w:eastAsia="Arial" w:hAnsi="Arial"/>
          <w:sz w:val="13"/>
          <w:szCs w:val="13"/>
          <w:b w:val="1"/>
          <w:bCs w:val="1"/>
          <w:color w:val="050505"/>
        </w:rPr>
        <w:t>in this Landlord/Tenant Matrix are included</w:t>
      </w:r>
      <w:r>
        <w:rPr>
          <w:rFonts w:ascii="Arial" w:cs="Arial" w:eastAsia="Arial" w:hAnsi="Arial"/>
          <w:sz w:val="13"/>
          <w:szCs w:val="13"/>
          <w:b w:val="1"/>
          <w:bCs w:val="1"/>
          <w:i w:val="1"/>
          <w:iCs w:val="1"/>
          <w:color w:val="050505"/>
        </w:rPr>
        <w:t xml:space="preserve"> </w:t>
      </w:r>
      <w:r>
        <w:rPr>
          <w:rFonts w:ascii="Arial" w:cs="Arial" w:eastAsia="Arial" w:hAnsi="Arial"/>
          <w:sz w:val="13"/>
          <w:szCs w:val="13"/>
          <w:b w:val="1"/>
          <w:bCs w:val="1"/>
          <w:color w:val="050505"/>
        </w:rPr>
        <w:t>only to specify the capacities for which the applicable systems are designed.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1342390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189230</wp:posOffset>
            </wp:positionV>
            <wp:extent cx="2425700" cy="41148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1" w:name="page402"/>
    <w:bookmarkEnd w:id="401"/>
    <w:p>
      <w:pPr>
        <w:ind w:left="400"/>
        <w:spacing w:after="0"/>
        <w:rPr>
          <w:sz w:val="20"/>
          <w:szCs w:val="20"/>
          <w:color w:val="auto"/>
        </w:rPr>
      </w:pPr>
      <w:r>
        <w:rPr>
          <w:rFonts w:ascii="Arial" w:cs="Arial" w:eastAsia="Arial" w:hAnsi="Arial"/>
          <w:sz w:val="18"/>
          <w:szCs w:val="18"/>
          <w:b w:val="1"/>
          <w:bCs w:val="1"/>
          <w:color w:val="auto"/>
        </w:rPr>
        <w:t>Building 1 (AOTC) / Kymera Therapeutics, Inc. – Ex. 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ACKNOWLEDGEMENT OF COMMENCEMENT DATE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ACKNOWLEDGMENT OF COMMENCEMENT DATE is made as of this _____ day of ______________, 202_, between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 REGION NO. 75, LLC,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______________________, a _______________</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 and is attached to and made a part of that certain Lease Agreement dated as of ______________, 202_ (the “</w:t>
      </w:r>
      <w:r>
        <w:rPr>
          <w:rFonts w:ascii="Arial" w:cs="Arial" w:eastAsia="Arial" w:hAnsi="Arial"/>
          <w:sz w:val="18"/>
          <w:szCs w:val="18"/>
          <w:b w:val="1"/>
          <w:bCs w:val="1"/>
          <w:color w:val="auto"/>
        </w:rPr>
        <w:t>Lease</w:t>
      </w:r>
      <w:r>
        <w:rPr>
          <w:rFonts w:ascii="Arial" w:cs="Arial" w:eastAsia="Arial" w:hAnsi="Arial"/>
          <w:sz w:val="18"/>
          <w:szCs w:val="18"/>
          <w:color w:val="auto"/>
        </w:rPr>
        <w:t>”), by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between Landlord and Tenant. Any initially capitalized terms used but not defined herein shall have the meanings given them in the Lease.</w:t>
      </w:r>
    </w:p>
    <w:p>
      <w:pPr>
        <w:spacing w:after="0" w:line="19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7"/>
          <w:szCs w:val="17"/>
          <w:color w:val="auto"/>
        </w:rPr>
        <w:t>Landlord and Tenant hereby acknowledge and agree, for all purposes of the Lease, that the Commencement Date of the Base Term of the Lease is ______________, 20__, the expiration date of the Base Term of the Lease shall be at 11:59 p.m. on ______________, 20__,</w:t>
      </w:r>
    </w:p>
    <w:p>
      <w:pPr>
        <w:spacing w:after="0" w:line="236" w:lineRule="auto"/>
        <w:rPr>
          <w:sz w:val="20"/>
          <w:szCs w:val="20"/>
          <w:color w:val="auto"/>
        </w:rPr>
      </w:pPr>
      <w:r>
        <w:rPr>
          <w:rFonts w:ascii="Arial" w:cs="Arial" w:eastAsia="Arial" w:hAnsi="Arial"/>
          <w:sz w:val="18"/>
          <w:szCs w:val="18"/>
          <w:color w:val="auto"/>
        </w:rPr>
        <w:t>and the Base Rent Commencement Date is _______________, 20__. In case of a conflict between the terms of the Lease and the terms of</w:t>
      </w:r>
    </w:p>
    <w:p>
      <w:pPr>
        <w:spacing w:after="0"/>
        <w:rPr>
          <w:sz w:val="20"/>
          <w:szCs w:val="20"/>
          <w:color w:val="auto"/>
        </w:rPr>
      </w:pPr>
      <w:r>
        <w:rPr>
          <w:rFonts w:ascii="Arial" w:cs="Arial" w:eastAsia="Arial" w:hAnsi="Arial"/>
          <w:sz w:val="18"/>
          <w:szCs w:val="18"/>
          <w:color w:val="auto"/>
        </w:rPr>
        <w:t>this Acknowledgment of Commencement Date, this Acknowledgment of Commencement Date shall control for all purposes.</w:t>
      </w:r>
    </w:p>
    <w:p>
      <w:pPr>
        <w:spacing w:after="0" w:line="194"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IN WITNESS WHEREOF, Landlord and Tenant have executed this ACKNOWLEDGMENT OF COMMENCEMENT DATE to be effective on the date first above written.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400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5">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-19050</wp:posOffset>
            </wp:positionV>
            <wp:extent cx="15875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6">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-15875</wp:posOffset>
            </wp:positionV>
            <wp:extent cx="13970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7">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wp:posOffset>
            </wp:positionV>
            <wp:extent cx="23241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8">
                      <a:extLst>
                        <a:ext uri="{28A0092B-C50C-407E-A947-70E740481C1C}"/>
                      </a:extLst>
                    </a:blip>
                    <a:srcRect/>
                    <a:stretch>
                      <a:fillRect/>
                    </a:stretch>
                  </pic:blipFill>
                  <pic:spPr bwMode="auto">
                    <a:xfrm>
                      <a:off x="0" y="0"/>
                      <a:ext cx="23241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ARE-MA REGION NO. 75, LLC,</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Alexandria Real Estate Equities, L.P.,</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Delaware limited partnership, managing member</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ARE-QRS Corp.,</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Maryland corporation, general partner</w:t>
      </w:r>
    </w:p>
    <w:p>
      <w:pPr>
        <w:spacing w:after="0" w:line="3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______________________________</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____________________________</w:t>
      </w:r>
    </w:p>
    <w:p>
      <w:pPr>
        <w:ind w:left="800"/>
        <w:spacing w:after="0"/>
        <w:rPr>
          <w:sz w:val="20"/>
          <w:szCs w:val="20"/>
          <w:color w:val="auto"/>
        </w:rPr>
      </w:pPr>
      <w:r>
        <w:rPr>
          <w:rFonts w:ascii="Arial" w:cs="Arial" w:eastAsia="Arial" w:hAnsi="Arial"/>
          <w:sz w:val="18"/>
          <w:szCs w:val="18"/>
          <w:color w:val="auto"/>
        </w:rPr>
        <w:t>Title: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1699260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546100</wp:posOffset>
            </wp:positionV>
            <wp:extent cx="2425700" cy="41148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Building 1 (AOTC) / Kymera Therapeutics, Inc. – Ex. E</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12" w:lineRule="exact"/>
        <w:rPr>
          <w:sz w:val="20"/>
          <w:szCs w:val="20"/>
          <w:color w:val="auto"/>
        </w:rPr>
      </w:pPr>
    </w:p>
    <w:p>
      <w:pPr>
        <w:ind w:firstLine="757"/>
        <w:spacing w:after="0" w:line="271" w:lineRule="auto"/>
        <w:tabs>
          <w:tab w:leader="none" w:pos="101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sidewalk, entries, and driveways of the Project shall not be obstructed by Tenant, or any Tenant Party, or used by them for any purpose other than ingress and egress to and from the Premises.</w:t>
      </w:r>
    </w:p>
    <w:p>
      <w:pPr>
        <w:spacing w:after="0" w:line="154" w:lineRule="exact"/>
        <w:rPr>
          <w:sz w:val="20"/>
          <w:szCs w:val="20"/>
          <w:color w:val="auto"/>
        </w:rPr>
      </w:pPr>
    </w:p>
    <w:p>
      <w:pPr>
        <w:ind w:firstLine="757"/>
        <w:spacing w:after="0" w:line="271" w:lineRule="auto"/>
        <w:tabs>
          <w:tab w:leader="none" w:pos="101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Tenant shall not place any objects, including antennas, outdoor furniture, etc., in the parking areas, landscaped areas or other areas outside of its Premises, or on the roof of the Project (except as permitted by the terms of this Lease).</w:t>
      </w:r>
    </w:p>
    <w:p>
      <w:pPr>
        <w:spacing w:after="0" w:line="153" w:lineRule="exact"/>
        <w:rPr>
          <w:rFonts w:ascii="Arial" w:cs="Arial" w:eastAsia="Arial" w:hAnsi="Arial"/>
          <w:sz w:val="18"/>
          <w:szCs w:val="18"/>
          <w:color w:val="auto"/>
        </w:rPr>
      </w:pPr>
    </w:p>
    <w:p>
      <w:pPr>
        <w:ind w:firstLine="757"/>
        <w:spacing w:after="0" w:line="271" w:lineRule="auto"/>
        <w:tabs>
          <w:tab w:leader="none" w:pos="101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Except for animals assisting the disabled, no animals shall be allowed in the offices, halls, or corridors in the Building without Landlord’s express written consent.</w:t>
      </w:r>
    </w:p>
    <w:p>
      <w:pPr>
        <w:spacing w:after="0" w:line="153" w:lineRule="exact"/>
        <w:rPr>
          <w:rFonts w:ascii="Arial" w:cs="Arial" w:eastAsia="Arial" w:hAnsi="Arial"/>
          <w:sz w:val="18"/>
          <w:szCs w:val="18"/>
          <w:color w:val="auto"/>
        </w:rPr>
      </w:pPr>
    </w:p>
    <w:p>
      <w:pPr>
        <w:ind w:firstLine="757"/>
        <w:spacing w:after="0" w:line="271" w:lineRule="auto"/>
        <w:tabs>
          <w:tab w:leader="none" w:pos="101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Tenant shall not disturb the occupants of the Project or adjoining buildings by the use of any radio or musical instrument or by the making of loud or improper noises.</w:t>
      </w:r>
    </w:p>
    <w:p>
      <w:pPr>
        <w:spacing w:after="0" w:line="153"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168"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168" w:lineRule="exact"/>
        <w:rPr>
          <w:rFonts w:ascii="Arial" w:cs="Arial" w:eastAsia="Arial" w:hAnsi="Arial"/>
          <w:sz w:val="18"/>
          <w:szCs w:val="18"/>
          <w:color w:val="auto"/>
        </w:rPr>
      </w:pPr>
    </w:p>
    <w:p>
      <w:pPr>
        <w:jc w:val="both"/>
        <w:ind w:firstLine="757"/>
        <w:spacing w:after="0" w:line="244" w:lineRule="auto"/>
        <w:tabs>
          <w:tab w:leader="none" w:pos="101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76" w:lineRule="exact"/>
        <w:rPr>
          <w:rFonts w:ascii="Arial" w:cs="Arial" w:eastAsia="Arial" w:hAnsi="Arial"/>
          <w:sz w:val="18"/>
          <w:szCs w:val="18"/>
          <w:color w:val="auto"/>
        </w:rPr>
      </w:pPr>
    </w:p>
    <w:p>
      <w:pPr>
        <w:ind w:left="1020" w:hanging="263"/>
        <w:spacing w:after="0"/>
        <w:tabs>
          <w:tab w:leader="none" w:pos="102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Tenant shall maintain the Premises free from rodents, insects and other pests.</w:t>
      </w:r>
    </w:p>
    <w:p>
      <w:pPr>
        <w:spacing w:after="0" w:line="211" w:lineRule="exact"/>
        <w:rPr>
          <w:rFonts w:ascii="Arial" w:cs="Arial" w:eastAsia="Arial" w:hAnsi="Arial"/>
          <w:sz w:val="18"/>
          <w:szCs w:val="18"/>
          <w:color w:val="auto"/>
        </w:rPr>
      </w:pPr>
    </w:p>
    <w:p>
      <w:pPr>
        <w:ind w:right="20" w:firstLine="757"/>
        <w:spacing w:after="0" w:line="271" w:lineRule="auto"/>
        <w:tabs>
          <w:tab w:leader="none" w:pos="101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153"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168" w:lineRule="exact"/>
        <w:rPr>
          <w:rFonts w:ascii="Arial" w:cs="Arial" w:eastAsia="Arial" w:hAnsi="Arial"/>
          <w:sz w:val="18"/>
          <w:szCs w:val="18"/>
          <w:color w:val="auto"/>
        </w:rPr>
      </w:pPr>
    </w:p>
    <w:p>
      <w:pPr>
        <w:ind w:firstLine="757"/>
        <w:spacing w:after="0" w:line="271" w:lineRule="auto"/>
        <w:tabs>
          <w:tab w:leader="none" w:pos="101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Tenant shall give Landlord prompt notice of any defects in the water, lawn sprinkler, sewage, gas pipes, electrical lights and fixtures, heating apparatus, or any other service equipment affecting the Premises.</w:t>
      </w:r>
    </w:p>
    <w:p>
      <w:pPr>
        <w:spacing w:after="0" w:line="153" w:lineRule="exact"/>
        <w:rPr>
          <w:rFonts w:ascii="Arial" w:cs="Arial" w:eastAsia="Arial" w:hAnsi="Arial"/>
          <w:sz w:val="18"/>
          <w:szCs w:val="18"/>
          <w:color w:val="auto"/>
        </w:rPr>
      </w:pPr>
    </w:p>
    <w:p>
      <w:pPr>
        <w:jc w:val="both"/>
        <w:ind w:firstLine="757"/>
        <w:spacing w:after="0" w:line="301" w:lineRule="auto"/>
        <w:tabs>
          <w:tab w:leader="none" w:pos="1018"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1248410</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95250</wp:posOffset>
            </wp:positionV>
            <wp:extent cx="2425700" cy="41148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2">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Building 1 (AOTC) / Kymera Therapeutics, Inc. – Ex. E</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ind w:firstLine="757"/>
        <w:spacing w:after="0" w:line="271" w:lineRule="auto"/>
        <w:tabs>
          <w:tab w:leader="none" w:pos="10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moveable trash receptacles provided by the trash disposal firm for the Premises must be kept in the trash enclosure areas, if any, provided for that purpose.</w:t>
      </w:r>
    </w:p>
    <w:p>
      <w:pPr>
        <w:spacing w:after="0" w:line="153" w:lineRule="exact"/>
        <w:rPr>
          <w:rFonts w:ascii="Arial" w:cs="Arial" w:eastAsia="Arial" w:hAnsi="Arial"/>
          <w:sz w:val="18"/>
          <w:szCs w:val="18"/>
          <w:color w:val="auto"/>
        </w:rPr>
      </w:pPr>
    </w:p>
    <w:p>
      <w:pPr>
        <w:ind w:left="1020" w:hanging="263"/>
        <w:spacing w:after="0"/>
        <w:tabs>
          <w:tab w:leader="none" w:pos="10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 auction, public or private, will be permitted on the Premises or the Project.</w:t>
      </w:r>
    </w:p>
    <w:p>
      <w:pPr>
        <w:spacing w:after="0" w:line="211" w:lineRule="exact"/>
        <w:rPr>
          <w:rFonts w:ascii="Arial" w:cs="Arial" w:eastAsia="Arial" w:hAnsi="Arial"/>
          <w:sz w:val="18"/>
          <w:szCs w:val="18"/>
          <w:color w:val="auto"/>
        </w:rPr>
      </w:pPr>
    </w:p>
    <w:p>
      <w:pPr>
        <w:ind w:left="1020" w:hanging="263"/>
        <w:spacing w:after="0"/>
        <w:tabs>
          <w:tab w:leader="none" w:pos="10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 awnings shall be placed over the windows in the Premises except with the prior written consent of Landlord.</w:t>
      </w:r>
    </w:p>
    <w:p>
      <w:pPr>
        <w:spacing w:after="0" w:line="211" w:lineRule="exact"/>
        <w:rPr>
          <w:rFonts w:ascii="Arial" w:cs="Arial" w:eastAsia="Arial" w:hAnsi="Arial"/>
          <w:sz w:val="18"/>
          <w:szCs w:val="18"/>
          <w:color w:val="auto"/>
        </w:rPr>
      </w:pPr>
    </w:p>
    <w:p>
      <w:pPr>
        <w:ind w:right="20" w:firstLine="757"/>
        <w:spacing w:after="0" w:line="271" w:lineRule="auto"/>
        <w:tabs>
          <w:tab w:leader="none" w:pos="10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Premises shall not be used for lodging, sleeping or cooking or for any immoral or illegal purposes or for any purpose other than that specified in the Lease. No gaming devices shall be operated in the Premises.</w:t>
      </w:r>
    </w:p>
    <w:p>
      <w:pPr>
        <w:spacing w:after="0" w:line="153" w:lineRule="exact"/>
        <w:rPr>
          <w:rFonts w:ascii="Arial" w:cs="Arial" w:eastAsia="Arial" w:hAnsi="Arial"/>
          <w:sz w:val="18"/>
          <w:szCs w:val="18"/>
          <w:color w:val="auto"/>
        </w:rPr>
      </w:pPr>
    </w:p>
    <w:p>
      <w:pPr>
        <w:jc w:val="both"/>
        <w:ind w:firstLine="757"/>
        <w:spacing w:after="0" w:line="247" w:lineRule="auto"/>
        <w:tabs>
          <w:tab w:leader="none" w:pos="10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173" w:lineRule="exact"/>
        <w:rPr>
          <w:rFonts w:ascii="Arial" w:cs="Arial" w:eastAsia="Arial" w:hAnsi="Arial"/>
          <w:sz w:val="18"/>
          <w:szCs w:val="18"/>
          <w:color w:val="auto"/>
        </w:rPr>
      </w:pPr>
    </w:p>
    <w:p>
      <w:pPr>
        <w:ind w:left="1020" w:hanging="263"/>
        <w:spacing w:after="0"/>
        <w:tabs>
          <w:tab w:leader="none" w:pos="10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Tenant assumes full responsibility for protecting the Premises from theft, robbery and pilferage.</w:t>
      </w:r>
    </w:p>
    <w:p>
      <w:pPr>
        <w:spacing w:after="0" w:line="211"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168" w:lineRule="exact"/>
        <w:rPr>
          <w:rFonts w:ascii="Arial" w:cs="Arial" w:eastAsia="Arial" w:hAnsi="Arial"/>
          <w:sz w:val="18"/>
          <w:szCs w:val="18"/>
          <w:color w:val="auto"/>
        </w:rPr>
      </w:pPr>
    </w:p>
    <w:p>
      <w:pPr>
        <w:jc w:val="both"/>
        <w:ind w:firstLine="757"/>
        <w:spacing w:after="0" w:line="242" w:lineRule="auto"/>
        <w:tabs>
          <w:tab w:leader="none" w:pos="10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Tenant shall cause any vendors and other service providers hired by Tenant to perform services at the Premises or the Project to maintain in effect workers’ compensation insurance as required by Legal Requirements and commercial general liability insurance with coverage amounts reasonably acceptable to Landlord. Tenant shall cause such vendors and service providers to name Landlord and Alexandria Real Estate Equities, Inc. as additional insureds under such policies and shall provide Landlord with certificates of insurance evidencing the required coverages (and showing Landlord and Alexandria Real Estate Equities, Inc. as additional insureds under such policies) prior to the applicable vendor or service provider providing any services to Tenant at the Project.</w:t>
      </w:r>
    </w:p>
    <w:p>
      <w:pPr>
        <w:spacing w:after="0" w:line="178" w:lineRule="exact"/>
        <w:rPr>
          <w:rFonts w:ascii="Arial" w:cs="Arial" w:eastAsia="Arial" w:hAnsi="Arial"/>
          <w:sz w:val="18"/>
          <w:szCs w:val="18"/>
          <w:color w:val="auto"/>
        </w:rPr>
      </w:pPr>
    </w:p>
    <w:p>
      <w:pPr>
        <w:jc w:val="both"/>
        <w:ind w:firstLine="757"/>
        <w:spacing w:after="0"/>
        <w:tabs>
          <w:tab w:leader="none" w:pos="10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Neither Tenant nor any of the Tenant Parties shall have the right to photograph, videotape, film, digitally record or by any other means record, transmit and/or distribute any images, pictures or videos of all or any portion of the Premises or the Project, except to the extent such images, pictures or videos satisfy all of the following: (a) they are taken wholly within the Premises, (b) they do not show any identifiable buildings or signs located in the Project, (c) they do not show people other than Tenant’s employees or others who have consented thereto, and (d) if such images, pictures or videos will be used for advertising and/or marketing purposes, then, prior to such use, they will be delivered to Landlord, and, at Landlord’s request, will include a recognition or attribution to Landlord or a Landlord affiliate designed by Landlord (e.g., a statement on the image reading “Courtesy of Alexandria Real Estate Equities, Inc.”). Such recognition or attribution will be subject to Landlord’s reasonable approval.</w:t>
      </w:r>
    </w:p>
    <w:p>
      <w:pPr>
        <w:spacing w:after="0" w:line="180"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Tenant shall regularly review the guidelines published by the Centers for Disease Control (CDC) and any federal, state and/or local governmental agencies, and will implement the practices and procedures suggested thereby, as well as industry standard best practices, to limit or prevent the spread or transmission of Infectious Conditions.</w:t>
      </w:r>
    </w:p>
    <w:p>
      <w:pPr>
        <w:spacing w:after="0" w:line="168" w:lineRule="exact"/>
        <w:rPr>
          <w:rFonts w:ascii="Arial" w:cs="Arial" w:eastAsia="Arial" w:hAnsi="Arial"/>
          <w:sz w:val="18"/>
          <w:szCs w:val="18"/>
          <w:color w:val="auto"/>
        </w:rPr>
      </w:pPr>
    </w:p>
    <w:p>
      <w:pPr>
        <w:jc w:val="both"/>
        <w:ind w:firstLine="757"/>
        <w:spacing w:after="0" w:line="253" w:lineRule="auto"/>
        <w:tabs>
          <w:tab w:leader="none" w:pos="10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Without limiting Landlord’s general right to amend, update, and implement new rules and regulations, Tenant acknowledges that Landlord has the right, but has no obligation, to implement additional rules and regulations relating to access to the Premises, the Building and/or the Project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1272540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119380</wp:posOffset>
            </wp:positionV>
            <wp:extent cx="2425700" cy="41148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4">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Building 1 (AOTC) / Kymera Therapeutics, Inc. – Ex. E</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limitation, the Amenities) that are intended to promote and protect health and physical well-being and/or prevent or limit the spread or transmission of Infectious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1399540</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246380</wp:posOffset>
            </wp:positionV>
            <wp:extent cx="2425700" cy="41148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6">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b w:val="1"/>
          <w:bCs w:val="1"/>
          <w:color w:val="auto"/>
        </w:rPr>
        <w:t>Building 1 (AOTC) / Kymera Therapeutics, Inc. – Ex. F</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EXHIBIT F</w:t>
      </w:r>
    </w:p>
    <w:p>
      <w:pPr>
        <w:spacing w:after="0" w:line="212"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u w:val="single" w:color="auto"/>
          <w:color w:val="auto"/>
        </w:rPr>
        <w:t>TENANT’S PERSONAL PROPERTY</w:t>
      </w:r>
    </w:p>
    <w:p>
      <w:pPr>
        <w:spacing w:after="0" w:line="2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1436370</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283845</wp:posOffset>
            </wp:positionV>
            <wp:extent cx="2425700" cy="41148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8">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b w:val="1"/>
          <w:bCs w:val="1"/>
          <w:color w:val="auto"/>
        </w:rPr>
        <w:t>Building 1 (AOTC) / Kymera Therapeutics, Inc. – Ex. G</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EXHIBIT G</w:t>
      </w:r>
    </w:p>
    <w:p>
      <w:pPr>
        <w:spacing w:after="0" w:line="212"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u w:val="single" w:color="auto"/>
          <w:color w:val="auto"/>
        </w:rPr>
        <w:t>CONTROL AREAS</w:t>
      </w:r>
    </w:p>
    <w:p>
      <w:pPr>
        <w:spacing w:after="0" w:line="200" w:lineRule="exact"/>
        <w:rPr>
          <w:sz w:val="20"/>
          <w:szCs w:val="20"/>
          <w:color w:val="auto"/>
        </w:rPr>
      </w:pPr>
    </w:p>
    <w:p>
      <w:pPr>
        <w:spacing w:after="0" w:line="22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1436370</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283845</wp:posOffset>
            </wp:positionV>
            <wp:extent cx="2425700" cy="41148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0">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b w:val="1"/>
          <w:bCs w:val="1"/>
          <w:color w:val="auto"/>
        </w:rPr>
        <w:t>Building 1 (AOTC) / Kymera Therapeutics, Inc. – Ex. G</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4871085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151765</wp:posOffset>
            </wp:positionV>
            <wp:extent cx="5854700" cy="39776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2">
                      <a:extLst>
                        <a:ext uri="{28A0092B-C50C-407E-A947-70E740481C1C}"/>
                      </a:extLst>
                    </a:blip>
                    <a:srcRect/>
                    <a:stretch>
                      <a:fillRect/>
                    </a:stretch>
                  </pic:blipFill>
                  <pic:spPr bwMode="auto">
                    <a:xfrm>
                      <a:off x="0" y="0"/>
                      <a:ext cx="5854700" cy="3977640"/>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sectPr>
      </w:pPr>
    </w:p>
    <w:bookmarkStart w:id="408" w:name="page409"/>
    <w:bookmarkEnd w:id="408"/>
    <w:p>
      <w:pPr>
        <w:ind w:left="400"/>
        <w:spacing w:after="0"/>
        <w:rPr>
          <w:sz w:val="20"/>
          <w:szCs w:val="20"/>
          <w:color w:val="auto"/>
        </w:rPr>
      </w:pPr>
      <w:r>
        <w:rPr>
          <w:rFonts w:ascii="Arial" w:cs="Arial" w:eastAsia="Arial" w:hAnsi="Arial"/>
          <w:sz w:val="18"/>
          <w:szCs w:val="18"/>
          <w:b w:val="1"/>
          <w:bCs w:val="1"/>
          <w:color w:val="auto"/>
        </w:rPr>
        <w:t>Building 1 (AOTC) / Kymera Therapeutics, Inc. – Ex. H</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DESIGNATED ROOFTOP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2082800" cy="65151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3">
                      <a:extLst>
                        <a:ext uri="{28A0092B-C50C-407E-A947-70E740481C1C}"/>
                      </a:extLst>
                    </a:blip>
                    <a:srcRect/>
                    <a:stretch>
                      <a:fillRect/>
                    </a:stretch>
                  </pic:blipFill>
                  <pic:spPr bwMode="auto">
                    <a:xfrm>
                      <a:off x="0" y="0"/>
                      <a:ext cx="20828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AOTC Building 1, Penthouse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5349240" cy="149161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4">
                      <a:extLst>
                        <a:ext uri="{28A0092B-C50C-407E-A947-70E740481C1C}"/>
                      </a:extLst>
                    </a:blip>
                    <a:srcRect/>
                    <a:stretch>
                      <a:fillRect/>
                    </a:stretch>
                  </pic:blipFill>
                  <pic:spPr bwMode="auto">
                    <a:xfrm>
                      <a:off x="0" y="0"/>
                      <a:ext cx="534924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AOTC Building 1, High Roof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3288030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5349240" cy="15430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6">
                      <a:extLst>
                        <a:ext uri="{28A0092B-C50C-407E-A947-70E740481C1C}"/>
                      </a:extLst>
                    </a:blip>
                    <a:srcRect/>
                    <a:stretch>
                      <a:fillRect/>
                    </a:stretch>
                  </pic:blipFill>
                  <pic:spPr bwMode="auto">
                    <a:xfrm>
                      <a:off x="0" y="0"/>
                      <a:ext cx="5349240" cy="154305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2134870</wp:posOffset>
            </wp:positionV>
            <wp:extent cx="2425700" cy="41148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7">
                      <a:extLst>
                        <a:ext uri="{28A0092B-C50C-407E-A947-70E740481C1C}"/>
                      </a:extLst>
                    </a:blip>
                    <a:srcRect/>
                    <a:stretch>
                      <a:fillRect/>
                    </a:stretch>
                  </pic:blipFill>
                  <pic:spPr bwMode="auto">
                    <a:xfrm>
                      <a:off x="0" y="0"/>
                      <a:ext cx="2425700" cy="41148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9" w:name="page410"/>
    <w:bookmarkEnd w:id="409"/>
    <w:p>
      <w:pPr>
        <w:ind w:left="10220"/>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16" w:lineRule="exact"/>
        <w:rPr>
          <w:sz w:val="20"/>
          <w:szCs w:val="20"/>
          <w:color w:val="auto"/>
        </w:rPr>
      </w:pPr>
    </w:p>
    <w:p>
      <w:pPr>
        <w:ind w:left="260"/>
        <w:spacing w:after="0"/>
        <w:rPr>
          <w:sz w:val="20"/>
          <w:szCs w:val="20"/>
          <w:color w:val="auto"/>
        </w:rPr>
      </w:pPr>
      <w:r>
        <w:rPr>
          <w:rFonts w:ascii="Calibri" w:cs="Calibri" w:eastAsia="Calibri" w:hAnsi="Calibri"/>
          <w:sz w:val="18"/>
          <w:szCs w:val="18"/>
          <w:color w:val="auto"/>
        </w:rPr>
        <w:t>Certain identfed informaton has been excluded from this exhibit because it is both not material and is the type that the registrant treats as private or</w:t>
      </w:r>
    </w:p>
    <w:p>
      <w:pPr>
        <w:ind w:left="1140"/>
        <w:spacing w:after="0" w:line="235" w:lineRule="auto"/>
        <w:rPr>
          <w:sz w:val="20"/>
          <w:szCs w:val="20"/>
          <w:color w:val="auto"/>
        </w:rPr>
      </w:pPr>
      <w:r>
        <w:rPr>
          <w:rFonts w:ascii="Calibri" w:cs="Calibri" w:eastAsia="Calibri" w:hAnsi="Calibri"/>
          <w:sz w:val="18"/>
          <w:szCs w:val="18"/>
          <w:color w:val="auto"/>
        </w:rPr>
        <w:t>confdental. Informaton that was omited has been noted in this document with a placeholder identfed by the mark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Kymera Therapeutics,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 Arsenal Yards Blvd., Suite 230</w:t>
      </w:r>
    </w:p>
    <w:p>
      <w:pPr>
        <w:spacing w:after="0"/>
        <w:rPr>
          <w:sz w:val="20"/>
          <w:szCs w:val="20"/>
          <w:color w:val="auto"/>
        </w:rPr>
      </w:pPr>
      <w:r>
        <w:rPr>
          <w:rFonts w:ascii="Times New Roman" w:cs="Times New Roman" w:eastAsia="Times New Roman" w:hAnsi="Times New Roman"/>
          <w:sz w:val="20"/>
          <w:szCs w:val="20"/>
          <w:color w:val="auto"/>
        </w:rPr>
        <w:t>Watertown, MA 02472</w:t>
      </w:r>
    </w:p>
    <w:p>
      <w:pPr>
        <w:spacing w:after="0"/>
        <w:rPr>
          <w:sz w:val="20"/>
          <w:szCs w:val="20"/>
          <w:color w:val="auto"/>
        </w:rPr>
      </w:pPr>
      <w:r>
        <w:rPr>
          <w:rFonts w:ascii="Times New Roman" w:cs="Times New Roman" w:eastAsia="Times New Roman" w:hAnsi="Times New Roman"/>
          <w:sz w:val="20"/>
          <w:szCs w:val="20"/>
          <w:color w:val="auto"/>
        </w:rPr>
        <w:t>Attn: Chief Executive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will not constitute notice)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Goodwin Procter LLP</w:t>
      </w:r>
    </w:p>
    <w:p>
      <w:pPr>
        <w:spacing w:after="0"/>
        <w:rPr>
          <w:sz w:val="20"/>
          <w:szCs w:val="20"/>
          <w:color w:val="auto"/>
        </w:rPr>
      </w:pPr>
      <w:r>
        <w:rPr>
          <w:rFonts w:ascii="Times New Roman" w:cs="Times New Roman" w:eastAsia="Times New Roman" w:hAnsi="Times New Roman"/>
          <w:sz w:val="20"/>
          <w:szCs w:val="20"/>
          <w:color w:val="auto"/>
        </w:rPr>
        <w:t>Attn: Sarah Solomon 100 Northern Avenue</w:t>
      </w:r>
    </w:p>
    <w:p>
      <w:pPr>
        <w:spacing w:after="0"/>
        <w:rPr>
          <w:sz w:val="20"/>
          <w:szCs w:val="20"/>
          <w:color w:val="auto"/>
        </w:rPr>
      </w:pPr>
      <w:r>
        <w:rPr>
          <w:rFonts w:ascii="Times New Roman" w:cs="Times New Roman" w:eastAsia="Times New Roman" w:hAnsi="Times New Roman"/>
          <w:sz w:val="20"/>
          <w:szCs w:val="20"/>
          <w:color w:val="auto"/>
        </w:rPr>
        <w:t>Boston, MA 02210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Email and FedEx</w:t>
      </w:r>
    </w:p>
    <w:p>
      <w:pPr>
        <w:spacing w:after="0" w:line="216"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9"/>
          <w:szCs w:val="19"/>
          <w:color w:val="auto"/>
        </w:rPr>
        <w:t>November 14,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Amended and Restated Collaboration and License Agreement, dated November 15, 2023 - FAD Term Extension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Ladies and Gentlemen,</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Reference is hereby made to the Amended and Restated Collaboration and License Agreement, entered into as of November 15, 2022, by and between Kymera Therapeutics, Inc., a corporation organized under the laws of the State of Delaware (“</w:t>
      </w:r>
      <w:r>
        <w:rPr>
          <w:rFonts w:ascii="Times New Roman" w:cs="Times New Roman" w:eastAsia="Times New Roman" w:hAnsi="Times New Roman"/>
          <w:sz w:val="20"/>
          <w:szCs w:val="20"/>
          <w:u w:val="single" w:color="auto"/>
          <w:color w:val="auto"/>
        </w:rPr>
        <w:t>Kymera</w:t>
      </w:r>
      <w:r>
        <w:rPr>
          <w:rFonts w:ascii="Times New Roman" w:cs="Times New Roman" w:eastAsia="Times New Roman" w:hAnsi="Times New Roman"/>
          <w:sz w:val="20"/>
          <w:szCs w:val="20"/>
          <w:color w:val="auto"/>
        </w:rPr>
        <w:t>”), and Genzyme Corporation, a corporation organized under the laws of the Commonwealth of Massachusetts (“</w:t>
      </w:r>
      <w:r>
        <w:rPr>
          <w:rFonts w:ascii="Times New Roman" w:cs="Times New Roman" w:eastAsia="Times New Roman" w:hAnsi="Times New Roman"/>
          <w:sz w:val="20"/>
          <w:szCs w:val="20"/>
          <w:u w:val="single" w:color="auto"/>
          <w:color w:val="auto"/>
        </w:rPr>
        <w:t>Sanofi</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Unless otherwise defined herein, any capitalized terms shall have the meaning set forth in the Agreement.</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Pursuant to Section 2.4.2 of the Agreement, in certain circumstances, Sanofi has the one-time right upon written notice to Kymera to extend the term of Kymera’s Research activities under Section 2.4 of the Agreement until [***] (the “</w:t>
      </w:r>
      <w:r>
        <w:rPr>
          <w:rFonts w:ascii="Times New Roman" w:cs="Times New Roman" w:eastAsia="Times New Roman" w:hAnsi="Times New Roman"/>
          <w:sz w:val="20"/>
          <w:szCs w:val="20"/>
          <w:u w:val="single" w:color="auto"/>
          <w:color w:val="auto"/>
        </w:rPr>
        <w:t>FAD Term Extension</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Parties acknowledge and agree that Sanofi is hereby exercising the FAD Term Extension for [***], subject to termination in accordance with the terms and conditions of the Agreement (including by way of selection of the First Additional Degrader). Upon request of a Party, further extensions of the First Additional Degrader Research Term will be discussed by the Parties in good faith; provided that any additional extension must be mutually agreed upon in writing by both Parties prior to being effective.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Sincerely,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behalf of Genzyme Corporation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By:/s/ John Bertin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82359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John Bertin</w:t>
      </w:r>
    </w:p>
    <w:p>
      <w:pPr>
        <w:spacing w:after="0"/>
        <w:rPr>
          <w:sz w:val="20"/>
          <w:szCs w:val="20"/>
          <w:color w:val="auto"/>
        </w:rPr>
      </w:pPr>
      <w:r>
        <w:rPr>
          <w:rFonts w:ascii="Times New Roman" w:cs="Times New Roman" w:eastAsia="Times New Roman" w:hAnsi="Times New Roman"/>
          <w:sz w:val="20"/>
          <w:szCs w:val="20"/>
          <w:color w:val="auto"/>
        </w:rPr>
        <w:t>Title: Head of I&amp;I Research Therapeutic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0" w:name="page411"/>
    <w:bookmarkEnd w:id="410"/>
    <w:p>
      <w:pPr>
        <w:ind w:left="9960"/>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16" w:lineRule="exact"/>
        <w:rPr>
          <w:sz w:val="20"/>
          <w:szCs w:val="20"/>
          <w:color w:val="auto"/>
        </w:rPr>
      </w:pPr>
    </w:p>
    <w:p>
      <w:pPr>
        <w:spacing w:after="0"/>
        <w:rPr>
          <w:sz w:val="20"/>
          <w:szCs w:val="20"/>
          <w:color w:val="auto"/>
        </w:rPr>
      </w:pPr>
      <w:r>
        <w:rPr>
          <w:rFonts w:ascii="Calibri" w:cs="Calibri" w:eastAsia="Calibri" w:hAnsi="Calibri"/>
          <w:sz w:val="18"/>
          <w:szCs w:val="18"/>
          <w:color w:val="auto"/>
        </w:rPr>
        <w:t>Certain identfed informaton has been excluded from this exhibit because it is both not material and is the type that the registrant treats as private or</w:t>
      </w:r>
    </w:p>
    <w:p>
      <w:pPr>
        <w:jc w:val="center"/>
        <w:ind w:right="260"/>
        <w:spacing w:after="0" w:line="235" w:lineRule="auto"/>
        <w:rPr>
          <w:sz w:val="20"/>
          <w:szCs w:val="20"/>
          <w:color w:val="auto"/>
        </w:rPr>
      </w:pPr>
      <w:r>
        <w:rPr>
          <w:rFonts w:ascii="Calibri" w:cs="Calibri" w:eastAsia="Calibri" w:hAnsi="Calibri"/>
          <w:sz w:val="18"/>
          <w:szCs w:val="18"/>
          <w:color w:val="auto"/>
        </w:rPr>
        <w:t>confdental. Informaton that was omited has been noted in this document with a placeholder identfed by the mark “[***]”.</w:t>
      </w:r>
    </w:p>
    <w:p>
      <w:pPr>
        <w:spacing w:after="0" w:line="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On behalf of Kymera Therapeutics, Inc.</w:t>
      </w:r>
    </w:p>
    <w:p>
      <w:pPr>
        <w:spacing w:after="0" w:line="31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By:/s/Nello Mainolfi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-13970</wp:posOffset>
            </wp:positionV>
            <wp:extent cx="117348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Nello Mainolfi</w:t>
      </w:r>
    </w:p>
    <w:p>
      <w:pPr>
        <w:ind w:left="4240"/>
        <w:spacing w:after="0"/>
        <w:rPr>
          <w:sz w:val="20"/>
          <w:szCs w:val="20"/>
          <w:color w:val="auto"/>
        </w:rPr>
      </w:pPr>
      <w:r>
        <w:rPr>
          <w:rFonts w:ascii="Times New Roman" w:cs="Times New Roman" w:eastAsia="Times New Roman" w:hAnsi="Times New Roman"/>
          <w:sz w:val="22"/>
          <w:szCs w:val="22"/>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1165860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765" w:right="339" w:bottom="1440" w:gutter="0" w:footer="0" w:header="0"/>
        </w:sectPr>
      </w:pPr>
    </w:p>
    <w:bookmarkStart w:id="411" w:name="page412"/>
    <w:bookmarkEnd w:id="411"/>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SUBSIDIARIES</w:t>
            </w:r>
          </w:p>
        </w:tc>
      </w:tr>
      <w:tr>
        <w:trPr>
          <w:trHeight w:val="684"/>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7600" w:type="dxa"/>
            <w:vAlign w:val="bottom"/>
          </w:tcPr>
          <w:p>
            <w:pPr>
              <w:jc w:val="center"/>
              <w:ind w:left="3596"/>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Kymera Securities Corporation</w:t>
            </w:r>
          </w:p>
        </w:tc>
        <w:tc>
          <w:tcPr>
            <w:tcW w:w="7600" w:type="dxa"/>
            <w:vAlign w:val="bottom"/>
          </w:tcPr>
          <w:p>
            <w:pPr>
              <w:jc w:val="center"/>
              <w:ind w:left="3596"/>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777"/>
        </w:trPr>
        <w:tc>
          <w:tcPr>
            <w:tcW w:w="3640" w:type="dxa"/>
            <w:vAlign w:val="bottom"/>
          </w:tcPr>
          <w:p>
            <w:pPr>
              <w:spacing w:after="0"/>
              <w:rPr>
                <w:sz w:val="20"/>
                <w:szCs w:val="20"/>
                <w:color w:val="auto"/>
              </w:rPr>
            </w:pPr>
            <w:r>
              <w:rPr>
                <w:rFonts w:ascii="Calibri" w:cs="Calibri" w:eastAsia="Calibri" w:hAnsi="Calibri"/>
                <w:sz w:val="14"/>
                <w:szCs w:val="14"/>
                <w:color w:val="auto"/>
              </w:rPr>
              <w:t>ACTIVE/107610297.1</w:t>
            </w:r>
          </w:p>
        </w:tc>
        <w:tc>
          <w:tcPr>
            <w:tcW w:w="7600" w:type="dxa"/>
            <w:vAlign w:val="bottom"/>
          </w:tcPr>
          <w:p>
            <w:pPr>
              <w:spacing w:after="0"/>
              <w:rPr>
                <w:sz w:val="24"/>
                <w:szCs w:val="24"/>
                <w:color w:val="auto"/>
              </w:rPr>
            </w:pPr>
          </w:p>
        </w:tc>
      </w:tr>
      <w:tr>
        <w:trPr>
          <w:trHeight w:val="1242"/>
        </w:trPr>
        <w:tc>
          <w:tcPr>
            <w:tcW w:w="364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2" w:name="page413"/>
    <w:bookmarkEnd w:id="412"/>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337" w:lineRule="exact"/>
        <w:rPr>
          <w:sz w:val="20"/>
          <w:szCs w:val="20"/>
          <w:color w:val="auto"/>
        </w:rPr>
      </w:pPr>
    </w:p>
    <w:p>
      <w:pPr>
        <w:jc w:val="both"/>
        <w:ind w:left="1020" w:right="240" w:hanging="503"/>
        <w:spacing w:after="0" w:line="254" w:lineRule="auto"/>
        <w:tabs>
          <w:tab w:leader="none" w:pos="102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333-248249) pertaining to the Kymera Therapeutics, Inc. 2018 Stock Option and Grant Plan, Kymera Therapeutics, Inc. 2020 Stock Option and Incentive Plan, and Kymera Therapeutics, Inc. 2020 Employee Stock Purchase Plan,</w:t>
      </w:r>
    </w:p>
    <w:p>
      <w:pPr>
        <w:spacing w:after="0" w:line="66" w:lineRule="exact"/>
        <w:rPr>
          <w:rFonts w:ascii="Times New Roman" w:cs="Times New Roman" w:eastAsia="Times New Roman" w:hAnsi="Times New Roman"/>
          <w:sz w:val="20"/>
          <w:szCs w:val="20"/>
          <w:color w:val="auto"/>
        </w:rPr>
      </w:pPr>
    </w:p>
    <w:p>
      <w:pPr>
        <w:ind w:left="1020" w:right="740" w:hanging="503"/>
        <w:spacing w:after="0" w:line="269" w:lineRule="auto"/>
        <w:tabs>
          <w:tab w:leader="none" w:pos="102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333-254122) pertaining to the Kymera Therapeutics, Inc. 2020 Stock Option and Incentive Plan and Amended and Restated Kymera Therapeutics, Inc. 2020 Employee Stock Purchase Plan,</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333-259955) of Kymera Therapeutics, Inc.,</w:t>
      </w:r>
    </w:p>
    <w:p>
      <w:pPr>
        <w:spacing w:after="0" w:line="107" w:lineRule="exact"/>
        <w:rPr>
          <w:rFonts w:ascii="Times New Roman" w:cs="Times New Roman" w:eastAsia="Times New Roman" w:hAnsi="Times New Roman"/>
          <w:sz w:val="20"/>
          <w:szCs w:val="20"/>
          <w:color w:val="auto"/>
        </w:rPr>
      </w:pPr>
    </w:p>
    <w:p>
      <w:pPr>
        <w:ind w:left="1020" w:right="740" w:hanging="503"/>
        <w:spacing w:after="0" w:line="295" w:lineRule="auto"/>
        <w:tabs>
          <w:tab w:leader="none" w:pos="1020" w:val="left"/>
        </w:tabs>
        <w:numPr>
          <w:ilvl w:val="0"/>
          <w:numId w:val="2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333-262947) pertaining to the Kymera Therapeutics, Inc. 2020 Stock Option and Incentive Plan and the Kymera Therapeutics, Inc. Amended and Restated 2020 Employee Stock Purchase Plan, and</w:t>
      </w:r>
    </w:p>
    <w:p>
      <w:pPr>
        <w:spacing w:after="0" w:line="29" w:lineRule="exact"/>
        <w:rPr>
          <w:rFonts w:ascii="Times New Roman" w:cs="Times New Roman" w:eastAsia="Times New Roman" w:hAnsi="Times New Roman"/>
          <w:sz w:val="19"/>
          <w:szCs w:val="19"/>
          <w:color w:val="auto"/>
        </w:rPr>
      </w:pPr>
    </w:p>
    <w:p>
      <w:pPr>
        <w:ind w:left="1020" w:right="740" w:hanging="503"/>
        <w:spacing w:after="0" w:line="269" w:lineRule="auto"/>
        <w:tabs>
          <w:tab w:leader="none" w:pos="102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333-269928) pertaining to the Kymera Therapeutics, Inc. 2020 Stock Option and Incentive Plan and the Kymera Therapeutics, Inc. Amended and Restated 2020 Employee Stock Purchase Plan;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of our reports dated February 22, 2024, with respect to the consolidated financial statements of Kymera Therapeutics, Inc. and the effectiveness of internal control over financial reporting of Kymera Therapeutics, Inc. included in this Annual Report (Form 10-K) of Kymera Therapeutics, Inc. for the year ended December 31,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13" w:name="page414"/>
    <w:bookmarkEnd w:id="4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72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4" w:name="page415"/>
    <w:bookmarkEnd w:id="4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56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Bruce Jacobs, CFA, MBA</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5" w:name="page416"/>
    <w:bookmarkEnd w:id="4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Kymera Therapeutics,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89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560" w:val="left"/>
          <w:tab w:leader="none" w:pos="766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9">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2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Kymera Therapeutics,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8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5560" w:val="left"/>
          <w:tab w:leader="none" w:pos="750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1">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2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color w:val="auto"/>
        </w:rPr>
        <w:t>Bruce Jacobs, CFA, MBA</w:t>
      </w:r>
    </w:p>
    <w:p>
      <w:pPr>
        <w:spacing w:after="0" w:line="2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7" w:name="page418"/>
    <w:bookmarkEnd w:id="417"/>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KYMERA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as of September 28, 2023</w:t>
      </w:r>
    </w:p>
    <w:p>
      <w:pPr>
        <w:spacing w:after="0" w:line="210"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22"/>
          <w:szCs w:val="22"/>
          <w:color w:val="auto"/>
        </w:rPr>
        <w:t>Kymera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w:t>
      </w:r>
    </w:p>
    <w:p>
      <w:pPr>
        <w:spacing w:after="0" w:line="154" w:lineRule="exact"/>
        <w:rPr>
          <w:sz w:val="20"/>
          <w:szCs w:val="20"/>
          <w:color w:val="auto"/>
        </w:rPr>
      </w:pPr>
    </w:p>
    <w:p>
      <w:pPr>
        <w:ind w:left="440" w:hanging="432"/>
        <w:spacing w:after="0"/>
        <w:tabs>
          <w:tab w:leader="none" w:pos="440" w:val="left"/>
        </w:tabs>
        <w:numPr>
          <w:ilvl w:val="0"/>
          <w:numId w:val="3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The Policy sets forth the circumstances and procedures under which the Company shall recover Erroneously Awarded Compensation from current and former Executive Officers of the Company in accordance with rules issued by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Nasdaq Stock Market. Please refer to Section 3 below for definitions of capitalized terms used and not otherwise defined herein.</w:t>
      </w:r>
    </w:p>
    <w:p>
      <w:pPr>
        <w:spacing w:after="0" w:line="173" w:lineRule="exact"/>
        <w:rPr>
          <w:sz w:val="20"/>
          <w:szCs w:val="20"/>
          <w:color w:val="auto"/>
        </w:rPr>
      </w:pPr>
    </w:p>
    <w:p>
      <w:pPr>
        <w:ind w:left="440" w:hanging="432"/>
        <w:spacing w:after="0"/>
        <w:tabs>
          <w:tab w:leader="none" w:pos="440" w:val="left"/>
        </w:tabs>
        <w:numPr>
          <w:ilvl w:val="0"/>
          <w:numId w:val="3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1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p>
    <w:p>
      <w:pPr>
        <w:spacing w:after="0" w:line="169" w:lineRule="exact"/>
        <w:rPr>
          <w:sz w:val="20"/>
          <w:szCs w:val="20"/>
          <w:color w:val="auto"/>
        </w:rPr>
      </w:pPr>
    </w:p>
    <w:p>
      <w:pPr>
        <w:ind w:left="440" w:hanging="432"/>
        <w:spacing w:after="0"/>
        <w:tabs>
          <w:tab w:leader="none" w:pos="440" w:val="left"/>
        </w:tabs>
        <w:numPr>
          <w:ilvl w:val="0"/>
          <w:numId w:val="3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40" w:right="20" w:hanging="383"/>
        <w:spacing w:after="0" w:line="238" w:lineRule="auto"/>
        <w:tabs>
          <w:tab w:leader="none" w:pos="1140"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44" w:lineRule="auto"/>
        <w:tabs>
          <w:tab w:leader="none" w:pos="1140"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1140" w:right="220" w:hanging="383"/>
        <w:spacing w:after="0" w:line="258" w:lineRule="auto"/>
        <w:tabs>
          <w:tab w:leader="none" w:pos="1140"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and Talent Committee of the Board or, in the absence of such committee, a majority of independent directors serving on the Board.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36" w:lineRule="exact"/>
        <w:rPr>
          <w:sz w:val="20"/>
          <w:szCs w:val="20"/>
          <w:color w:val="auto"/>
        </w:rPr>
      </w:pPr>
    </w:p>
    <w:p>
      <w:pPr>
        <w:ind w:left="383" w:hanging="383"/>
        <w:spacing w:after="0" w:line="235" w:lineRule="auto"/>
        <w:tabs>
          <w:tab w:leader="none" w:pos="383"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xml:space="preserve"> means any Executive Officer. A person’s status as a Covered Person with respect to Erroneously Awarded Compensation shall be determined as of the time of receipt of such Erroneously Awarded Compensation regardless of their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8"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November 1, 2023.</w:t>
      </w:r>
    </w:p>
    <w:p>
      <w:pPr>
        <w:spacing w:after="0" w:line="206" w:lineRule="exact"/>
        <w:rPr>
          <w:rFonts w:ascii="Times New Roman" w:cs="Times New Roman" w:eastAsia="Times New Roman" w:hAnsi="Times New Roman"/>
          <w:sz w:val="22"/>
          <w:szCs w:val="22"/>
          <w:color w:val="auto"/>
        </w:rPr>
      </w:pPr>
    </w:p>
    <w:p>
      <w:pPr>
        <w:ind w:left="383" w:right="40" w:hanging="383"/>
        <w:spacing w:after="0" w:line="233" w:lineRule="auto"/>
        <w:tabs>
          <w:tab w:leader="none" w:pos="383"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w:t>
      </w:r>
    </w:p>
    <w:p>
      <w:pPr>
        <w:spacing w:after="0" w:line="187"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Nasdaq Stock Market LLC.</w:t>
      </w:r>
    </w:p>
    <w:p>
      <w:pPr>
        <w:spacing w:after="0" w:line="206" w:lineRule="exact"/>
        <w:rPr>
          <w:rFonts w:ascii="Times New Roman" w:cs="Times New Roman" w:eastAsia="Times New Roman" w:hAnsi="Times New Roman"/>
          <w:sz w:val="22"/>
          <w:szCs w:val="22"/>
          <w:color w:val="auto"/>
        </w:rPr>
      </w:pPr>
    </w:p>
    <w:p>
      <w:pPr>
        <w:ind w:left="383" w:right="40" w:hanging="383"/>
        <w:spacing w:after="0" w:line="235" w:lineRule="auto"/>
        <w:tabs>
          <w:tab w:leader="none" w:pos="383"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issuer. Executive officers of parents or</w:t>
      </w:r>
    </w:p>
    <w:p>
      <w:pPr>
        <w:spacing w:after="0" w:line="394"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1198245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5" w:right="339" w:bottom="1440" w:gutter="0" w:footer="0" w:header="0"/>
        </w:sectPr>
      </w:pPr>
    </w:p>
    <w:bookmarkStart w:id="419" w:name="page420"/>
    <w:bookmarkEnd w:id="419"/>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36" w:lineRule="exact"/>
        <w:rPr>
          <w:sz w:val="20"/>
          <w:szCs w:val="20"/>
          <w:color w:val="auto"/>
        </w:rPr>
      </w:pPr>
    </w:p>
    <w:p>
      <w:pPr>
        <w:ind w:left="1140" w:right="80"/>
        <w:spacing w:after="0" w:line="258" w:lineRule="auto"/>
        <w:rPr>
          <w:sz w:val="20"/>
          <w:szCs w:val="20"/>
          <w:color w:val="auto"/>
        </w:rPr>
      </w:pPr>
      <w:r>
        <w:rPr>
          <w:rFonts w:ascii="Times New Roman" w:cs="Times New Roman" w:eastAsia="Times New Roman" w:hAnsi="Times New Roman"/>
          <w:sz w:val="22"/>
          <w:szCs w:val="22"/>
          <w:color w:val="auto"/>
        </w:rPr>
        <w:t>subsidiaries of the Company may be deemed executive officers of the Company if they perform such policy making functions for the Company.</w:t>
      </w:r>
    </w:p>
    <w:p>
      <w:pPr>
        <w:spacing w:after="0" w:line="158" w:lineRule="exact"/>
        <w:rPr>
          <w:sz w:val="20"/>
          <w:szCs w:val="20"/>
          <w:color w:val="auto"/>
        </w:rPr>
      </w:pPr>
    </w:p>
    <w:p>
      <w:pPr>
        <w:ind w:left="1140" w:hanging="383"/>
        <w:spacing w:after="0" w:line="239" w:lineRule="auto"/>
        <w:tabs>
          <w:tab w:leader="none" w:pos="114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80" w:lineRule="exact"/>
        <w:rPr>
          <w:rFonts w:ascii="Times New Roman" w:cs="Times New Roman" w:eastAsia="Times New Roman" w:hAnsi="Times New Roman"/>
          <w:sz w:val="22"/>
          <w:szCs w:val="22"/>
          <w:color w:val="auto"/>
        </w:rPr>
      </w:pPr>
    </w:p>
    <w:p>
      <w:pPr>
        <w:ind w:left="1140" w:right="160" w:hanging="383"/>
        <w:spacing w:after="0" w:line="239" w:lineRule="auto"/>
        <w:tabs>
          <w:tab w:leader="none" w:pos="114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p>
      <w:pPr>
        <w:spacing w:after="0" w:line="180" w:lineRule="exact"/>
        <w:rPr>
          <w:rFonts w:ascii="Times New Roman" w:cs="Times New Roman" w:eastAsia="Times New Roman" w:hAnsi="Times New Roman"/>
          <w:sz w:val="22"/>
          <w:szCs w:val="22"/>
          <w:color w:val="auto"/>
        </w:rPr>
      </w:pPr>
    </w:p>
    <w:p>
      <w:pPr>
        <w:ind w:left="1140" w:right="40" w:hanging="383"/>
        <w:spacing w:after="0" w:line="238" w:lineRule="auto"/>
        <w:tabs>
          <w:tab w:leader="none" w:pos="114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Material Financial Restatement</w:t>
      </w:r>
      <w:r>
        <w:rPr>
          <w:rFonts w:ascii="Times New Roman" w:cs="Times New Roman" w:eastAsia="Times New Roman" w:hAnsi="Times New Roman"/>
          <w:sz w:val="22"/>
          <w:szCs w:val="22"/>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140" w:right="160" w:hanging="383"/>
        <w:spacing w:after="0" w:line="239" w:lineRule="auto"/>
        <w:tabs>
          <w:tab w:leader="none" w:pos="114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76" w:lineRule="exact"/>
        <w:rPr>
          <w:sz w:val="20"/>
          <w:szCs w:val="20"/>
          <w:color w:val="auto"/>
        </w:rPr>
      </w:pPr>
    </w:p>
    <w:p>
      <w:pPr>
        <w:ind w:left="440" w:hanging="432"/>
        <w:spacing w:after="0"/>
        <w:tabs>
          <w:tab w:leader="none" w:pos="440" w:val="left"/>
        </w:tabs>
        <w:numPr>
          <w:ilvl w:val="0"/>
          <w:numId w:val="3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1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7" w:lineRule="exact"/>
        <w:rPr>
          <w:sz w:val="20"/>
          <w:szCs w:val="20"/>
          <w:color w:val="auto"/>
        </w:rPr>
      </w:pPr>
    </w:p>
    <w:p>
      <w:pPr>
        <w:ind w:left="440" w:hanging="432"/>
        <w:spacing w:after="0"/>
        <w:tabs>
          <w:tab w:leader="none" w:pos="440" w:val="left"/>
        </w:tabs>
        <w:numPr>
          <w:ilvl w:val="0"/>
          <w:numId w:val="3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0" w:name="page421"/>
    <w:bookmarkEnd w:id="420"/>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36"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69" w:lineRule="exact"/>
        <w:rPr>
          <w:sz w:val="20"/>
          <w:szCs w:val="20"/>
          <w:color w:val="auto"/>
        </w:rPr>
      </w:pPr>
    </w:p>
    <w:p>
      <w:pPr>
        <w:ind w:left="440" w:hanging="432"/>
        <w:spacing w:after="0"/>
        <w:tabs>
          <w:tab w:leader="none" w:pos="440" w:val="left"/>
        </w:tabs>
        <w:numPr>
          <w:ilvl w:val="0"/>
          <w:numId w:val="3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8" w:lineRule="exact"/>
        <w:rPr>
          <w:sz w:val="20"/>
          <w:szCs w:val="20"/>
          <w:color w:val="auto"/>
        </w:rPr>
      </w:pPr>
    </w:p>
    <w:p>
      <w:pPr>
        <w:ind w:left="1500" w:hanging="369"/>
        <w:spacing w:after="0"/>
        <w:tabs>
          <w:tab w:leader="none" w:pos="150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06" w:lineRule="exact"/>
        <w:rPr>
          <w:rFonts w:ascii="Times New Roman" w:cs="Times New Roman" w:eastAsia="Times New Roman" w:hAnsi="Times New Roman"/>
          <w:sz w:val="22"/>
          <w:szCs w:val="22"/>
          <w:color w:val="auto"/>
        </w:rPr>
      </w:pPr>
    </w:p>
    <w:p>
      <w:pPr>
        <w:ind w:left="1500" w:right="240" w:hanging="369"/>
        <w:spacing w:after="0" w:line="258" w:lineRule="auto"/>
        <w:tabs>
          <w:tab w:leader="none" w:pos="150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setting-off against planned future grants of equity-based awards; and/or</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0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ind w:left="440" w:hanging="432"/>
        <w:spacing w:after="0"/>
        <w:tabs>
          <w:tab w:leader="none" w:pos="440" w:val="left"/>
        </w:tabs>
        <w:numPr>
          <w:ilvl w:val="0"/>
          <w:numId w:val="3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10"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1" w:name="page422"/>
    <w:bookmarkEnd w:id="421"/>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become effective with respect to the Company, to the extent required for this Policy to comply with the Applicable Rules.</w:t>
      </w:r>
    </w:p>
    <w:p>
      <w:pPr>
        <w:spacing w:after="0" w:line="202" w:lineRule="exact"/>
        <w:rPr>
          <w:sz w:val="20"/>
          <w:szCs w:val="20"/>
          <w:color w:val="auto"/>
        </w:rPr>
      </w:pPr>
    </w:p>
    <w:p>
      <w:pPr>
        <w:ind w:left="440" w:hanging="432"/>
        <w:spacing w:after="0"/>
        <w:tabs>
          <w:tab w:leader="none" w:pos="440" w:val="left"/>
        </w:tabs>
        <w:numPr>
          <w:ilvl w:val="0"/>
          <w:numId w:val="3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1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66" w:lineRule="exact"/>
        <w:rPr>
          <w:sz w:val="20"/>
          <w:szCs w:val="20"/>
          <w:color w:val="auto"/>
        </w:rPr>
      </w:pPr>
    </w:p>
    <w:p>
      <w:pPr>
        <w:ind w:left="440" w:hanging="432"/>
        <w:spacing w:after="0"/>
        <w:tabs>
          <w:tab w:leader="none" w:pos="440" w:val="left"/>
        </w:tabs>
        <w:numPr>
          <w:ilvl w:val="0"/>
          <w:numId w:val="3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Repayments not Subject to Indemnification</w:t>
      </w:r>
    </w:p>
    <w:p>
      <w:pPr>
        <w:spacing w:after="0" w:line="210"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1198245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2" w:name="page423"/>
    <w:bookmarkEnd w:id="4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AA2304"/>
    <w:multiLevelType w:val="hybridMultilevel"/>
    <w:lvl w:ilvl="0">
      <w:lvlJc w:val="left"/>
      <w:lvlText w:val="☒"/>
      <w:numFmt w:val="bullet"/>
      <w:start w:val="1"/>
    </w:lvl>
  </w:abstractNum>
  <w:abstractNum w:abstractNumId="1">
    <w:nsid w:val="3F7C2FF4"/>
    <w:multiLevelType w:val="hybridMultilevel"/>
    <w:lvl w:ilvl="0">
      <w:lvlJc w:val="left"/>
      <w:lvlText w:val="☐"/>
      <w:numFmt w:val="bullet"/>
      <w:start w:val="1"/>
    </w:lvl>
  </w:abstractNum>
  <w:abstractNum w:abstractNumId="2">
    <w:nsid w:val="25413BEC"/>
    <w:multiLevelType w:val="hybridMultilevel"/>
    <w:lvl w:ilvl="0">
      <w:lvlJc w:val="left"/>
      <w:lvlText w:val="•"/>
      <w:numFmt w:val="bullet"/>
      <w:start w:val="1"/>
    </w:lvl>
  </w:abstractNum>
  <w:abstractNum w:abstractNumId="3">
    <w:nsid w:val="17180B0B"/>
    <w:multiLevelType w:val="hybridMultilevel"/>
    <w:lvl w:ilvl="0">
      <w:lvlJc w:val="left"/>
      <w:lvlText w:val="•"/>
      <w:numFmt w:val="bullet"/>
      <w:start w:val="1"/>
    </w:lvl>
  </w:abstractNum>
  <w:abstractNum w:abstractNumId="4">
    <w:nsid w:val="579328B9"/>
    <w:multiLevelType w:val="hybridMultilevel"/>
    <w:lvl w:ilvl="0">
      <w:lvlJc w:val="left"/>
      <w:lvlText w:val="•"/>
      <w:numFmt w:val="bullet"/>
      <w:start w:val="1"/>
    </w:lvl>
  </w:abstractNum>
  <w:abstractNum w:abstractNumId="5">
    <w:nsid w:val="5D205E20"/>
    <w:multiLevelType w:val="hybridMultilevel"/>
    <w:lvl w:ilvl="0">
      <w:lvlJc w:val="left"/>
      <w:lvlText w:val="•"/>
      <w:numFmt w:val="bullet"/>
      <w:start w:val="1"/>
    </w:lvl>
  </w:abstractNum>
  <w:abstractNum w:abstractNumId="6">
    <w:nsid w:val="11CCA8BA"/>
    <w:multiLevelType w:val="hybridMultilevel"/>
    <w:lvl w:ilvl="0">
      <w:lvlJc w:val="left"/>
      <w:lvlText w:val="•"/>
      <w:numFmt w:val="bullet"/>
      <w:start w:val="1"/>
    </w:lvl>
  </w:abstractNum>
  <w:abstractNum w:abstractNumId="7">
    <w:nsid w:val="4D32AB86"/>
    <w:multiLevelType w:val="hybridMultilevel"/>
    <w:lvl w:ilvl="0">
      <w:lvlJc w:val="left"/>
      <w:lvlText w:val="1"/>
      <w:numFmt w:val="bullet"/>
      <w:start w:val="1"/>
    </w:lvl>
  </w:abstractNum>
  <w:abstractNum w:abstractNumId="8">
    <w:nsid w:val="3F07ACC3"/>
    <w:multiLevelType w:val="hybridMultilevel"/>
    <w:lvl w:ilvl="0">
      <w:lvlJc w:val="left"/>
      <w:lvlText w:val="‡"/>
      <w:numFmt w:val="bullet"/>
      <w:start w:val="1"/>
    </w:lvl>
  </w:abstractNum>
  <w:abstractNum w:abstractNumId="9">
    <w:nsid w:val="6B47F63E"/>
    <w:multiLevelType w:val="hybridMultilevel"/>
    <w:lvl w:ilvl="0">
      <w:lvlJc w:val="left"/>
      <w:lvlText w:val="*"/>
      <w:numFmt w:val="bullet"/>
      <w:start w:val="1"/>
    </w:lvl>
  </w:abstractNum>
  <w:abstractNum w:abstractNumId="10">
    <w:nsid w:val="5CB44A05"/>
    <w:multiLevelType w:val="hybridMultilevel"/>
    <w:lvl w:ilvl="0">
      <w:lvlJc w:val="left"/>
      <w:lvlText w:val="•"/>
      <w:numFmt w:val="bullet"/>
      <w:start w:val="1"/>
    </w:lvl>
  </w:abstractNum>
  <w:abstractNum w:abstractNumId="11">
    <w:nsid w:val="16CF80F1"/>
    <w:multiLevelType w:val="hybridMultilevel"/>
    <w:lvl w:ilvl="0">
      <w:lvlJc w:val="left"/>
      <w:lvlText w:val="•"/>
      <w:numFmt w:val="bullet"/>
      <w:start w:val="1"/>
    </w:lvl>
  </w:abstractNum>
  <w:abstractNum w:abstractNumId="12">
    <w:nsid w:val="1C695DEC"/>
    <w:multiLevelType w:val="hybridMultilevel"/>
    <w:lvl w:ilvl="0">
      <w:lvlJc w:val="left"/>
      <w:lvlText w:val="•"/>
      <w:numFmt w:val="bullet"/>
      <w:start w:val="1"/>
    </w:lvl>
  </w:abstractNum>
  <w:abstractNum w:abstractNumId="13">
    <w:nsid w:val="3FCFAED9"/>
    <w:multiLevelType w:val="hybridMultilevel"/>
    <w:lvl w:ilvl="0">
      <w:lvlJc w:val="left"/>
      <w:lvlText w:val="•"/>
      <w:numFmt w:val="bullet"/>
      <w:start w:val="1"/>
    </w:lvl>
  </w:abstractNum>
  <w:abstractNum w:abstractNumId="14">
    <w:nsid w:val="F856867"/>
    <w:multiLevelType w:val="hybridMultilevel"/>
    <w:lvl w:ilvl="0">
      <w:lvlJc w:val="left"/>
      <w:lvlText w:val="&amp;"/>
      <w:numFmt w:val="bullet"/>
      <w:start w:val="1"/>
    </w:lvl>
  </w:abstractNum>
  <w:abstractNum w:abstractNumId="15">
    <w:nsid w:val="11B1CC33"/>
    <w:multiLevelType w:val="hybridMultilevel"/>
    <w:lvl w:ilvl="0">
      <w:lvlJc w:val="left"/>
      <w:lvlText w:val="•"/>
      <w:numFmt w:val="bullet"/>
      <w:start w:val="1"/>
    </w:lvl>
  </w:abstractNum>
  <w:abstractNum w:abstractNumId="16">
    <w:nsid w:val="2E22FBB7"/>
    <w:multiLevelType w:val="hybridMultilevel"/>
    <w:lvl w:ilvl="0">
      <w:lvlJc w:val="left"/>
      <w:lvlText w:val="•"/>
      <w:numFmt w:val="bullet"/>
      <w:start w:val="1"/>
    </w:lvl>
  </w:abstractNum>
  <w:abstractNum w:abstractNumId="17">
    <w:nsid w:val="29934699"/>
    <w:multiLevelType w:val="hybridMultilevel"/>
    <w:lvl w:ilvl="0">
      <w:lvlJc w:val="left"/>
      <w:lvlText w:val="•"/>
      <w:numFmt w:val="bullet"/>
      <w:start w:val="1"/>
    </w:lvl>
  </w:abstractNum>
  <w:abstractNum w:abstractNumId="18">
    <w:nsid w:val="77485850"/>
    <w:multiLevelType w:val="hybridMultilevel"/>
    <w:lvl w:ilvl="0">
      <w:lvlJc w:val="left"/>
      <w:lvlText w:val="(%1)"/>
      <w:numFmt w:val="lowerLetter"/>
      <w:start w:val="1"/>
    </w:lvl>
  </w:abstractNum>
  <w:abstractNum w:abstractNumId="19">
    <w:nsid w:val="744939A3"/>
    <w:multiLevelType w:val="hybridMultilevel"/>
    <w:lvl w:ilvl="0">
      <w:lvlJc w:val="left"/>
      <w:lvlText w:val="•"/>
      <w:numFmt w:val="bullet"/>
      <w:start w:val="1"/>
    </w:lvl>
  </w:abstractNum>
  <w:abstractNum w:abstractNumId="20">
    <w:nsid w:val="4FA0D2E3"/>
    <w:multiLevelType w:val="hybridMultilevel"/>
    <w:lvl w:ilvl="0">
      <w:lvlJc w:val="left"/>
      <w:lvlText w:val="•"/>
      <w:numFmt w:val="bullet"/>
      <w:start w:val="1"/>
    </w:lvl>
  </w:abstractNum>
  <w:abstractNum w:abstractNumId="21">
    <w:nsid w:val="6B1D2C14"/>
    <w:multiLevelType w:val="hybridMultilevel"/>
    <w:lvl w:ilvl="0">
      <w:lvlJc w:val="left"/>
      <w:lvlText w:val="•"/>
      <w:numFmt w:val="bullet"/>
      <w:start w:val="1"/>
    </w:lvl>
  </w:abstractNum>
  <w:abstractNum w:abstractNumId="22">
    <w:nsid w:val="68B867D3"/>
    <w:multiLevelType w:val="hybridMultilevel"/>
    <w:lvl w:ilvl="0">
      <w:lvlJc w:val="left"/>
      <w:lvlText w:val="•"/>
      <w:numFmt w:val="bullet"/>
      <w:start w:val="1"/>
    </w:lvl>
  </w:abstractNum>
  <w:abstractNum w:abstractNumId="23">
    <w:nsid w:val="3F7F5DD9"/>
    <w:multiLevelType w:val="hybridMultilevel"/>
    <w:lvl w:ilvl="0">
      <w:lvlJc w:val="left"/>
      <w:lvlText w:val="•"/>
      <w:numFmt w:val="bullet"/>
      <w:start w:val="1"/>
    </w:lvl>
  </w:abstractNum>
  <w:abstractNum w:abstractNumId="24">
    <w:nsid w:val="2AE05A34"/>
    <w:multiLevelType w:val="hybridMultilevel"/>
    <w:lvl w:ilvl="0">
      <w:lvlJc w:val="left"/>
      <w:lvlText w:val="•"/>
      <w:numFmt w:val="bullet"/>
      <w:start w:val="1"/>
    </w:lvl>
  </w:abstractNum>
  <w:abstractNum w:abstractNumId="25">
    <w:nsid w:val="32794FF7"/>
    <w:multiLevelType w:val="hybridMultilevel"/>
    <w:lvl w:ilvl="0">
      <w:lvlJc w:val="left"/>
      <w:lvlText w:val="•"/>
      <w:numFmt w:val="bullet"/>
      <w:start w:val="1"/>
    </w:lvl>
  </w:abstractNum>
  <w:abstractNum w:abstractNumId="26">
    <w:nsid w:val="5454945E"/>
    <w:multiLevelType w:val="hybridMultilevel"/>
    <w:lvl w:ilvl="0">
      <w:lvlJc w:val="left"/>
      <w:lvlText w:val="•"/>
      <w:numFmt w:val="bullet"/>
      <w:start w:val="1"/>
    </w:lvl>
  </w:abstractNum>
  <w:abstractNum w:abstractNumId="27">
    <w:nsid w:val="4DEFDFA0"/>
    <w:multiLevelType w:val="hybridMultilevel"/>
    <w:lvl w:ilvl="0">
      <w:lvlJc w:val="left"/>
      <w:lvlText w:val="•"/>
      <w:numFmt w:val="bullet"/>
      <w:start w:val="1"/>
    </w:lvl>
  </w:abstractNum>
  <w:abstractNum w:abstractNumId="28">
    <w:nsid w:val="2123D5F2"/>
    <w:multiLevelType w:val="hybridMultilevel"/>
    <w:lvl w:ilvl="0">
      <w:lvlJc w:val="left"/>
      <w:lvlText w:val="•"/>
      <w:numFmt w:val="bullet"/>
      <w:start w:val="1"/>
    </w:lvl>
  </w:abstractNum>
  <w:abstractNum w:abstractNumId="29">
    <w:nsid w:val="135B8110"/>
    <w:multiLevelType w:val="hybridMultilevel"/>
    <w:lvl w:ilvl="0">
      <w:lvlJc w:val="left"/>
      <w:lvlText w:val="•"/>
      <w:numFmt w:val="bullet"/>
      <w:start w:val="1"/>
    </w:lvl>
  </w:abstractNum>
  <w:abstractNum w:abstractNumId="30">
    <w:nsid w:val="94927A8"/>
    <w:multiLevelType w:val="hybridMultilevel"/>
    <w:lvl w:ilvl="0">
      <w:lvlJc w:val="left"/>
      <w:lvlText w:val="•"/>
      <w:numFmt w:val="bullet"/>
      <w:start w:val="1"/>
    </w:lvl>
  </w:abstractNum>
  <w:abstractNum w:abstractNumId="31">
    <w:nsid w:val="DCDF8F6"/>
    <w:multiLevelType w:val="hybridMultilevel"/>
    <w:lvl w:ilvl="0">
      <w:lvlJc w:val="left"/>
      <w:lvlText w:val="•"/>
      <w:numFmt w:val="bullet"/>
      <w:start w:val="1"/>
    </w:lvl>
  </w:abstractNum>
  <w:abstractNum w:abstractNumId="32">
    <w:nsid w:val="52D7B105"/>
    <w:multiLevelType w:val="hybridMultilevel"/>
    <w:lvl w:ilvl="0">
      <w:lvlJc w:val="left"/>
      <w:lvlText w:val="•"/>
      <w:numFmt w:val="bullet"/>
      <w:start w:val="1"/>
    </w:lvl>
  </w:abstractNum>
  <w:abstractNum w:abstractNumId="33">
    <w:nsid w:val="2E8A6394"/>
    <w:multiLevelType w:val="hybridMultilevel"/>
    <w:lvl w:ilvl="0">
      <w:lvlJc w:val="left"/>
      <w:lvlText w:val="•"/>
      <w:numFmt w:val="bullet"/>
      <w:start w:val="1"/>
    </w:lvl>
  </w:abstractNum>
  <w:abstractNum w:abstractNumId="34">
    <w:nsid w:val="24E60401"/>
    <w:multiLevelType w:val="hybridMultilevel"/>
    <w:lvl w:ilvl="0">
      <w:lvlJc w:val="left"/>
      <w:lvlText w:val="(%1)"/>
      <w:numFmt w:val="lowerRoman"/>
      <w:start w:val="2"/>
    </w:lvl>
  </w:abstractNum>
  <w:abstractNum w:abstractNumId="35">
    <w:nsid w:val="2A6AD9BE"/>
    <w:multiLevelType w:val="hybridMultilevel"/>
    <w:lvl w:ilvl="0">
      <w:lvlJc w:val="left"/>
      <w:lvlText w:val="•"/>
      <w:numFmt w:val="bullet"/>
      <w:start w:val="1"/>
    </w:lvl>
  </w:abstractNum>
  <w:abstractNum w:abstractNumId="36">
    <w:nsid w:val="BAAC1B4"/>
    <w:multiLevelType w:val="hybridMultilevel"/>
    <w:lvl w:ilvl="0">
      <w:lvlJc w:val="left"/>
      <w:lvlText w:val="•"/>
      <w:numFmt w:val="bullet"/>
      <w:start w:val="1"/>
    </w:lvl>
  </w:abstractNum>
  <w:abstractNum w:abstractNumId="37">
    <w:nsid w:val="36B2ACBC"/>
    <w:multiLevelType w:val="hybridMultilevel"/>
    <w:lvl w:ilvl="0">
      <w:lvlJc w:val="left"/>
      <w:lvlText w:val="•"/>
      <w:numFmt w:val="bullet"/>
      <w:start w:val="1"/>
    </w:lvl>
  </w:abstractNum>
  <w:abstractNum w:abstractNumId="38">
    <w:nsid w:val="779D8544"/>
    <w:multiLevelType w:val="hybridMultilevel"/>
    <w:lvl w:ilvl="0">
      <w:lvlJc w:val="left"/>
      <w:lvlText w:val="•"/>
      <w:numFmt w:val="bullet"/>
      <w:start w:val="1"/>
    </w:lvl>
  </w:abstractNum>
  <w:abstractNum w:abstractNumId="39">
    <w:nsid w:val="4AB26E78"/>
    <w:multiLevelType w:val="hybridMultilevel"/>
    <w:lvl w:ilvl="0">
      <w:lvlJc w:val="left"/>
      <w:lvlText w:val="•"/>
      <w:numFmt w:val="bullet"/>
      <w:start w:val="1"/>
    </w:lvl>
  </w:abstractNum>
  <w:abstractNum w:abstractNumId="40">
    <w:nsid w:val="21FAA2FA"/>
    <w:multiLevelType w:val="hybridMultilevel"/>
    <w:lvl w:ilvl="0">
      <w:lvlJc w:val="left"/>
      <w:lvlText w:val="•"/>
      <w:numFmt w:val="bullet"/>
      <w:start w:val="1"/>
    </w:lvl>
  </w:abstractNum>
  <w:abstractNum w:abstractNumId="41">
    <w:nsid w:val="5451CF49"/>
    <w:multiLevelType w:val="hybridMultilevel"/>
    <w:lvl w:ilvl="0">
      <w:lvlJc w:val="left"/>
      <w:lvlText w:val="•"/>
      <w:numFmt w:val="bullet"/>
      <w:start w:val="1"/>
    </w:lvl>
  </w:abstractNum>
  <w:abstractNum w:abstractNumId="42">
    <w:nsid w:val="6181EF69"/>
    <w:multiLevelType w:val="hybridMultilevel"/>
    <w:lvl w:ilvl="0">
      <w:lvlJc w:val="left"/>
      <w:lvlText w:val="•"/>
      <w:numFmt w:val="bullet"/>
      <w:start w:val="1"/>
    </w:lvl>
  </w:abstractNum>
  <w:abstractNum w:abstractNumId="43">
    <w:nsid w:val="3E6400E6"/>
    <w:multiLevelType w:val="hybridMultilevel"/>
    <w:lvl w:ilvl="0">
      <w:lvlJc w:val="left"/>
      <w:lvlText w:val="•"/>
      <w:numFmt w:val="bullet"/>
      <w:start w:val="1"/>
    </w:lvl>
  </w:abstractNum>
  <w:abstractNum w:abstractNumId="44">
    <w:nsid w:val="14217E23"/>
    <w:multiLevelType w:val="hybridMultilevel"/>
    <w:lvl w:ilvl="0">
      <w:lvlJc w:val="left"/>
      <w:lvlText w:val="•"/>
      <w:numFmt w:val="bullet"/>
      <w:start w:val="1"/>
    </w:lvl>
  </w:abstractNum>
  <w:abstractNum w:abstractNumId="45">
    <w:nsid w:val="710757D0"/>
    <w:multiLevelType w:val="hybridMultilevel"/>
    <w:lvl w:ilvl="0">
      <w:lvlJc w:val="left"/>
      <w:lvlText w:val="•"/>
      <w:numFmt w:val="bullet"/>
      <w:start w:val="1"/>
    </w:lvl>
  </w:abstractNum>
  <w:abstractNum w:abstractNumId="46">
    <w:nsid w:val="5015CD1A"/>
    <w:multiLevelType w:val="hybridMultilevel"/>
    <w:lvl w:ilvl="0">
      <w:lvlJc w:val="left"/>
      <w:lvlText w:val="•"/>
      <w:numFmt w:val="bullet"/>
      <w:start w:val="1"/>
    </w:lvl>
  </w:abstractNum>
  <w:abstractNum w:abstractNumId="47">
    <w:nsid w:val="424479DA"/>
    <w:multiLevelType w:val="hybridMultilevel"/>
    <w:lvl w:ilvl="0">
      <w:lvlJc w:val="left"/>
      <w:lvlText w:val="•"/>
      <w:numFmt w:val="bullet"/>
      <w:start w:val="1"/>
    </w:lvl>
  </w:abstractNum>
  <w:abstractNum w:abstractNumId="48">
    <w:nsid w:val="1A9A9E69"/>
    <w:multiLevelType w:val="hybridMultilevel"/>
    <w:lvl w:ilvl="0">
      <w:lvlJc w:val="left"/>
      <w:lvlText w:val="•"/>
      <w:numFmt w:val="bullet"/>
      <w:start w:val="1"/>
    </w:lvl>
  </w:abstractNum>
  <w:abstractNum w:abstractNumId="49">
    <w:nsid w:val="475E256A"/>
    <w:multiLevelType w:val="hybridMultilevel"/>
    <w:lvl w:ilvl="0">
      <w:lvlJc w:val="left"/>
      <w:lvlText w:val="•"/>
      <w:numFmt w:val="bullet"/>
      <w:start w:val="1"/>
    </w:lvl>
  </w:abstractNum>
  <w:abstractNum w:abstractNumId="50">
    <w:nsid w:val="368DB37E"/>
    <w:multiLevelType w:val="hybridMultilevel"/>
    <w:lvl w:ilvl="0">
      <w:lvlJc w:val="left"/>
      <w:lvlText w:val="•"/>
      <w:numFmt w:val="bullet"/>
      <w:start w:val="1"/>
    </w:lvl>
  </w:abstractNum>
  <w:abstractNum w:abstractNumId="51">
    <w:nsid w:val="6A3B714C"/>
    <w:multiLevelType w:val="hybridMultilevel"/>
    <w:lvl w:ilvl="0">
      <w:lvlJc w:val="left"/>
      <w:lvlText w:val="•"/>
      <w:numFmt w:val="bullet"/>
      <w:start w:val="1"/>
    </w:lvl>
  </w:abstractNum>
  <w:abstractNum w:abstractNumId="52">
    <w:nsid w:val="327B517E"/>
    <w:multiLevelType w:val="hybridMultilevel"/>
    <w:lvl w:ilvl="0">
      <w:lvlJc w:val="left"/>
      <w:lvlText w:val="•"/>
      <w:numFmt w:val="bullet"/>
      <w:start w:val="1"/>
    </w:lvl>
  </w:abstractNum>
  <w:abstractNum w:abstractNumId="53">
    <w:nsid w:val="1F461B51"/>
    <w:multiLevelType w:val="hybridMultilevel"/>
    <w:lvl w:ilvl="0">
      <w:lvlJc w:val="left"/>
      <w:lvlText w:val="•"/>
      <w:numFmt w:val="bullet"/>
      <w:start w:val="1"/>
    </w:lvl>
  </w:abstractNum>
  <w:abstractNum w:abstractNumId="54">
    <w:nsid w:val="29BACF25"/>
    <w:multiLevelType w:val="hybridMultilevel"/>
    <w:lvl w:ilvl="0">
      <w:lvlJc w:val="left"/>
      <w:lvlText w:val="•"/>
      <w:numFmt w:val="bullet"/>
      <w:start w:val="1"/>
    </w:lvl>
  </w:abstractNum>
  <w:abstractNum w:abstractNumId="55">
    <w:nsid w:val="5D5BABB3"/>
    <w:multiLevelType w:val="hybridMultilevel"/>
    <w:lvl w:ilvl="0">
      <w:lvlJc w:val="left"/>
      <w:lvlText w:val="•"/>
      <w:numFmt w:val="bullet"/>
      <w:start w:val="1"/>
    </w:lvl>
  </w:abstractNum>
  <w:abstractNum w:abstractNumId="56">
    <w:nsid w:val="51BF6B48"/>
    <w:multiLevelType w:val="hybridMultilevel"/>
    <w:lvl w:ilvl="0">
      <w:lvlJc w:val="left"/>
      <w:lvlText w:val="•"/>
      <w:numFmt w:val="bullet"/>
      <w:start w:val="1"/>
    </w:lvl>
  </w:abstractNum>
  <w:abstractNum w:abstractNumId="57">
    <w:nsid w:val="7E0F6384"/>
    <w:multiLevelType w:val="hybridMultilevel"/>
    <w:lvl w:ilvl="0">
      <w:lvlJc w:val="left"/>
      <w:lvlText w:val="•"/>
      <w:numFmt w:val="bullet"/>
      <w:start w:val="1"/>
    </w:lvl>
  </w:abstractNum>
  <w:abstractNum w:abstractNumId="58">
    <w:nsid w:val="2B4B8B53"/>
    <w:multiLevelType w:val="hybridMultilevel"/>
    <w:lvl w:ilvl="0">
      <w:lvlJc w:val="left"/>
      <w:lvlText w:val="•"/>
      <w:numFmt w:val="bullet"/>
      <w:start w:val="1"/>
    </w:lvl>
  </w:abstractNum>
  <w:abstractNum w:abstractNumId="59">
    <w:nsid w:val="72E3413A"/>
    <w:multiLevelType w:val="hybridMultilevel"/>
    <w:lvl w:ilvl="0">
      <w:lvlJc w:val="left"/>
      <w:lvlText w:val="•"/>
      <w:numFmt w:val="bullet"/>
      <w:start w:val="1"/>
    </w:lvl>
  </w:abstractNum>
  <w:abstractNum w:abstractNumId="60">
    <w:nsid w:val="116AE494"/>
    <w:multiLevelType w:val="hybridMultilevel"/>
    <w:lvl w:ilvl="0">
      <w:lvlJc w:val="left"/>
      <w:lvlText w:val="•"/>
      <w:numFmt w:val="bullet"/>
      <w:start w:val="1"/>
    </w:lvl>
  </w:abstractNum>
  <w:abstractNum w:abstractNumId="61">
    <w:nsid w:val="3494B2FB"/>
    <w:multiLevelType w:val="hybridMultilevel"/>
    <w:lvl w:ilvl="0">
      <w:lvlJc w:val="left"/>
      <w:lvlText w:val="(%1)"/>
      <w:numFmt w:val="lowerLetter"/>
      <w:start w:val="1"/>
    </w:lvl>
  </w:abstractNum>
  <w:abstractNum w:abstractNumId="62">
    <w:nsid w:val="B13A31"/>
    <w:multiLevelType w:val="hybridMultilevel"/>
    <w:lvl w:ilvl="0">
      <w:lvlJc w:val="left"/>
      <w:lvlText w:val="(%1)"/>
      <w:numFmt w:val="lowerLetter"/>
      <w:start w:val="2"/>
    </w:lvl>
  </w:abstractNum>
  <w:abstractNum w:abstractNumId="63">
    <w:nsid w:val="64429599"/>
    <w:multiLevelType w:val="hybridMultilevel"/>
    <w:lvl w:ilvl="0">
      <w:lvlJc w:val="left"/>
      <w:lvlText w:val="+"/>
      <w:numFmt w:val="bullet"/>
      <w:start w:val="1"/>
    </w:lvl>
    <w:lvl w:ilvl="1">
      <w:lvlJc w:val="left"/>
      <w:lvlText w:val="%2"/>
      <w:numFmt w:val="decimal"/>
      <w:start w:val="104"/>
    </w:lvl>
  </w:abstractNum>
  <w:abstractNum w:abstractNumId="64">
    <w:nsid w:val="631F1690"/>
    <w:multiLevelType w:val="hybridMultilevel"/>
    <w:lvl w:ilvl="0">
      <w:lvlJc w:val="left"/>
      <w:lvlText w:val="(%1)"/>
      <w:numFmt w:val="lowerLetter"/>
      <w:start w:val="3"/>
    </w:lvl>
  </w:abstractNum>
  <w:abstractNum w:abstractNumId="65">
    <w:nsid w:val="25973E32"/>
    <w:multiLevelType w:val="hybridMultilevel"/>
    <w:lvl w:ilvl="0">
      <w:lvlJc w:val="left"/>
      <w:lvlText w:val="(%1)"/>
      <w:numFmt w:val="lowerLetter"/>
      <w:start w:val="2"/>
    </w:lvl>
    <w:lvl w:ilvl="1">
      <w:lvlJc w:val="left"/>
      <w:lvlText w:val="(%2)"/>
      <w:numFmt w:val="lowerLetter"/>
      <w:start w:val="1"/>
    </w:lvl>
  </w:abstractNum>
  <w:abstractNum w:abstractNumId="66">
    <w:nsid w:val="EAD6F57"/>
    <w:multiLevelType w:val="hybridMultilevel"/>
    <w:lvl w:ilvl="0">
      <w:lvlJc w:val="left"/>
      <w:lvlText w:val="(%1)"/>
      <w:numFmt w:val="lowerLetter"/>
      <w:start w:val="2"/>
    </w:lvl>
  </w:abstractNum>
  <w:abstractNum w:abstractNumId="67">
    <w:nsid w:val="6EC9D844"/>
    <w:multiLevelType w:val="hybridMultilevel"/>
    <w:lvl w:ilvl="0">
      <w:lvlJc w:val="left"/>
      <w:lvlText w:val="(%1)"/>
      <w:numFmt w:val="lowerLetter"/>
      <w:start w:val="1"/>
    </w:lvl>
  </w:abstractNum>
  <w:abstractNum w:abstractNumId="68">
    <w:nsid w:val="5C49EAEE"/>
    <w:multiLevelType w:val="hybridMultilevel"/>
    <w:lvl w:ilvl="0">
      <w:lvlJc w:val="left"/>
      <w:lvlText w:val="(%1)"/>
      <w:numFmt w:val="lowerRoman"/>
      <w:start w:val="2"/>
    </w:lvl>
  </w:abstractNum>
  <w:abstractNum w:abstractNumId="69">
    <w:nsid w:val="64AF49B"/>
    <w:multiLevelType w:val="hybridMultilevel"/>
    <w:lvl w:ilvl="0">
      <w:lvlJc w:val="left"/>
      <w:lvlText w:val="(%1)"/>
      <w:numFmt w:val="lowerLetter"/>
      <w:start w:val="1"/>
    </w:lvl>
  </w:abstractNum>
  <w:abstractNum w:abstractNumId="70">
    <w:nsid w:val="397C46BC"/>
    <w:multiLevelType w:val="hybridMultilevel"/>
    <w:lvl w:ilvl="0">
      <w:lvlJc w:val="left"/>
      <w:lvlText w:val="(%1)"/>
      <w:numFmt w:val="lowerLetter"/>
      <w:start w:val="1"/>
    </w:lvl>
  </w:abstractNum>
  <w:abstractNum w:abstractNumId="71">
    <w:nsid w:val="7E448DE9"/>
    <w:multiLevelType w:val="hybridMultilevel"/>
    <w:lvl w:ilvl="0">
      <w:lvlJc w:val="left"/>
      <w:lvlText w:val="[***]"/>
      <w:numFmt w:val="bullet"/>
      <w:start w:val="1"/>
    </w:lvl>
    <w:lvl w:ilvl="1">
      <w:lvlJc w:val="left"/>
      <w:lvlText w:val="(%2)"/>
      <w:numFmt w:val="lowerLetter"/>
      <w:start w:val="3"/>
    </w:lvl>
  </w:abstractNum>
  <w:abstractNum w:abstractNumId="72">
    <w:nsid w:val="5A9CC3E5"/>
    <w:multiLevelType w:val="hybridMultilevel"/>
    <w:lvl w:ilvl="0">
      <w:lvlJc w:val="left"/>
      <w:lvlText w:val="[***]"/>
      <w:numFmt w:val="bullet"/>
      <w:start w:val="1"/>
    </w:lvl>
    <w:lvl w:ilvl="1">
      <w:lvlJc w:val="left"/>
      <w:lvlText w:val="(%2)"/>
      <w:numFmt w:val="lowerLetter"/>
      <w:start w:val="7"/>
    </w:lvl>
  </w:abstractNum>
  <w:abstractNum w:abstractNumId="73">
    <w:nsid w:val="1AFE3625"/>
    <w:multiLevelType w:val="hybridMultilevel"/>
    <w:lvl w:ilvl="0">
      <w:lvlJc w:val="left"/>
      <w:lvlText w:val="(%1)"/>
      <w:numFmt w:val="lowerLetter"/>
      <w:start w:val="2"/>
    </w:lvl>
  </w:abstractNum>
  <w:abstractNum w:abstractNumId="74">
    <w:nsid w:val="3CA88ECF"/>
    <w:multiLevelType w:val="hybridMultilevel"/>
    <w:lvl w:ilvl="0">
      <w:lvlJc w:val="left"/>
      <w:lvlText w:val="(%1)"/>
      <w:numFmt w:val="lowerLetter"/>
      <w:start w:val="1"/>
    </w:lvl>
  </w:abstractNum>
  <w:abstractNum w:abstractNumId="75">
    <w:nsid w:val="6EBE4208"/>
    <w:multiLevelType w:val="hybridMultilevel"/>
    <w:lvl w:ilvl="0">
      <w:lvlJc w:val="left"/>
      <w:lvlText w:val="(%1)"/>
      <w:numFmt w:val="lowerLetter"/>
      <w:start w:val="2"/>
    </w:lvl>
  </w:abstractNum>
  <w:abstractNum w:abstractNumId="76">
    <w:nsid w:val="C058DF5"/>
    <w:multiLevelType w:val="hybridMultilevel"/>
    <w:lvl w:ilvl="0">
      <w:lvlJc w:val="left"/>
      <w:lvlText w:val="(%1)"/>
      <w:numFmt w:val="lowerLetter"/>
      <w:start w:val="1"/>
    </w:lvl>
  </w:abstractNum>
  <w:abstractNum w:abstractNumId="77">
    <w:nsid w:val="CBE5BE9"/>
    <w:multiLevelType w:val="hybridMultilevel"/>
    <w:lvl w:ilvl="0">
      <w:lvlJc w:val="left"/>
      <w:lvlText w:val="(%1)"/>
      <w:numFmt w:val="lowerLetter"/>
      <w:start w:val="1"/>
    </w:lvl>
  </w:abstractNum>
  <w:abstractNum w:abstractNumId="78">
    <w:nsid w:val="3102BBE2"/>
    <w:multiLevelType w:val="hybridMultilevel"/>
    <w:lvl w:ilvl="0">
      <w:lvlJc w:val="left"/>
      <w:lvlText w:val="(%1)"/>
      <w:numFmt w:val="lowerLetter"/>
      <w:start w:val="1"/>
    </w:lvl>
  </w:abstractNum>
  <w:abstractNum w:abstractNumId="79">
    <w:nsid w:val="26A02C5E"/>
    <w:multiLevelType w:val="hybridMultilevel"/>
    <w:lvl w:ilvl="0">
      <w:lvlJc w:val="left"/>
      <w:lvlText w:val="(%1)"/>
      <w:numFmt w:val="lowerLetter"/>
      <w:start w:val="5"/>
    </w:lvl>
  </w:abstractNum>
  <w:abstractNum w:abstractNumId="80">
    <w:nsid w:val="541C8153"/>
    <w:multiLevelType w:val="hybridMultilevel"/>
    <w:lvl w:ilvl="0">
      <w:lvlJc w:val="left"/>
      <w:lvlText w:val="(%1)"/>
      <w:numFmt w:val="lowerLetter"/>
      <w:start w:val="1"/>
    </w:lvl>
  </w:abstractNum>
  <w:abstractNum w:abstractNumId="81">
    <w:nsid w:val="67906F60"/>
    <w:multiLevelType w:val="hybridMultilevel"/>
    <w:lvl w:ilvl="0">
      <w:lvlJc w:val="left"/>
      <w:lvlText w:val="(%1)"/>
      <w:numFmt w:val="lowerLetter"/>
      <w:start w:val="3"/>
    </w:lvl>
  </w:abstractNum>
  <w:abstractNum w:abstractNumId="82">
    <w:nsid w:val="10DB9DAA"/>
    <w:multiLevelType w:val="hybridMultilevel"/>
    <w:lvl w:ilvl="0">
      <w:lvlJc w:val="left"/>
      <w:lvlText w:val="[***]"/>
      <w:numFmt w:val="bullet"/>
      <w:start w:val="1"/>
    </w:lvl>
  </w:abstractNum>
  <w:abstractNum w:abstractNumId="83">
    <w:nsid w:val="697D2D2"/>
    <w:multiLevelType w:val="hybridMultilevel"/>
    <w:lvl w:ilvl="0">
      <w:lvlJc w:val="left"/>
      <w:lvlText w:val="[***]"/>
      <w:numFmt w:val="bullet"/>
      <w:start w:val="1"/>
    </w:lvl>
  </w:abstractNum>
  <w:abstractNum w:abstractNumId="84">
    <w:nsid w:val="6D68AB2"/>
    <w:multiLevelType w:val="hybridMultilevel"/>
    <w:lvl w:ilvl="0">
      <w:lvlJc w:val="left"/>
      <w:lvlText w:val="(%1)"/>
      <w:numFmt w:val="lowerRoman"/>
      <w:start w:val="3"/>
    </w:lvl>
  </w:abstractNum>
  <w:abstractNum w:abstractNumId="85">
    <w:nsid w:val="3A966CD0"/>
    <w:multiLevelType w:val="hybridMultilevel"/>
    <w:lvl w:ilvl="0">
      <w:lvlJc w:val="left"/>
      <w:lvlText w:val="(%1)"/>
      <w:numFmt w:val="lowerLetter"/>
      <w:start w:val="1"/>
    </w:lvl>
  </w:abstractNum>
  <w:abstractNum w:abstractNumId="86">
    <w:nsid w:val="63F37E85"/>
    <w:multiLevelType w:val="hybridMultilevel"/>
    <w:lvl w:ilvl="0">
      <w:lvlJc w:val="left"/>
      <w:lvlText w:val="[***]"/>
      <w:numFmt w:val="bullet"/>
      <w:start w:val="1"/>
    </w:lvl>
  </w:abstractNum>
  <w:abstractNum w:abstractNumId="87">
    <w:nsid w:val="5895F5F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88">
    <w:nsid w:val="38A5D054"/>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abstractNum w:abstractNumId="89">
    <w:nsid w:val="F3F09D8"/>
    <w:multiLevelType w:val="hybridMultilevel"/>
    <w:lvl w:ilvl="0">
      <w:lvlJc w:val="left"/>
      <w:lvlText w:val="[***]"/>
      <w:numFmt w:val="bullet"/>
      <w:start w:val="1"/>
    </w:lvl>
  </w:abstractNum>
  <w:abstractNum w:abstractNumId="90">
    <w:nsid w:val="4B793735"/>
    <w:multiLevelType w:val="hybridMultilevel"/>
    <w:lvl w:ilvl="0">
      <w:lvlJc w:val="left"/>
      <w:lvlText w:val="[***]"/>
      <w:numFmt w:val="bullet"/>
      <w:start w:val="1"/>
    </w:lvl>
  </w:abstractNum>
  <w:abstractNum w:abstractNumId="91">
    <w:nsid w:val="4A10B4E8"/>
    <w:multiLevelType w:val="hybridMultilevel"/>
    <w:lvl w:ilvl="0">
      <w:lvlJc w:val="left"/>
      <w:lvlText w:val="(%1)"/>
      <w:numFmt w:val="lowerRoman"/>
      <w:start w:val="2"/>
    </w:lvl>
  </w:abstractNum>
  <w:abstractNum w:abstractNumId="92">
    <w:nsid w:val="43D3BCD4"/>
    <w:multiLevelType w:val="hybridMultilevel"/>
    <w:lvl w:ilvl="0">
      <w:lvlJc w:val="left"/>
      <w:lvlText w:val="(%1)"/>
      <w:numFmt w:val="lowerLetter"/>
      <w:start w:val="2"/>
    </w:lvl>
  </w:abstractNum>
  <w:abstractNum w:abstractNumId="93">
    <w:nsid w:val="4C2A7166"/>
    <w:multiLevelType w:val="hybridMultilevel"/>
    <w:lvl w:ilvl="0">
      <w:lvlJc w:val="left"/>
      <w:lvlText w:val="(%1)"/>
      <w:numFmt w:val="lowerLetter"/>
      <w:start w:val="15"/>
    </w:lvl>
  </w:abstractNum>
  <w:abstractNum w:abstractNumId="94">
    <w:nsid w:val="2E534A82"/>
    <w:multiLevelType w:val="hybridMultilevel"/>
    <w:lvl w:ilvl="0">
      <w:lvlJc w:val="left"/>
      <w:lvlText w:val="(%1)"/>
      <w:numFmt w:val="lowerLetter"/>
      <w:start w:val="1"/>
    </w:lvl>
  </w:abstractNum>
  <w:abstractNum w:abstractNumId="95">
    <w:nsid w:val="26F2D364"/>
    <w:multiLevelType w:val="hybridMultilevel"/>
    <w:lvl w:ilvl="0">
      <w:lvlJc w:val="left"/>
      <w:lvlText w:val="(%1)"/>
      <w:numFmt w:val="lowerLetter"/>
      <w:start w:val="14"/>
    </w:lvl>
  </w:abstractNum>
  <w:abstractNum w:abstractNumId="96">
    <w:nsid w:val="71C1AF98"/>
    <w:multiLevelType w:val="hybridMultilevel"/>
    <w:lvl w:ilvl="0">
      <w:lvlJc w:val="left"/>
      <w:lvlText w:val="(%1)"/>
      <w:numFmt w:val="lowerLetter"/>
      <w:start w:val="27"/>
    </w:lvl>
  </w:abstractNum>
  <w:abstractNum w:abstractNumId="97">
    <w:nsid w:val="3D00B9D9"/>
    <w:multiLevelType w:val="hybridMultilevel"/>
    <w:lvl w:ilvl="0">
      <w:lvlJc w:val="left"/>
      <w:lvlText w:val="[***]"/>
      <w:numFmt w:val="bullet"/>
      <w:start w:val="1"/>
    </w:lvl>
  </w:abstractNum>
  <w:abstractNum w:abstractNumId="98">
    <w:nsid w:val="15BCABA8"/>
    <w:multiLevelType w:val="hybridMultilevel"/>
    <w:lvl w:ilvl="0">
      <w:lvlJc w:val="left"/>
      <w:lvlText w:val="(%1)"/>
      <w:numFmt w:val="lowerLetter"/>
      <w:start w:val="2"/>
    </w:lvl>
  </w:abstractNum>
  <w:abstractNum w:abstractNumId="99">
    <w:nsid w:val="4E0B9A87"/>
    <w:multiLevelType w:val="hybridMultilevel"/>
    <w:lvl w:ilvl="0">
      <w:lvlJc w:val="left"/>
      <w:lvlText w:val="(%1)"/>
      <w:numFmt w:val="lowerLetter"/>
      <w:start w:val="2"/>
    </w:lvl>
  </w:abstractNum>
  <w:abstractNum w:abstractNumId="100">
    <w:nsid w:val="434BAE75"/>
    <w:multiLevelType w:val="hybridMultilevel"/>
    <w:lvl w:ilvl="0">
      <w:lvlJc w:val="left"/>
      <w:lvlText w:val="[***]"/>
      <w:numFmt w:val="bullet"/>
      <w:start w:val="1"/>
    </w:lvl>
  </w:abstractNum>
  <w:abstractNum w:abstractNumId="101">
    <w:nsid w:val="4F38F265"/>
    <w:multiLevelType w:val="hybridMultilevel"/>
    <w:lvl w:ilvl="0">
      <w:lvlJc w:val="left"/>
      <w:lvlText w:val="(%1)"/>
      <w:numFmt w:val="lowerLetter"/>
      <w:start w:val="1"/>
    </w:lvl>
  </w:abstractNum>
  <w:abstractNum w:abstractNumId="102">
    <w:nsid w:val="4C502870"/>
    <w:multiLevelType w:val="hybridMultilevel"/>
    <w:lvl w:ilvl="0">
      <w:lvlJc w:val="left"/>
      <w:lvlText w:val="(%1)"/>
      <w:numFmt w:val="lowerLetter"/>
      <w:start w:val="15"/>
    </w:lvl>
  </w:abstractNum>
  <w:abstractNum w:abstractNumId="103">
    <w:nsid w:val="1DE8725A"/>
    <w:multiLevelType w:val="hybridMultilevel"/>
    <w:lvl w:ilvl="0">
      <w:lvlJc w:val="left"/>
      <w:lvlText w:val="(%1)"/>
      <w:numFmt w:val="lowerLetter"/>
      <w:start w:val="1"/>
    </w:lvl>
  </w:abstractNum>
  <w:abstractNum w:abstractNumId="104">
    <w:nsid w:val="6A37288A"/>
    <w:multiLevelType w:val="hybridMultilevel"/>
    <w:lvl w:ilvl="0">
      <w:lvlJc w:val="left"/>
      <w:lvlText w:val="(%1)"/>
      <w:numFmt w:val="lowerLetter"/>
      <w:start w:val="4"/>
    </w:lvl>
  </w:abstractNum>
  <w:abstractNum w:abstractNumId="105">
    <w:nsid w:val="8F8B73F"/>
    <w:multiLevelType w:val="hybridMultilevel"/>
    <w:lvl w:ilvl="0">
      <w:lvlJc w:val="left"/>
      <w:lvlText w:val="(%1)"/>
      <w:numFmt w:val="lowerLetter"/>
      <w:start w:val="1"/>
    </w:lvl>
    <w:lvl w:ilvl="1">
      <w:lvlJc w:val="left"/>
      <w:lvlText w:val="(%2)"/>
      <w:numFmt w:val="lowerRoman"/>
      <w:start w:val="1"/>
    </w:lvl>
  </w:abstractNum>
  <w:abstractNum w:abstractNumId="106">
    <w:nsid w:val="CA6B462"/>
    <w:multiLevelType w:val="hybridMultilevel"/>
    <w:lvl w:ilvl="0">
      <w:lvlJc w:val="left"/>
      <w:lvlText w:val="%1"/>
      <w:numFmt w:val="lowerLetter"/>
      <w:start w:val="1"/>
    </w:lvl>
    <w:lvl w:ilvl="1">
      <w:lvlJc w:val="left"/>
      <w:lvlText w:val="(%2)"/>
      <w:numFmt w:val="lowerRoman"/>
      <w:start w:val="3"/>
    </w:lvl>
  </w:abstractNum>
  <w:abstractNum w:abstractNumId="107">
    <w:nsid w:val="763CB680"/>
    <w:multiLevelType w:val="hybridMultilevel"/>
    <w:lvl w:ilvl="0">
      <w:lvlJc w:val="left"/>
      <w:lvlText w:val="(%1)"/>
      <w:numFmt w:val="lowerLetter"/>
      <w:start w:val="3"/>
    </w:lvl>
    <w:lvl w:ilvl="1">
      <w:lvlJc w:val="left"/>
      <w:lvlText w:val="%2"/>
      <w:numFmt w:val="lowerRoman"/>
      <w:start w:val="1"/>
    </w:lvl>
  </w:abstractNum>
  <w:abstractNum w:abstractNumId="108">
    <w:nsid w:val="15B71329"/>
    <w:multiLevelType w:val="hybridMultilevel"/>
    <w:lvl w:ilvl="0">
      <w:lvlJc w:val="left"/>
      <w:lvlText w:val="(%1)"/>
      <w:numFmt w:val="lowerLetter"/>
      <w:start w:val="2"/>
    </w:lvl>
  </w:abstractNum>
  <w:abstractNum w:abstractNumId="109">
    <w:nsid w:val="3DA97044"/>
    <w:multiLevelType w:val="hybridMultilevel"/>
    <w:lvl w:ilvl="0">
      <w:lvlJc w:val="left"/>
      <w:lvlText w:val="(%1)"/>
      <w:numFmt w:val="lowerLetter"/>
      <w:start w:val="1"/>
    </w:lvl>
  </w:abstractNum>
  <w:abstractNum w:abstractNumId="110">
    <w:nsid w:val="1CDCE2DE"/>
    <w:multiLevelType w:val="hybridMultilevel"/>
    <w:lvl w:ilvl="0">
      <w:lvlJc w:val="left"/>
      <w:lvlText w:val="(%1)"/>
      <w:numFmt w:val="lowerLetter"/>
      <w:start w:val="2"/>
    </w:lvl>
  </w:abstractNum>
  <w:abstractNum w:abstractNumId="111">
    <w:nsid w:val="69D3947C"/>
    <w:multiLevelType w:val="hybridMultilevel"/>
    <w:lvl w:ilvl="0">
      <w:lvlJc w:val="left"/>
      <w:lvlText w:val="(%1)"/>
      <w:numFmt w:val="lowerLetter"/>
      <w:start w:val="1"/>
    </w:lvl>
  </w:abstractNum>
  <w:abstractNum w:abstractNumId="112">
    <w:nsid w:val="2539DFA5"/>
    <w:multiLevelType w:val="hybridMultilevel"/>
    <w:lvl w:ilvl="0">
      <w:lvlJc w:val="left"/>
      <w:lvlText w:val="(%1)"/>
      <w:numFmt w:val="lowerLetter"/>
      <w:start w:val="1"/>
    </w:lvl>
  </w:abstractNum>
  <w:abstractNum w:abstractNumId="113">
    <w:nsid w:val="2DB88089"/>
    <w:multiLevelType w:val="hybridMultilevel"/>
    <w:lvl w:ilvl="0">
      <w:lvlJc w:val="left"/>
      <w:lvlText w:val="(%1)"/>
      <w:numFmt w:val="lowerLetter"/>
      <w:start w:val="1"/>
    </w:lvl>
  </w:abstractNum>
  <w:abstractNum w:abstractNumId="114">
    <w:nsid w:val="706B674E"/>
    <w:multiLevelType w:val="hybridMultilevel"/>
    <w:lvl w:ilvl="0">
      <w:lvlJc w:val="left"/>
      <w:lvlText w:val="(%1)"/>
      <w:numFmt w:val="lowerLetter"/>
      <w:start w:val="1"/>
    </w:lvl>
    <w:lvl w:ilvl="1">
      <w:lvlJc w:val="left"/>
      <w:lvlText w:val="(%2)"/>
      <w:numFmt w:val="lowerLetter"/>
      <w:start w:val="9"/>
    </w:lvl>
  </w:abstractNum>
  <w:abstractNum w:abstractNumId="115">
    <w:nsid w:val="2C106A57"/>
    <w:multiLevelType w:val="hybridMultilevel"/>
    <w:lvl w:ilvl="0">
      <w:lvlJc w:val="left"/>
      <w:lvlText w:val="(%1)"/>
      <w:numFmt w:val="lowerRoman"/>
      <w:start w:val="2"/>
    </w:lvl>
  </w:abstractNum>
  <w:abstractNum w:abstractNumId="116">
    <w:nsid w:val="684EED59"/>
    <w:multiLevelType w:val="hybridMultilevel"/>
    <w:lvl w:ilvl="0">
      <w:lvlJc w:val="left"/>
      <w:lvlText w:val="(%1)"/>
      <w:numFmt w:val="lowerRoman"/>
      <w:start w:val="3"/>
    </w:lvl>
  </w:abstractNum>
  <w:abstractNum w:abstractNumId="117">
    <w:nsid w:val="545EE5D3"/>
    <w:multiLevelType w:val="hybridMultilevel"/>
    <w:lvl w:ilvl="0">
      <w:lvlJc w:val="left"/>
      <w:lvlText w:val="%1"/>
      <w:numFmt w:val="lowerLetter"/>
      <w:start w:val="1"/>
    </w:lvl>
    <w:lvl w:ilvl="1">
      <w:lvlJc w:val="left"/>
      <w:lvlText w:val="(%2)"/>
      <w:numFmt w:val="lowerLetter"/>
      <w:start w:val="22"/>
    </w:lvl>
  </w:abstractNum>
  <w:abstractNum w:abstractNumId="118">
    <w:nsid w:val="4A66051"/>
    <w:multiLevelType w:val="hybridMultilevel"/>
    <w:lvl w:ilvl="0">
      <w:lvlJc w:val="left"/>
      <w:lvlText w:val="(%1)"/>
      <w:numFmt w:val="lowerLetter"/>
      <w:start w:val="2"/>
    </w:lvl>
    <w:lvl w:ilvl="1">
      <w:lvlJc w:val="left"/>
      <w:lvlText w:val="%2"/>
      <w:numFmt w:val="lowerLetter"/>
      <w:start w:val="1"/>
    </w:lvl>
  </w:abstractNum>
  <w:abstractNum w:abstractNumId="119">
    <w:nsid w:val="20F4BDAD"/>
    <w:multiLevelType w:val="hybridMultilevel"/>
    <w:lvl w:ilvl="0">
      <w:lvlJc w:val="left"/>
      <w:lvlText w:val="(%1)"/>
      <w:numFmt w:val="lowerLetter"/>
      <w:start w:val="1"/>
    </w:lvl>
  </w:abstractNum>
  <w:abstractNum w:abstractNumId="120">
    <w:nsid w:val="639DEFAC"/>
    <w:multiLevelType w:val="hybridMultilevel"/>
    <w:lvl w:ilvl="0">
      <w:lvlJc w:val="left"/>
      <w:lvlText w:val="(%1)"/>
      <w:numFmt w:val="lowerLetter"/>
      <w:start w:val="1"/>
    </w:lvl>
  </w:abstractNum>
  <w:abstractNum w:abstractNumId="121">
    <w:nsid w:val="501F9786"/>
    <w:multiLevelType w:val="hybridMultilevel"/>
    <w:lvl w:ilvl="0">
      <w:lvlJc w:val="left"/>
      <w:lvlText w:val="(%1)"/>
      <w:numFmt w:val="lowerLetter"/>
      <w:start w:val="1"/>
    </w:lvl>
    <w:lvl w:ilvl="1">
      <w:lvlJc w:val="left"/>
      <w:lvlText w:val="(%2)"/>
      <w:numFmt w:val="lowerLetter"/>
      <w:start w:val="9"/>
    </w:lvl>
  </w:abstractNum>
  <w:abstractNum w:abstractNumId="122">
    <w:nsid w:val="6B057295"/>
    <w:multiLevelType w:val="hybridMultilevel"/>
    <w:lvl w:ilvl="0">
      <w:lvlJc w:val="left"/>
      <w:lvlText w:val="%1"/>
      <w:numFmt w:val="lowerLetter"/>
      <w:start w:val="1"/>
    </w:lvl>
    <w:lvl w:ilvl="1">
      <w:lvlJc w:val="left"/>
      <w:lvlText w:val="(%2)"/>
      <w:numFmt w:val="lowerRoman"/>
      <w:start w:val="2"/>
    </w:lvl>
  </w:abstractNum>
  <w:abstractNum w:abstractNumId="123">
    <w:nsid w:val="2771AC80"/>
    <w:multiLevelType w:val="hybridMultilevel"/>
    <w:lvl w:ilvl="0">
      <w:lvlJc w:val="left"/>
      <w:lvlText w:val="(%1)"/>
      <w:numFmt w:val="lowerLetter"/>
      <w:start w:val="4"/>
    </w:lvl>
    <w:lvl w:ilvl="1">
      <w:lvlJc w:val="left"/>
      <w:lvlText w:val="%2"/>
      <w:numFmt w:val="lowerRoman"/>
      <w:start w:val="1"/>
    </w:lvl>
  </w:abstractNum>
  <w:abstractNum w:abstractNumId="124">
    <w:nsid w:val="1C4A08EC"/>
    <w:multiLevelType w:val="hybridMultilevel"/>
    <w:lvl w:ilvl="0">
      <w:lvlJc w:val="left"/>
      <w:lvlText w:val="(%1)"/>
      <w:numFmt w:val="lowerLetter"/>
      <w:start w:val="3"/>
    </w:lvl>
  </w:abstractNum>
  <w:abstractNum w:abstractNumId="125">
    <w:nsid w:val="1958BD17"/>
    <w:multiLevelType w:val="hybridMultilevel"/>
    <w:lvl w:ilvl="0">
      <w:lvlJc w:val="left"/>
      <w:lvlText w:val="(%1)"/>
      <w:numFmt w:val="lowerLetter"/>
      <w:start w:val="1"/>
    </w:lvl>
  </w:abstractNum>
  <w:abstractNum w:abstractNumId="126">
    <w:nsid w:val="4E647FE4"/>
    <w:multiLevelType w:val="hybridMultilevel"/>
    <w:lvl w:ilvl="0">
      <w:lvlJc w:val="left"/>
      <w:lvlText w:val="(%1)"/>
      <w:numFmt w:val="lowerLetter"/>
      <w:start w:val="1"/>
    </w:lvl>
  </w:abstractNum>
  <w:abstractNum w:abstractNumId="127">
    <w:nsid w:val="E0BB885"/>
    <w:multiLevelType w:val="hybridMultilevel"/>
    <w:lvl w:ilvl="0">
      <w:lvlJc w:val="left"/>
      <w:lvlText w:val="(%1)"/>
      <w:numFmt w:val="lowerLetter"/>
      <w:start w:val="1"/>
    </w:lvl>
  </w:abstractNum>
  <w:abstractNum w:abstractNumId="128">
    <w:nsid w:val="565976F1"/>
    <w:multiLevelType w:val="hybridMultilevel"/>
    <w:lvl w:ilvl="0">
      <w:lvlJc w:val="left"/>
      <w:lvlText w:val="(%1)"/>
      <w:numFmt w:val="lowerLetter"/>
      <w:start w:val="1"/>
    </w:lvl>
    <w:lvl w:ilvl="1">
      <w:lvlJc w:val="left"/>
      <w:lvlText w:val="(%2)"/>
      <w:numFmt w:val="lowerLetter"/>
      <w:start w:val="9"/>
    </w:lvl>
  </w:abstractNum>
  <w:abstractNum w:abstractNumId="129">
    <w:nsid w:val="64212B8C"/>
    <w:multiLevelType w:val="hybridMultilevel"/>
    <w:lvl w:ilvl="0">
      <w:lvlJc w:val="left"/>
      <w:lvlText w:val="%1"/>
      <w:numFmt w:val="lowerLetter"/>
      <w:start w:val="1"/>
    </w:lvl>
    <w:lvl w:ilvl="1">
      <w:lvlJc w:val="left"/>
      <w:lvlText w:val="(%2)"/>
      <w:numFmt w:val="lowerRoman"/>
      <w:start w:val="2"/>
    </w:lvl>
  </w:abstractNum>
  <w:abstractNum w:abstractNumId="130">
    <w:nsid w:val="5C17530C"/>
    <w:multiLevelType w:val="hybridMultilevel"/>
    <w:lvl w:ilvl="0">
      <w:lvlJc w:val="left"/>
      <w:lvlText w:val="(%1)"/>
      <w:numFmt w:val="lowerLetter"/>
      <w:start w:val="2"/>
    </w:lvl>
    <w:lvl w:ilvl="1">
      <w:lvlJc w:val="left"/>
      <w:lvlText w:val="(%2)"/>
      <w:numFmt w:val="lowerRoman"/>
      <w:start w:val="1"/>
    </w:lvl>
  </w:abstractNum>
  <w:abstractNum w:abstractNumId="131">
    <w:nsid w:val="19A52566"/>
    <w:multiLevelType w:val="hybridMultilevel"/>
    <w:lvl w:ilvl="0">
      <w:lvlJc w:val="left"/>
      <w:lvlText w:val="(%1)"/>
      <w:numFmt w:val="lowerRoman"/>
      <w:start w:val="3"/>
    </w:lvl>
  </w:abstractNum>
  <w:abstractNum w:abstractNumId="132">
    <w:nsid w:val="335A1DF1"/>
    <w:multiLevelType w:val="hybridMultilevel"/>
    <w:lvl w:ilvl="0">
      <w:lvlJc w:val="left"/>
      <w:lvlText w:val="(%1)"/>
      <w:numFmt w:val="lowerLetter"/>
      <w:start w:val="1"/>
    </w:lvl>
  </w:abstractNum>
  <w:abstractNum w:abstractNumId="133">
    <w:nsid w:val="28677B7C"/>
    <w:multiLevelType w:val="hybridMultilevel"/>
    <w:lvl w:ilvl="0">
      <w:lvlJc w:val="left"/>
      <w:lvlText w:val="[***]"/>
      <w:numFmt w:val="bullet"/>
      <w:start w:val="1"/>
    </w:lvl>
    <w:lvl w:ilvl="1">
      <w:lvlJc w:val="left"/>
      <w:lvlText w:val="(%2)"/>
      <w:numFmt w:val="lowerLetter"/>
      <w:start w:val="1"/>
    </w:lvl>
  </w:abstractNum>
  <w:abstractNum w:abstractNumId="134">
    <w:nsid w:val="378D97C0"/>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35">
    <w:nsid w:val="1D91467C"/>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36">
    <w:nsid w:val="316032BB"/>
    <w:multiLevelType w:val="hybridMultilevel"/>
    <w:lvl w:ilvl="0">
      <w:lvlJc w:val="left"/>
      <w:lvlText w:val="%1"/>
      <w:numFmt w:val="lowerLetter"/>
      <w:start w:val="1"/>
    </w:lvl>
    <w:lvl w:ilvl="1">
      <w:lvlJc w:val="left"/>
      <w:lvlText w:val="(%2)"/>
      <w:numFmt w:val="lowerLetter"/>
      <w:start w:val="35"/>
    </w:lvl>
  </w:abstractNum>
  <w:abstractNum w:abstractNumId="137">
    <w:nsid w:val="44344C22"/>
    <w:multiLevelType w:val="hybridMultilevel"/>
    <w:lvl w:ilvl="0">
      <w:lvlJc w:val="left"/>
      <w:lvlText w:val="(%1)"/>
      <w:numFmt w:val="lowerLetter"/>
      <w:start w:val="3"/>
    </w:lvl>
    <w:lvl w:ilvl="1">
      <w:lvlJc w:val="left"/>
      <w:lvlText w:val="(%2)"/>
      <w:numFmt w:val="lowerLetter"/>
      <w:start w:val="9"/>
    </w:lvl>
  </w:abstractNum>
  <w:abstractNum w:abstractNumId="138">
    <w:nsid w:val="13CDFCFC"/>
    <w:multiLevelType w:val="hybridMultilevel"/>
    <w:lvl w:ilvl="0">
      <w:lvlJc w:val="left"/>
      <w:lvlText w:val="[***]"/>
      <w:numFmt w:val="bullet"/>
      <w:start w:val="1"/>
    </w:lvl>
    <w:lvl w:ilvl="1">
      <w:lvlJc w:val="left"/>
      <w:lvlText w:val="(%2)"/>
      <w:numFmt w:val="lowerRoman"/>
      <w:start w:val="2"/>
    </w:lvl>
  </w:abstractNum>
  <w:abstractNum w:abstractNumId="139">
    <w:nsid w:val="471745E4"/>
    <w:multiLevelType w:val="hybridMultilevel"/>
    <w:lvl w:ilvl="0">
      <w:lvlJc w:val="left"/>
      <w:lvlText w:val="(%1)"/>
      <w:numFmt w:val="lowerLetter"/>
      <w:start w:val="1"/>
    </w:lvl>
  </w:abstractNum>
  <w:abstractNum w:abstractNumId="140">
    <w:nsid w:val="1DDBC66"/>
    <w:multiLevelType w:val="hybridMultilevel"/>
    <w:lvl w:ilvl="0">
      <w:lvlJc w:val="left"/>
      <w:lvlText w:val="(%1)"/>
      <w:numFmt w:val="lowerLetter"/>
      <w:start w:val="3"/>
    </w:lvl>
  </w:abstractNum>
  <w:abstractNum w:abstractNumId="141">
    <w:nsid w:val="30AADFDA"/>
    <w:multiLevelType w:val="hybridMultilevel"/>
    <w:lvl w:ilvl="0">
      <w:lvlJc w:val="left"/>
      <w:lvlText w:val="[***]"/>
      <w:numFmt w:val="bullet"/>
      <w:start w:val="1"/>
    </w:lvl>
    <w:lvl w:ilvl="1">
      <w:lvlJc w:val="left"/>
      <w:lvlText w:val="(%2)"/>
      <w:numFmt w:val="lowerLetter"/>
      <w:start w:val="1"/>
    </w:lvl>
  </w:abstractNum>
  <w:abstractNum w:abstractNumId="142">
    <w:nsid w:val="30EADA61"/>
    <w:multiLevelType w:val="hybridMultilevel"/>
    <w:lvl w:ilvl="0">
      <w:lvlJc w:val="left"/>
      <w:lvlText w:val="[***]"/>
      <w:numFmt w:val="bullet"/>
      <w:start w:val="1"/>
    </w:lvl>
    <w:lvl w:ilvl="1">
      <w:lvlJc w:val="left"/>
      <w:lvlText w:val="(%2)"/>
      <w:numFmt w:val="lowerLetter"/>
      <w:start w:val="2"/>
    </w:lvl>
  </w:abstractNum>
  <w:abstractNum w:abstractNumId="143">
    <w:nsid w:val="27179C0B"/>
    <w:multiLevelType w:val="hybridMultilevel"/>
    <w:lvl w:ilvl="0">
      <w:lvlJc w:val="left"/>
      <w:lvlText w:val="(%1)"/>
      <w:numFmt w:val="lowerLetter"/>
      <w:start w:val="1"/>
    </w:lvl>
  </w:abstractNum>
  <w:abstractNum w:abstractNumId="144">
    <w:nsid w:val="5E636063"/>
    <w:multiLevelType w:val="hybridMultilevel"/>
    <w:lvl w:ilvl="0">
      <w:lvlJc w:val="left"/>
      <w:lvlText w:val="(%1)"/>
      <w:numFmt w:val="lowerLetter"/>
      <w:start w:val="2"/>
    </w:lvl>
  </w:abstractNum>
  <w:abstractNum w:abstractNumId="145">
    <w:nsid w:val="215641AF"/>
    <w:multiLevelType w:val="hybridMultilevel"/>
    <w:lvl w:ilvl="0">
      <w:lvlJc w:val="left"/>
      <w:lvlText w:val="(%1)"/>
      <w:numFmt w:val="lowerLetter"/>
      <w:start w:val="1"/>
    </w:lvl>
  </w:abstractNum>
  <w:abstractNum w:abstractNumId="146">
    <w:nsid w:val="53280662"/>
    <w:multiLevelType w:val="hybridMultilevel"/>
    <w:lvl w:ilvl="0">
      <w:lvlJc w:val="left"/>
      <w:lvlText w:val="(%1)"/>
      <w:numFmt w:val="lowerLetter"/>
      <w:start w:val="1"/>
    </w:lvl>
  </w:abstractNum>
  <w:abstractNum w:abstractNumId="147">
    <w:nsid w:val="46B24DBC"/>
    <w:multiLevelType w:val="hybridMultilevel"/>
    <w:lvl w:ilvl="0">
      <w:lvlJc w:val="left"/>
      <w:lvlText w:val="(%1)"/>
      <w:numFmt w:val="lowerLetter"/>
      <w:start w:val="1"/>
    </w:lvl>
  </w:abstractNum>
  <w:abstractNum w:abstractNumId="148">
    <w:nsid w:val="75B52783"/>
    <w:multiLevelType w:val="hybridMultilevel"/>
    <w:lvl w:ilvl="0">
      <w:lvlJc w:val="left"/>
      <w:lvlText w:val="(%1)"/>
      <w:numFmt w:val="lowerLetter"/>
      <w:start w:val="1"/>
    </w:lvl>
  </w:abstractNum>
  <w:abstractNum w:abstractNumId="149">
    <w:nsid w:val="57CE66B4"/>
    <w:multiLevelType w:val="hybridMultilevel"/>
    <w:lvl w:ilvl="0">
      <w:lvlJc w:val="left"/>
      <w:lvlText w:val="(%1)"/>
      <w:numFmt w:val="lowerLetter"/>
      <w:start w:val="1"/>
    </w:lvl>
  </w:abstractNum>
  <w:abstractNum w:abstractNumId="150">
    <w:nsid w:val="67A70B69"/>
    <w:multiLevelType w:val="hybridMultilevel"/>
    <w:lvl w:ilvl="0">
      <w:lvlJc w:val="left"/>
      <w:lvlText w:val="%1"/>
      <w:numFmt w:val="lowerLetter"/>
      <w:start w:val="1"/>
    </w:lvl>
    <w:lvl w:ilvl="1">
      <w:lvlJc w:val="left"/>
      <w:lvlText w:val="(%2)"/>
      <w:numFmt w:val="lowerLetter"/>
      <w:start w:val="4"/>
    </w:lvl>
  </w:abstractNum>
  <w:abstractNum w:abstractNumId="151">
    <w:nsid w:val="5953172F"/>
    <w:multiLevelType w:val="hybridMultilevel"/>
    <w:lvl w:ilvl="0">
      <w:lvlJc w:val="left"/>
      <w:lvlText w:val="(%1)"/>
      <w:numFmt w:val="lowerLetter"/>
      <w:start w:val="9"/>
    </w:lvl>
    <w:lvl w:ilvl="1">
      <w:lvlJc w:val="left"/>
      <w:lvlText w:val="(%2)"/>
      <w:numFmt w:val="lowerLetter"/>
      <w:start w:val="9"/>
    </w:lvl>
  </w:abstractNum>
  <w:abstractNum w:abstractNumId="152">
    <w:nsid w:val="27EDFE3A"/>
    <w:multiLevelType w:val="hybridMultilevel"/>
    <w:lvl w:ilvl="0">
      <w:lvlJc w:val="left"/>
      <w:lvlText w:val="(%1)"/>
      <w:numFmt w:val="lowerLetter"/>
      <w:start w:val="11"/>
    </w:lvl>
  </w:abstractNum>
  <w:abstractNum w:abstractNumId="153">
    <w:nsid w:val="52AC7DFF"/>
    <w:multiLevelType w:val="hybridMultilevel"/>
    <w:lvl w:ilvl="0">
      <w:lvlJc w:val="left"/>
      <w:lvlText w:val="(%1)"/>
      <w:numFmt w:val="lowerLetter"/>
      <w:start w:val="15"/>
    </w:lvl>
  </w:abstractNum>
  <w:abstractNum w:abstractNumId="154">
    <w:nsid w:val="C4C3AF"/>
    <w:multiLevelType w:val="hybridMultilevel"/>
    <w:lvl w:ilvl="0">
      <w:lvlJc w:val="left"/>
      <w:lvlText w:val="(%1)"/>
      <w:numFmt w:val="lowerLetter"/>
      <w:start w:val="1"/>
    </w:lvl>
  </w:abstractNum>
  <w:abstractNum w:abstractNumId="155">
    <w:nsid w:val="44380727"/>
    <w:multiLevelType w:val="hybridMultilevel"/>
    <w:lvl w:ilvl="0">
      <w:lvlJc w:val="left"/>
      <w:lvlText w:val="(%1)"/>
      <w:numFmt w:val="lowerLetter"/>
      <w:start w:val="3"/>
    </w:lvl>
  </w:abstractNum>
  <w:abstractNum w:abstractNumId="156">
    <w:nsid w:val="6C053B16"/>
    <w:multiLevelType w:val="hybridMultilevel"/>
    <w:lvl w:ilvl="0">
      <w:lvlJc w:val="left"/>
      <w:lvlText w:val="(%1)"/>
      <w:numFmt w:val="lowerLetter"/>
      <w:start w:val="1"/>
    </w:lvl>
  </w:abstractNum>
  <w:abstractNum w:abstractNumId="157">
    <w:nsid w:val="4F294393"/>
    <w:multiLevelType w:val="hybridMultilevel"/>
    <w:lvl w:ilvl="0">
      <w:lvlJc w:val="left"/>
      <w:lvlText w:val="(%1)"/>
      <w:numFmt w:val="lowerLetter"/>
      <w:start w:val="7"/>
    </w:lvl>
  </w:abstractNum>
  <w:abstractNum w:abstractNumId="158">
    <w:nsid w:val="5243BFAC"/>
    <w:multiLevelType w:val="hybridMultilevel"/>
    <w:lvl w:ilvl="0">
      <w:lvlJc w:val="left"/>
      <w:lvlText w:val="(%1)"/>
      <w:numFmt w:val="lowerLetter"/>
      <w:start w:val="1"/>
    </w:lvl>
  </w:abstractNum>
  <w:abstractNum w:abstractNumId="159">
    <w:nsid w:val="425EB207"/>
    <w:multiLevelType w:val="hybridMultilevel"/>
    <w:lvl w:ilvl="0">
      <w:lvlJc w:val="left"/>
      <w:lvlText w:val="(%1)"/>
      <w:numFmt w:val="lowerLetter"/>
      <w:start w:val="1"/>
    </w:lvl>
  </w:abstractNum>
  <w:abstractNum w:abstractNumId="160">
    <w:nsid w:val="334A6F1F"/>
    <w:multiLevelType w:val="hybridMultilevel"/>
    <w:lvl w:ilvl="0">
      <w:lvlJc w:val="left"/>
      <w:lvlText w:val="(%1)"/>
      <w:numFmt w:val="lowerLetter"/>
      <w:start w:val="1"/>
    </w:lvl>
  </w:abstractNum>
  <w:abstractNum w:abstractNumId="161">
    <w:nsid w:val="2E5B12B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62">
    <w:nsid w:val="5C03D76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63">
    <w:nsid w:val="66A48D11"/>
    <w:multiLevelType w:val="hybridMultilevel"/>
    <w:lvl w:ilvl="0">
      <w:lvlJc w:val="left"/>
      <w:lvlText w:val="(%1)"/>
      <w:numFmt w:val="lowerLetter"/>
      <w:start w:val="3"/>
    </w:lvl>
  </w:abstractNum>
  <w:abstractNum w:abstractNumId="164">
    <w:nsid w:val="56C28E34"/>
    <w:multiLevelType w:val="hybridMultilevel"/>
    <w:lvl w:ilvl="0">
      <w:lvlJc w:val="left"/>
      <w:lvlText w:val="(%1)"/>
      <w:numFmt w:val="lowerLetter"/>
      <w:start w:val="5"/>
    </w:lvl>
    <w:lvl w:ilvl="1">
      <w:lvlJc w:val="left"/>
      <w:lvlText w:val="(%2)"/>
      <w:numFmt w:val="lowerRoman"/>
      <w:start w:val="1"/>
    </w:lvl>
  </w:abstractNum>
  <w:abstractNum w:abstractNumId="165">
    <w:nsid w:val="13916F2D"/>
    <w:multiLevelType w:val="hybridMultilevel"/>
    <w:lvl w:ilvl="0">
      <w:lvlJc w:val="left"/>
      <w:lvlText w:val="(%1)"/>
      <w:numFmt w:val="lowerLetter"/>
      <w:start w:val="1"/>
    </w:lvl>
    <w:lvl w:ilvl="1">
      <w:lvlJc w:val="left"/>
      <w:lvlText w:val="(%2)"/>
      <w:numFmt w:val="lowerRoman"/>
      <w:start w:val="1"/>
    </w:lvl>
  </w:abstractNum>
  <w:abstractNum w:abstractNumId="166">
    <w:nsid w:val="435D38D"/>
    <w:multiLevelType w:val="hybridMultilevel"/>
    <w:lvl w:ilvl="0">
      <w:lvlJc w:val="left"/>
      <w:lvlText w:val="%1"/>
      <w:numFmt w:val="lowerLetter"/>
      <w:start w:val="1"/>
    </w:lvl>
    <w:lvl w:ilvl="1">
      <w:lvlJc w:val="left"/>
      <w:lvlText w:val="(%2)"/>
      <w:numFmt w:val="lowerLetter"/>
      <w:start w:val="61"/>
    </w:lvl>
  </w:abstractNum>
  <w:abstractNum w:abstractNumId="167">
    <w:nsid w:val="822C0EF"/>
    <w:multiLevelType w:val="hybridMultilevel"/>
    <w:lvl w:ilvl="0">
      <w:lvlJc w:val="left"/>
      <w:lvlText w:val="(%1)"/>
      <w:numFmt w:val="lowerLetter"/>
      <w:start w:val="5"/>
    </w:lvl>
    <w:lvl w:ilvl="1">
      <w:lvlJc w:val="left"/>
      <w:lvlText w:val="(%2)"/>
      <w:numFmt w:val="lowerLetter"/>
      <w:start w:val="9"/>
    </w:lvl>
  </w:abstractNum>
  <w:abstractNum w:abstractNumId="168">
    <w:nsid w:val="57C5BB4F"/>
    <w:multiLevelType w:val="hybridMultilevel"/>
    <w:lvl w:ilvl="0">
      <w:lvlJc w:val="left"/>
      <w:lvlText w:val="%1"/>
      <w:numFmt w:val="lowerLetter"/>
      <w:start w:val="1"/>
    </w:lvl>
    <w:lvl w:ilvl="1">
      <w:lvlJc w:val="left"/>
      <w:lvlText w:val="(%2)"/>
      <w:numFmt w:val="lowerRoman"/>
      <w:start w:val="2"/>
    </w:lvl>
  </w:abstractNum>
  <w:abstractNum w:abstractNumId="169">
    <w:nsid w:val="1803D089"/>
    <w:multiLevelType w:val="hybridMultilevel"/>
    <w:lvl w:ilvl="0">
      <w:lvlJc w:val="left"/>
      <w:lvlText w:val="(%1)"/>
      <w:numFmt w:val="lowerLetter"/>
      <w:start w:val="6"/>
    </w:lvl>
    <w:lvl w:ilvl="1">
      <w:lvlJc w:val="left"/>
      <w:lvlText w:val="%2"/>
      <w:numFmt w:val="lowerRoman"/>
      <w:start w:val="1"/>
    </w:lvl>
  </w:abstractNum>
  <w:abstractNum w:abstractNumId="170">
    <w:nsid w:val="4F3A06D4"/>
    <w:multiLevelType w:val="hybridMultilevel"/>
    <w:lvl w:ilvl="0">
      <w:lvlJc w:val="left"/>
      <w:lvlText w:val="(%1)"/>
      <w:numFmt w:val="lowerLetter"/>
      <w:start w:val="7"/>
    </w:lvl>
  </w:abstractNum>
  <w:abstractNum w:abstractNumId="171">
    <w:nsid w:val="59A377B6"/>
    <w:multiLevelType w:val="hybridMultilevel"/>
    <w:lvl w:ilvl="0">
      <w:lvlJc w:val="left"/>
      <w:lvlText w:val="(%1)"/>
      <w:numFmt w:val="lowerLetter"/>
      <w:start w:val="1"/>
    </w:lvl>
  </w:abstractNum>
  <w:abstractNum w:abstractNumId="172">
    <w:nsid w:val="48AEB063"/>
    <w:multiLevelType w:val="hybridMultilevel"/>
    <w:lvl w:ilvl="0">
      <w:lvlJc w:val="left"/>
      <w:lvlText w:val="(%1)"/>
      <w:numFmt w:val="lowerLetter"/>
      <w:start w:val="5"/>
    </w:lvl>
    <w:lvl w:ilvl="1">
      <w:lvlJc w:val="left"/>
      <w:lvlText w:val="(%2)"/>
      <w:numFmt w:val="lowerRoman"/>
      <w:start w:val="1"/>
    </w:lvl>
  </w:abstractNum>
  <w:abstractNum w:abstractNumId="173">
    <w:nsid w:val="24E13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174">
    <w:nsid w:val="BB13C1"/>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9"/>
    </w:lvl>
    <w:lvl w:ilvl="3">
      <w:lvlJc w:val="left"/>
      <w:lvlText w:val="(%4)"/>
      <w:numFmt w:val="decimal"/>
      <w:start w:val="4"/>
    </w:lvl>
  </w:abstractNum>
  <w:abstractNum w:abstractNumId="175">
    <w:nsid w:val="271210C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176">
    <w:nsid w:val="217B22E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177">
    <w:nsid w:val="53E31A24"/>
    <w:multiLevelType w:val="hybridMultilevel"/>
    <w:lvl w:ilvl="0">
      <w:lvlJc w:val="left"/>
      <w:lvlText w:val="[***]"/>
      <w:numFmt w:val="bullet"/>
      <w:start w:val="1"/>
    </w:lvl>
    <w:lvl w:ilvl="1">
      <w:lvlJc w:val="left"/>
      <w:lvlText w:val="(%2)"/>
      <w:numFmt w:val="lowerLetter"/>
      <w:start w:val="8"/>
    </w:lvl>
    <w:lvl w:ilvl="2">
      <w:lvlJc w:val="left"/>
      <w:lvlText w:val="(%3)"/>
      <w:numFmt w:val="lowerRoman"/>
      <w:start w:val="1"/>
    </w:lvl>
  </w:abstractNum>
  <w:abstractNum w:abstractNumId="178">
    <w:nsid w:val="6DC45E83"/>
    <w:multiLevelType w:val="hybridMultilevel"/>
    <w:lvl w:ilvl="0">
      <w:lvlJc w:val="left"/>
      <w:lvlText w:val="(%1)"/>
      <w:numFmt w:val="lowerLetter"/>
      <w:start w:val="1"/>
    </w:lvl>
  </w:abstractNum>
  <w:abstractNum w:abstractNumId="179">
    <w:nsid w:val="17304A67"/>
    <w:multiLevelType w:val="hybridMultilevel"/>
    <w:lvl w:ilvl="0">
      <w:lvlJc w:val="left"/>
      <w:lvlText w:val="(%1)"/>
      <w:numFmt w:val="lowerLetter"/>
      <w:start w:val="1"/>
    </w:lvl>
  </w:abstractNum>
  <w:abstractNum w:abstractNumId="180">
    <w:nsid w:val="2BB180D8"/>
    <w:multiLevelType w:val="hybridMultilevel"/>
    <w:lvl w:ilvl="0">
      <w:lvlJc w:val="left"/>
      <w:lvlText w:val="(%1)"/>
      <w:numFmt w:val="lowerLetter"/>
      <w:start w:val="4"/>
    </w:lvl>
  </w:abstractNum>
  <w:abstractNum w:abstractNumId="181">
    <w:nsid w:val="556B69ED"/>
    <w:multiLevelType w:val="hybridMultilevel"/>
    <w:lvl w:ilvl="0">
      <w:lvlJc w:val="left"/>
      <w:lvlText w:val="(%1)"/>
      <w:numFmt w:val="lowerLetter"/>
      <w:start w:val="1"/>
    </w:lvl>
  </w:abstractNum>
  <w:abstractNum w:abstractNumId="182">
    <w:nsid w:val="70836196"/>
    <w:multiLevelType w:val="hybridMultilevel"/>
    <w:lvl w:ilvl="0">
      <w:lvlJc w:val="left"/>
      <w:lvlText w:val="(%1)"/>
      <w:numFmt w:val="lowerLetter"/>
      <w:start w:val="3"/>
    </w:lvl>
  </w:abstractNum>
  <w:abstractNum w:abstractNumId="183">
    <w:nsid w:val="539F7F12"/>
    <w:multiLevelType w:val="hybridMultilevel"/>
    <w:lvl w:ilvl="0">
      <w:lvlJc w:val="left"/>
      <w:lvlText w:val="(%1)"/>
      <w:numFmt w:val="lowerLetter"/>
      <w:start w:val="1"/>
    </w:lvl>
  </w:abstractNum>
  <w:abstractNum w:abstractNumId="184">
    <w:nsid w:val="2817E7EC"/>
    <w:multiLevelType w:val="hybridMultilevel"/>
    <w:lvl w:ilvl="0">
      <w:lvlJc w:val="left"/>
      <w:lvlText w:val="(%1)"/>
      <w:numFmt w:val="lowerRoman"/>
      <w:start w:val="5"/>
    </w:lvl>
  </w:abstractNum>
  <w:abstractNum w:abstractNumId="185">
    <w:nsid w:val="71482545"/>
    <w:multiLevelType w:val="hybridMultilevel"/>
    <w:lvl w:ilvl="0">
      <w:lvlJc w:val="left"/>
      <w:lvlText w:val="%1."/>
      <w:numFmt w:val="decimal"/>
      <w:start w:val="1"/>
    </w:lvl>
    <w:lvl w:ilvl="1">
      <w:lvlJc w:val="left"/>
      <w:lvlText w:val="%2."/>
      <w:numFmt w:val="lowerLetter"/>
      <w:start w:val="1"/>
    </w:lvl>
  </w:abstractNum>
  <w:abstractNum w:abstractNumId="186">
    <w:nsid w:val="17D78639"/>
    <w:multiLevelType w:val="hybridMultilevel"/>
    <w:lvl w:ilvl="0">
      <w:lvlJc w:val="left"/>
      <w:lvlText w:val="[***]"/>
      <w:numFmt w:val="bullet"/>
      <w:start w:val="1"/>
    </w:lvl>
  </w:abstractNum>
  <w:abstractNum w:abstractNumId="187">
    <w:nsid w:val="141D2302"/>
    <w:multiLevelType w:val="hybridMultilevel"/>
    <w:lvl w:ilvl="0">
      <w:lvlJc w:val="left"/>
      <w:lvlText w:val="%1."/>
      <w:numFmt w:val="lowerLetter"/>
      <w:start w:val="3"/>
    </w:lvl>
  </w:abstractNum>
  <w:abstractNum w:abstractNumId="188">
    <w:nsid w:val="407168D8"/>
    <w:multiLevelType w:val="hybridMultilevel"/>
    <w:lvl w:ilvl="0">
      <w:lvlJc w:val="left"/>
      <w:lvlText w:val="%1."/>
      <w:numFmt w:val="decimal"/>
      <w:start w:val="2"/>
    </w:lvl>
  </w:abstractNum>
  <w:abstractNum w:abstractNumId="189">
    <w:nsid w:val="6A1B45E5"/>
    <w:multiLevelType w:val="hybridMultilevel"/>
    <w:lvl w:ilvl="0">
      <w:lvlJc w:val="left"/>
      <w:lvlText w:val="[***]"/>
      <w:numFmt w:val="bullet"/>
      <w:start w:val="1"/>
    </w:lvl>
  </w:abstractNum>
  <w:abstractNum w:abstractNumId="190">
    <w:nsid w:val="567BD50A"/>
    <w:multiLevelType w:val="hybridMultilevel"/>
    <w:lvl w:ilvl="0">
      <w:lvlJc w:val="left"/>
      <w:lvlText w:val="•"/>
      <w:numFmt w:val="bullet"/>
      <w:start w:val="1"/>
    </w:lvl>
  </w:abstractNum>
  <w:abstractNum w:abstractNumId="191">
    <w:nsid w:val="73BBD7F8"/>
    <w:multiLevelType w:val="hybridMultilevel"/>
    <w:lvl w:ilvl="0">
      <w:lvlJc w:val="left"/>
      <w:lvlText w:val="•"/>
      <w:numFmt w:val="bullet"/>
      <w:start w:val="1"/>
    </w:lvl>
  </w:abstractNum>
  <w:abstractNum w:abstractNumId="192">
    <w:nsid w:val="1876589D"/>
    <w:multiLevelType w:val="hybridMultilevel"/>
    <w:lvl w:ilvl="0">
      <w:lvlJc w:val="left"/>
      <w:lvlText w:val="•"/>
      <w:numFmt w:val="bullet"/>
      <w:start w:val="1"/>
    </w:lvl>
  </w:abstractNum>
  <w:abstractNum w:abstractNumId="193">
    <w:nsid w:val="327FAC77"/>
    <w:multiLevelType w:val="hybridMultilevel"/>
    <w:lvl w:ilvl="0">
      <w:lvlJc w:val="left"/>
      <w:lvlText w:val="•"/>
      <w:numFmt w:val="bullet"/>
      <w:start w:val="1"/>
    </w:lvl>
  </w:abstractNum>
  <w:abstractNum w:abstractNumId="194">
    <w:nsid w:val="5A606509"/>
    <w:multiLevelType w:val="hybridMultilevel"/>
    <w:lvl w:ilvl="0">
      <w:lvlJc w:val="left"/>
      <w:lvlText w:val="%1."/>
      <w:numFmt w:val="decimal"/>
      <w:start w:val="1"/>
    </w:lvl>
  </w:abstractNum>
  <w:abstractNum w:abstractNumId="195">
    <w:nsid w:val="6F38E6D1"/>
    <w:multiLevelType w:val="hybridMultilevel"/>
    <w:lvl w:ilvl="0">
      <w:lvlJc w:val="left"/>
      <w:lvlText w:val="%1."/>
      <w:numFmt w:val="decimal"/>
      <w:start w:val="2"/>
    </w:lvl>
  </w:abstractNum>
  <w:abstractNum w:abstractNumId="196">
    <w:nsid w:val="46111BA5"/>
    <w:multiLevelType w:val="hybridMultilevel"/>
    <w:lvl w:ilvl="0">
      <w:lvlJc w:val="left"/>
      <w:lvlText w:val="%1."/>
      <w:numFmt w:val="decimal"/>
      <w:start w:val="3"/>
    </w:lvl>
  </w:abstractNum>
  <w:abstractNum w:abstractNumId="197">
    <w:nsid w:val="5E963896"/>
    <w:multiLevelType w:val="hybridMultilevel"/>
    <w:lvl w:ilvl="0">
      <w:lvlJc w:val="left"/>
      <w:lvlText w:val="(%1)"/>
      <w:numFmt w:val="lowerLetter"/>
      <w:start w:val="1"/>
    </w:lvl>
  </w:abstractNum>
  <w:abstractNum w:abstractNumId="198">
    <w:nsid w:val="775BA7C1"/>
    <w:multiLevelType w:val="hybridMultilevel"/>
    <w:lvl w:ilvl="0">
      <w:lvlJc w:val="left"/>
      <w:lvlText w:val="(%1)"/>
      <w:numFmt w:val="lowerLetter"/>
      <w:start w:val="2"/>
    </w:lvl>
  </w:abstractNum>
  <w:abstractNum w:abstractNumId="199">
    <w:nsid w:val="1DD6D6F4"/>
    <w:multiLevelType w:val="hybridMultilevel"/>
    <w:lvl w:ilvl="0">
      <w:lvlJc w:val="left"/>
      <w:lvlText w:val="%1."/>
      <w:numFmt w:val="decimal"/>
      <w:start w:val="4"/>
    </w:lvl>
  </w:abstractNum>
  <w:abstractNum w:abstractNumId="200">
    <w:nsid w:val="769A091F"/>
    <w:multiLevelType w:val="hybridMultilevel"/>
    <w:lvl w:ilvl="0">
      <w:lvlJc w:val="left"/>
      <w:lvlText w:val="(%1)"/>
      <w:numFmt w:val="lowerRoman"/>
      <w:start w:val="1"/>
    </w:lvl>
  </w:abstractNum>
  <w:abstractNum w:abstractNumId="201">
    <w:nsid w:val="4695AE95"/>
    <w:multiLevelType w:val="hybridMultilevel"/>
    <w:lvl w:ilvl="0">
      <w:lvlJc w:val="left"/>
      <w:lvlText w:val="(%1)"/>
      <w:numFmt w:val="lowerRoman"/>
      <w:start w:val="10"/>
    </w:lvl>
  </w:abstractNum>
  <w:abstractNum w:abstractNumId="202">
    <w:nsid w:val="777A4EAA"/>
    <w:multiLevelType w:val="hybridMultilevel"/>
    <w:lvl w:ilvl="0">
      <w:lvlJc w:val="left"/>
      <w:lvlText w:val="%1."/>
      <w:numFmt w:val="decimal"/>
      <w:start w:val="6"/>
    </w:lvl>
  </w:abstractNum>
  <w:abstractNum w:abstractNumId="203">
    <w:nsid w:val="3F48B982"/>
    <w:multiLevelType w:val="hybridMultilevel"/>
    <w:lvl w:ilvl="0">
      <w:lvlJc w:val="left"/>
      <w:lvlText w:val="%1."/>
      <w:numFmt w:val="decimal"/>
      <w:start w:val="7"/>
    </w:lvl>
  </w:abstractNum>
  <w:abstractNum w:abstractNumId="204">
    <w:nsid w:val="46BA8FCA"/>
    <w:multiLevelType w:val="hybridMultilevel"/>
    <w:lvl w:ilvl="0">
      <w:lvlJc w:val="left"/>
      <w:lvlText w:val="%1"/>
      <w:numFmt w:val="upperLetter"/>
      <w:start w:val="1"/>
    </w:lvl>
    <w:lvl w:ilvl="1">
      <w:lvlJc w:val="left"/>
      <w:lvlText w:val="%2."/>
      <w:numFmt w:val="decimal"/>
      <w:start w:val="8"/>
    </w:lvl>
  </w:abstractNum>
  <w:abstractNum w:abstractNumId="205">
    <w:nsid w:val="7835626C"/>
    <w:multiLevelType w:val="hybridMultilevel"/>
    <w:lvl w:ilvl="0">
      <w:lvlJc w:val="left"/>
      <w:lvlText w:val="(%1)"/>
      <w:numFmt w:val="upperLetter"/>
      <w:start w:val="1"/>
    </w:lvl>
    <w:lvl w:ilvl="1">
      <w:lvlJc w:val="left"/>
      <w:lvlText w:val="%2"/>
      <w:numFmt w:val="decimal"/>
      <w:start w:val="1"/>
    </w:lvl>
  </w:abstractNum>
  <w:abstractNum w:abstractNumId="206">
    <w:nsid w:val="665ACA49"/>
    <w:multiLevelType w:val="hybridMultilevel"/>
    <w:lvl w:ilvl="0">
      <w:lvlJc w:val="left"/>
      <w:lvlText w:val="%1."/>
      <w:numFmt w:val="decimal"/>
      <w:start w:val="9"/>
    </w:lvl>
  </w:abstractNum>
  <w:abstractNum w:abstractNumId="207">
    <w:nsid w:val="6835B2AE"/>
    <w:multiLevelType w:val="hybridMultilevel"/>
    <w:lvl w:ilvl="0">
      <w:lvlJc w:val="left"/>
      <w:lvlText w:val="(%1)"/>
      <w:numFmt w:val="lowerRoman"/>
      <w:start w:val="3"/>
    </w:lvl>
    <w:lvl w:ilvl="1">
      <w:lvlJc w:val="left"/>
      <w:lvlText w:val="%2."/>
      <w:numFmt w:val="decimal"/>
      <w:start w:val="11"/>
    </w:lvl>
  </w:abstractNum>
  <w:abstractNum w:abstractNumId="208">
    <w:nsid w:val="4C187C90"/>
    <w:multiLevelType w:val="hybridMultilevel"/>
    <w:lvl w:ilvl="0">
      <w:lvlJc w:val="left"/>
      <w:lvlText w:val="(%1)"/>
      <w:numFmt w:val="lowerLetter"/>
      <w:start w:val="1"/>
    </w:lvl>
  </w:abstractNum>
  <w:abstractNum w:abstractNumId="209">
    <w:nsid w:val="541F28CD"/>
    <w:multiLevelType w:val="hybridMultilevel"/>
    <w:lvl w:ilvl="0">
      <w:lvlJc w:val="left"/>
      <w:lvlText w:val="(%1)"/>
      <w:numFmt w:val="lowerLetter"/>
      <w:start w:val="2"/>
    </w:lvl>
  </w:abstractNum>
  <w:abstractNum w:abstractNumId="210">
    <w:nsid w:val="7F65FD16"/>
    <w:multiLevelType w:val="hybridMultilevel"/>
    <w:lvl w:ilvl="0">
      <w:lvlJc w:val="left"/>
      <w:lvlText w:val="(%1)"/>
      <w:numFmt w:val="lowerLetter"/>
      <w:start w:val="5"/>
    </w:lvl>
  </w:abstractNum>
  <w:abstractNum w:abstractNumId="211">
    <w:nsid w:val="77C9FD68"/>
    <w:multiLevelType w:val="hybridMultilevel"/>
    <w:lvl w:ilvl="0">
      <w:lvlJc w:val="left"/>
      <w:lvlText w:val="%1."/>
      <w:numFmt w:val="decimal"/>
      <w:start w:val="12"/>
    </w:lvl>
  </w:abstractNum>
  <w:abstractNum w:abstractNumId="212">
    <w:nsid w:val="298A92BA"/>
    <w:multiLevelType w:val="hybridMultilevel"/>
    <w:lvl w:ilvl="0">
      <w:lvlJc w:val="left"/>
      <w:lvlText w:val="%1."/>
      <w:numFmt w:val="decimal"/>
      <w:start w:val="13"/>
    </w:lvl>
  </w:abstractNum>
  <w:abstractNum w:abstractNumId="213">
    <w:nsid w:val="6FE95EAC"/>
    <w:multiLevelType w:val="hybridMultilevel"/>
    <w:lvl w:ilvl="0">
      <w:lvlJc w:val="left"/>
      <w:lvlText w:val="%1."/>
      <w:numFmt w:val="decimal"/>
      <w:start w:val="14"/>
    </w:lvl>
  </w:abstractNum>
  <w:abstractNum w:abstractNumId="214">
    <w:nsid w:val="4B697C7A"/>
    <w:multiLevelType w:val="hybridMultilevel"/>
    <w:lvl w:ilvl="0">
      <w:lvlJc w:val="left"/>
      <w:lvlText w:val="%1."/>
      <w:numFmt w:val="decimal"/>
      <w:start w:val="17"/>
    </w:lvl>
  </w:abstractNum>
  <w:abstractNum w:abstractNumId="215">
    <w:nsid w:val="51A27AA6"/>
    <w:multiLevelType w:val="hybridMultilevel"/>
    <w:lvl w:ilvl="0">
      <w:lvlJc w:val="left"/>
      <w:lvlText w:val="%1."/>
      <w:numFmt w:val="decimal"/>
      <w:start w:val="18"/>
    </w:lvl>
  </w:abstractNum>
  <w:abstractNum w:abstractNumId="216">
    <w:nsid w:val="613183F2"/>
    <w:multiLevelType w:val="hybridMultilevel"/>
    <w:lvl w:ilvl="0">
      <w:lvlJc w:val="left"/>
      <w:lvlText w:val="%1."/>
      <w:numFmt w:val="decimal"/>
      <w:start w:val="19"/>
    </w:lvl>
  </w:abstractNum>
  <w:abstractNum w:abstractNumId="217">
    <w:nsid w:val="634102B4"/>
    <w:multiLevelType w:val="hybridMultilevel"/>
    <w:lvl w:ilvl="0">
      <w:lvlJc w:val="left"/>
      <w:lvlText w:val="(%1)"/>
      <w:numFmt w:val="lowerLetter"/>
      <w:start w:val="1"/>
    </w:lvl>
  </w:abstractNum>
  <w:abstractNum w:abstractNumId="218">
    <w:nsid w:val="65BF9DA8"/>
    <w:multiLevelType w:val="hybridMultilevel"/>
    <w:lvl w:ilvl="0">
      <w:lvlJc w:val="left"/>
      <w:lvlText w:val="(%1)"/>
      <w:numFmt w:val="lowerLetter"/>
      <w:start w:val="2"/>
    </w:lvl>
  </w:abstractNum>
  <w:abstractNum w:abstractNumId="219">
    <w:nsid w:val="21A2ECCA"/>
    <w:multiLevelType w:val="hybridMultilevel"/>
    <w:lvl w:ilvl="0">
      <w:lvlJc w:val="left"/>
      <w:lvlText w:val="%1."/>
      <w:numFmt w:val="decimal"/>
      <w:start w:val="21"/>
    </w:lvl>
  </w:abstractNum>
  <w:abstractNum w:abstractNumId="220">
    <w:nsid w:val="4D5C4899"/>
    <w:multiLevelType w:val="hybridMultilevel"/>
    <w:lvl w:ilvl="0">
      <w:lvlJc w:val="left"/>
      <w:lvlText w:val="(%1)"/>
      <w:numFmt w:val="lowerLetter"/>
      <w:start w:val="1"/>
    </w:lvl>
    <w:lvl w:ilvl="1">
      <w:lvlJc w:val="left"/>
      <w:lvlText w:val="(%2)"/>
      <w:numFmt w:val="lowerLetter"/>
      <w:start w:val="9"/>
    </w:lvl>
  </w:abstractNum>
  <w:abstractNum w:abstractNumId="221">
    <w:nsid w:val="3C3B72B2"/>
    <w:multiLevelType w:val="hybridMultilevel"/>
    <w:lvl w:ilvl="0">
      <w:lvlJc w:val="left"/>
      <w:lvlText w:val="(%1)"/>
      <w:numFmt w:val="lowerRoman"/>
      <w:start w:val="2"/>
    </w:lvl>
  </w:abstractNum>
  <w:abstractNum w:abstractNumId="222">
    <w:nsid w:val="155EC4C2"/>
    <w:multiLevelType w:val="hybridMultilevel"/>
    <w:lvl w:ilvl="0">
      <w:lvlJc w:val="left"/>
      <w:lvlText w:val="(%1)"/>
      <w:numFmt w:val="lowerRoman"/>
      <w:start w:val="5"/>
    </w:lvl>
  </w:abstractNum>
  <w:abstractNum w:abstractNumId="223">
    <w:nsid w:val="65D2A137"/>
    <w:multiLevelType w:val="hybridMultilevel"/>
    <w:lvl w:ilvl="0">
      <w:lvlJc w:val="left"/>
      <w:lvlText w:val="(%1)"/>
      <w:numFmt w:val="upperLetter"/>
      <w:start w:val="1"/>
    </w:lvl>
  </w:abstractNum>
  <w:abstractNum w:abstractNumId="224">
    <w:nsid w:val="6EBB1F2A"/>
    <w:multiLevelType w:val="hybridMultilevel"/>
    <w:lvl w:ilvl="0">
      <w:lvlJc w:val="left"/>
      <w:lvlText w:val="(%1)"/>
      <w:numFmt w:val="lowerRoman"/>
      <w:start w:val="6"/>
    </w:lvl>
  </w:abstractNum>
  <w:abstractNum w:abstractNumId="225">
    <w:nsid w:val="6FBF29CB"/>
    <w:multiLevelType w:val="hybridMultilevel"/>
    <w:lvl w:ilvl="0">
      <w:lvlJc w:val="left"/>
      <w:lvlText w:val="%1"/>
      <w:numFmt w:val="lowerLetter"/>
      <w:start w:val="1"/>
    </w:lvl>
    <w:lvl w:ilvl="1">
      <w:lvlJc w:val="left"/>
      <w:lvlText w:val="(%2)"/>
      <w:numFmt w:val="lowerRoman"/>
      <w:start w:val="7"/>
    </w:lvl>
  </w:abstractNum>
  <w:abstractNum w:abstractNumId="226">
    <w:nsid w:val="550B8808"/>
    <w:multiLevelType w:val="hybridMultilevel"/>
    <w:lvl w:ilvl="0">
      <w:lvlJc w:val="left"/>
      <w:lvlText w:val="(%1)"/>
      <w:numFmt w:val="lowerLetter"/>
      <w:start w:val="4"/>
    </w:lvl>
    <w:lvl w:ilvl="1">
      <w:lvlJc w:val="left"/>
      <w:lvlText w:val="%2"/>
      <w:numFmt w:val="lowerRoman"/>
      <w:start w:val="1"/>
    </w:lvl>
  </w:abstractNum>
  <w:abstractNum w:abstractNumId="227">
    <w:nsid w:val="34CC3ACF"/>
    <w:multiLevelType w:val="hybridMultilevel"/>
    <w:lvl w:ilvl="0">
      <w:lvlJc w:val="left"/>
      <w:lvlText w:val="%1."/>
      <w:numFmt w:val="decimal"/>
      <w:start w:val="22"/>
    </w:lvl>
  </w:abstractNum>
  <w:abstractNum w:abstractNumId="228">
    <w:nsid w:val="4E556261"/>
    <w:multiLevelType w:val="hybridMultilevel"/>
    <w:lvl w:ilvl="0">
      <w:lvlJc w:val="left"/>
      <w:lvlText w:val="(%1)"/>
      <w:numFmt w:val="lowerLetter"/>
      <w:start w:val="1"/>
    </w:lvl>
  </w:abstractNum>
  <w:abstractNum w:abstractNumId="229">
    <w:nsid w:val="4C672FC9"/>
    <w:multiLevelType w:val="hybridMultilevel"/>
    <w:lvl w:ilvl="0">
      <w:lvlJc w:val="left"/>
      <w:lvlText w:val="(%1)"/>
      <w:numFmt w:val="lowerLetter"/>
      <w:start w:val="2"/>
    </w:lvl>
  </w:abstractNum>
  <w:abstractNum w:abstractNumId="230">
    <w:nsid w:val="52A311C3"/>
    <w:multiLevelType w:val="hybridMultilevel"/>
    <w:lvl w:ilvl="0">
      <w:lvlJc w:val="left"/>
      <w:lvlText w:val="(%1)"/>
      <w:numFmt w:val="lowerLetter"/>
      <w:start w:val="3"/>
    </w:lvl>
    <w:lvl w:ilvl="1">
      <w:lvlJc w:val="left"/>
      <w:lvlText w:val="(%2)"/>
      <w:numFmt w:val="lowerRoman"/>
      <w:start w:val="1"/>
    </w:lvl>
  </w:abstractNum>
  <w:abstractNum w:abstractNumId="231">
    <w:nsid w:val="44EF6B80"/>
    <w:multiLevelType w:val="hybridMultilevel"/>
    <w:lvl w:ilvl="0">
      <w:lvlJc w:val="left"/>
      <w:lvlText w:val="%1"/>
      <w:numFmt w:val="lowerLetter"/>
      <w:start w:val="1"/>
    </w:lvl>
    <w:lvl w:ilvl="1">
      <w:lvlJc w:val="left"/>
      <w:lvlText w:val="(%2)"/>
      <w:numFmt w:val="lowerLetter"/>
      <w:start w:val="5"/>
    </w:lvl>
  </w:abstractNum>
  <w:abstractNum w:abstractNumId="232">
    <w:nsid w:val="12FCDE5E"/>
    <w:multiLevelType w:val="hybridMultilevel"/>
    <w:lvl w:ilvl="0">
      <w:lvlJc w:val="left"/>
      <w:lvlText w:val="(%1)"/>
      <w:numFmt w:val="lowerLetter"/>
      <w:start w:val="35"/>
    </w:lvl>
    <w:lvl w:ilvl="1">
      <w:lvlJc w:val="left"/>
      <w:lvlText w:val="%2"/>
      <w:numFmt w:val="lowerLetter"/>
      <w:start w:val="1"/>
    </w:lvl>
  </w:abstractNum>
  <w:abstractNum w:abstractNumId="233">
    <w:nsid w:val="4A1D606E"/>
    <w:multiLevelType w:val="hybridMultilevel"/>
    <w:lvl w:ilvl="0">
      <w:lvlJc w:val="left"/>
      <w:lvlText w:val="%1."/>
      <w:numFmt w:val="decimal"/>
      <w:start w:val="23"/>
    </w:lvl>
  </w:abstractNum>
  <w:abstractNum w:abstractNumId="234">
    <w:nsid w:val="4382503"/>
    <w:multiLevelType w:val="hybridMultilevel"/>
    <w:lvl w:ilvl="0">
      <w:lvlJc w:val="left"/>
      <w:lvlText w:val="%1."/>
      <w:numFmt w:val="decimal"/>
      <w:start w:val="27"/>
    </w:lvl>
  </w:abstractNum>
  <w:abstractNum w:abstractNumId="235">
    <w:nsid w:val="59B76E28"/>
    <w:multiLevelType w:val="hybridMultilevel"/>
    <w:lvl w:ilvl="0">
      <w:lvlJc w:val="left"/>
      <w:lvlText w:val="%1."/>
      <w:numFmt w:val="decimal"/>
      <w:start w:val="28"/>
    </w:lvl>
  </w:abstractNum>
  <w:abstractNum w:abstractNumId="236">
    <w:nsid w:val="4252C2DA"/>
    <w:multiLevelType w:val="hybridMultilevel"/>
    <w:lvl w:ilvl="0">
      <w:lvlJc w:val="left"/>
      <w:lvlText w:val="%1."/>
      <w:numFmt w:val="decimal"/>
      <w:start w:val="29"/>
    </w:lvl>
  </w:abstractNum>
  <w:abstractNum w:abstractNumId="237">
    <w:nsid w:val="6A92EF4C"/>
    <w:multiLevelType w:val="hybridMultilevel"/>
    <w:lvl w:ilvl="0">
      <w:lvlJc w:val="left"/>
      <w:lvlText w:val="(%1)"/>
      <w:numFmt w:val="lowerLetter"/>
      <w:start w:val="1"/>
    </w:lvl>
  </w:abstractNum>
  <w:abstractNum w:abstractNumId="238">
    <w:nsid w:val="41ED20D7"/>
    <w:multiLevelType w:val="hybridMultilevel"/>
    <w:lvl w:ilvl="0">
      <w:lvlJc w:val="left"/>
      <w:lvlText w:val="(%1)"/>
      <w:numFmt w:val="lowerLetter"/>
      <w:start w:val="2"/>
    </w:lvl>
  </w:abstractNum>
  <w:abstractNum w:abstractNumId="239">
    <w:nsid w:val="E6B3F6A"/>
    <w:multiLevelType w:val="hybridMultilevel"/>
    <w:lvl w:ilvl="0">
      <w:lvlJc w:val="left"/>
      <w:lvlText w:val="(%1)"/>
      <w:numFmt w:val="lowerLetter"/>
      <w:start w:val="5"/>
    </w:lvl>
  </w:abstractNum>
  <w:abstractNum w:abstractNumId="240">
    <w:nsid w:val="3EB21819"/>
    <w:multiLevelType w:val="hybridMultilevel"/>
    <w:lvl w:ilvl="0">
      <w:lvlJc w:val="left"/>
      <w:lvlText w:val="%1."/>
      <w:numFmt w:val="decimal"/>
      <w:start w:val="31"/>
    </w:lvl>
  </w:abstractNum>
  <w:abstractNum w:abstractNumId="241">
    <w:nsid w:val="41531DED"/>
    <w:multiLevelType w:val="hybridMultilevel"/>
    <w:lvl w:ilvl="0">
      <w:lvlJc w:val="left"/>
      <w:lvlText w:val="(%1)"/>
      <w:numFmt w:val="lowerLetter"/>
      <w:start w:val="1"/>
    </w:lvl>
  </w:abstractNum>
  <w:abstractNum w:abstractNumId="242">
    <w:nsid w:val="6353CD2"/>
    <w:multiLevelType w:val="hybridMultilevel"/>
    <w:lvl w:ilvl="0">
      <w:lvlJc w:val="left"/>
      <w:lvlText w:val="(%1)"/>
      <w:numFmt w:val="lowerLetter"/>
      <w:start w:val="2"/>
    </w:lvl>
  </w:abstractNum>
  <w:abstractNum w:abstractNumId="243">
    <w:nsid w:val="683CAAD3"/>
    <w:multiLevelType w:val="hybridMultilevel"/>
    <w:lvl w:ilvl="0">
      <w:lvlJc w:val="left"/>
      <w:lvlText w:val="%1."/>
      <w:numFmt w:val="decimal"/>
      <w:start w:val="32"/>
    </w:lvl>
  </w:abstractNum>
  <w:abstractNum w:abstractNumId="244">
    <w:nsid w:val="313C7C99"/>
    <w:multiLevelType w:val="hybridMultilevel"/>
    <w:lvl w:ilvl="0">
      <w:lvlJc w:val="left"/>
      <w:lvlText w:val="%1."/>
      <w:numFmt w:val="decimal"/>
      <w:start w:val="33"/>
    </w:lvl>
  </w:abstractNum>
  <w:abstractNum w:abstractNumId="245">
    <w:nsid w:val="519EB94C"/>
    <w:multiLevelType w:val="hybridMultilevel"/>
    <w:lvl w:ilvl="0">
      <w:lvlJc w:val="left"/>
      <w:lvlText w:val="%1."/>
      <w:numFmt w:val="decimal"/>
      <w:start w:val="37"/>
    </w:lvl>
  </w:abstractNum>
  <w:abstractNum w:abstractNumId="246">
    <w:nsid w:val="39DF2579"/>
    <w:multiLevelType w:val="hybridMultilevel"/>
    <w:lvl w:ilvl="0">
      <w:lvlJc w:val="left"/>
      <w:lvlText w:val="%1."/>
      <w:numFmt w:val="decimal"/>
      <w:start w:val="39"/>
    </w:lvl>
  </w:abstractNum>
  <w:abstractNum w:abstractNumId="247">
    <w:nsid w:val="126E008B"/>
    <w:multiLevelType w:val="hybridMultilevel"/>
    <w:lvl w:ilvl="0">
      <w:lvlJc w:val="left"/>
      <w:lvlText w:val="(%1)"/>
      <w:numFmt w:val="lowerLetter"/>
      <w:start w:val="1"/>
    </w:lvl>
  </w:abstractNum>
  <w:abstractNum w:abstractNumId="248">
    <w:nsid w:val="34DFBC00"/>
    <w:multiLevelType w:val="hybridMultilevel"/>
    <w:lvl w:ilvl="0">
      <w:lvlJc w:val="left"/>
      <w:lvlText w:val="(%1)"/>
      <w:numFmt w:val="lowerLetter"/>
      <w:start w:val="2"/>
    </w:lvl>
    <w:lvl w:ilvl="1">
      <w:lvlJc w:val="left"/>
      <w:lvlText w:val="(%2)"/>
      <w:numFmt w:val="lowerRoman"/>
      <w:start w:val="1"/>
    </w:lvl>
  </w:abstractNum>
  <w:abstractNum w:abstractNumId="249">
    <w:nsid w:val="1F9EC322"/>
    <w:multiLevelType w:val="hybridMultilevel"/>
    <w:lvl w:ilvl="0">
      <w:lvlJc w:val="left"/>
      <w:lvlText w:val="(%1)"/>
      <w:numFmt w:val="lowerLetter"/>
      <w:start w:val="6"/>
    </w:lvl>
  </w:abstractNum>
  <w:abstractNum w:abstractNumId="250">
    <w:nsid w:val="3410ED56"/>
    <w:multiLevelType w:val="hybridMultilevel"/>
    <w:lvl w:ilvl="0">
      <w:lvlJc w:val="left"/>
      <w:lvlText w:val="(%1)"/>
      <w:numFmt w:val="lowerLetter"/>
      <w:start w:val="1"/>
    </w:lvl>
  </w:abstractNum>
  <w:abstractNum w:abstractNumId="251">
    <w:nsid w:val="23C049A"/>
    <w:multiLevelType w:val="hybridMultilevel"/>
    <w:lvl w:ilvl="0">
      <w:lvlJc w:val="left"/>
      <w:lvlText w:val="(%1)"/>
      <w:numFmt w:val="lowerLetter"/>
      <w:start w:val="3"/>
    </w:lvl>
    <w:lvl w:ilvl="1">
      <w:lvlJc w:val="left"/>
      <w:lvlText w:val="(%2)"/>
      <w:numFmt w:val="lowerLetter"/>
      <w:start w:val="9"/>
    </w:lvl>
  </w:abstractNum>
  <w:abstractNum w:abstractNumId="252">
    <w:nsid w:val="5BDA35D4"/>
    <w:multiLevelType w:val="hybridMultilevel"/>
    <w:lvl w:ilvl="0">
      <w:lvlJc w:val="left"/>
      <w:lvlText w:val="%1"/>
      <w:numFmt w:val="lowerLetter"/>
      <w:start w:val="1"/>
    </w:lvl>
    <w:lvl w:ilvl="1">
      <w:lvlJc w:val="left"/>
      <w:lvlText w:val="(%2)"/>
      <w:numFmt w:val="lowerRoman"/>
      <w:start w:val="2"/>
    </w:lvl>
  </w:abstractNum>
  <w:abstractNum w:abstractNumId="253">
    <w:nsid w:val="496FB218"/>
    <w:multiLevelType w:val="hybridMultilevel"/>
    <w:lvl w:ilvl="0">
      <w:lvlJc w:val="left"/>
      <w:lvlText w:val="(%1)"/>
      <w:numFmt w:val="lowerLetter"/>
      <w:start w:val="4"/>
    </w:lvl>
    <w:lvl w:ilvl="1">
      <w:lvlJc w:val="left"/>
      <w:lvlText w:val="(%2)"/>
      <w:numFmt w:val="lowerRoman"/>
      <w:start w:val="1"/>
    </w:lvl>
  </w:abstractNum>
  <w:abstractNum w:abstractNumId="254">
    <w:nsid w:val="680EA5D1"/>
    <w:multiLevelType w:val="hybridMultilevel"/>
    <w:lvl w:ilvl="0">
      <w:lvlJc w:val="left"/>
      <w:lvlText w:val="(%1)"/>
      <w:numFmt w:val="lowerLetter"/>
      <w:start w:val="7"/>
    </w:lvl>
  </w:abstractNum>
  <w:abstractNum w:abstractNumId="255">
    <w:nsid w:val="4A9554FE"/>
    <w:multiLevelType w:val="hybridMultilevel"/>
    <w:lvl w:ilvl="0">
      <w:lvlJc w:val="left"/>
      <w:lvlText w:val="%1."/>
      <w:numFmt w:val="decimal"/>
      <w:start w:val="41"/>
    </w:lvl>
  </w:abstractNum>
  <w:abstractNum w:abstractNumId="256">
    <w:nsid w:val="392EDBE4"/>
    <w:multiLevelType w:val="hybridMultilevel"/>
    <w:lvl w:ilvl="0">
      <w:lvlJc w:val="left"/>
      <w:lvlText w:val="(%1)"/>
      <w:numFmt w:val="lowerLetter"/>
      <w:start w:val="1"/>
    </w:lvl>
  </w:abstractNum>
  <w:abstractNum w:abstractNumId="257">
    <w:nsid w:val="3D1A2DD9"/>
    <w:multiLevelType w:val="hybridMultilevel"/>
    <w:lvl w:ilvl="0">
      <w:lvlJc w:val="left"/>
      <w:lvlText w:val="(%1)"/>
      <w:numFmt w:val="lowerLetter"/>
      <w:start w:val="3"/>
    </w:lvl>
  </w:abstractNum>
  <w:abstractNum w:abstractNumId="258">
    <w:nsid w:val="7F618FCD"/>
    <w:multiLevelType w:val="hybridMultilevel"/>
    <w:lvl w:ilvl="0">
      <w:lvlJc w:val="left"/>
      <w:lvlText w:val="%1."/>
      <w:numFmt w:val="decimal"/>
      <w:start w:val="43"/>
    </w:lvl>
  </w:abstractNum>
  <w:abstractNum w:abstractNumId="259">
    <w:nsid w:val="7843E45"/>
    <w:multiLevelType w:val="hybridMultilevel"/>
    <w:lvl w:ilvl="0">
      <w:lvlJc w:val="left"/>
      <w:lvlText w:val="(%1)"/>
      <w:numFmt w:val="lowerLetter"/>
      <w:start w:val="1"/>
    </w:lvl>
  </w:abstractNum>
  <w:abstractNum w:abstractNumId="260">
    <w:nsid w:val="9815DA3"/>
    <w:multiLevelType w:val="hybridMultilevel"/>
    <w:lvl w:ilvl="0">
      <w:lvlJc w:val="left"/>
      <w:lvlText w:val="(%1)"/>
      <w:numFmt w:val="lowerLetter"/>
      <w:start w:val="4"/>
    </w:lvl>
  </w:abstractNum>
  <w:abstractNum w:abstractNumId="261">
    <w:nsid w:val="5204A191"/>
    <w:multiLevelType w:val="hybridMultilevel"/>
    <w:lvl w:ilvl="0">
      <w:lvlJc w:val="left"/>
      <w:lvlText w:val="%1."/>
      <w:numFmt w:val="decimal"/>
      <w:start w:val="45"/>
    </w:lvl>
  </w:abstractNum>
  <w:abstractNum w:abstractNumId="262">
    <w:nsid w:val="4C73A9C6"/>
    <w:multiLevelType w:val="hybridMultilevel"/>
    <w:lvl w:ilvl="0">
      <w:lvlJc w:val="left"/>
      <w:lvlText w:val="(%1)"/>
      <w:numFmt w:val="lowerLetter"/>
      <w:start w:val="1"/>
    </w:lvl>
  </w:abstractNum>
  <w:abstractNum w:abstractNumId="263">
    <w:nsid w:val="1C7E3C01"/>
    <w:multiLevelType w:val="hybridMultilevel"/>
    <w:lvl w:ilvl="0">
      <w:lvlJc w:val="left"/>
      <w:lvlText w:val="(%1)"/>
      <w:numFmt w:val="lowerLetter"/>
      <w:start w:val="6"/>
    </w:lvl>
  </w:abstractNum>
  <w:abstractNum w:abstractNumId="264">
    <w:nsid w:val="1C2201FF"/>
    <w:multiLevelType w:val="hybridMultilevel"/>
    <w:lvl w:ilvl="0">
      <w:lvlJc w:val="left"/>
      <w:lvlText w:val="(%1)"/>
      <w:numFmt w:val="lowerLetter"/>
      <w:start w:val="11"/>
    </w:lvl>
  </w:abstractNum>
  <w:abstractNum w:abstractNumId="265">
    <w:nsid w:val="50ABCEC9"/>
    <w:multiLevelType w:val="hybridMultilevel"/>
    <w:lvl w:ilvl="0">
      <w:lvlJc w:val="left"/>
      <w:lvlText w:val="(%1)"/>
      <w:numFmt w:val="lowerLetter"/>
      <w:start w:val="14"/>
    </w:lvl>
  </w:abstractNum>
  <w:abstractNum w:abstractNumId="266">
    <w:nsid w:val="7635AA2A"/>
    <w:multiLevelType w:val="hybridMultilevel"/>
    <w:lvl w:ilvl="0">
      <w:lvlJc w:val="left"/>
      <w:lvlText w:val="(%1)"/>
      <w:numFmt w:val="lowerLetter"/>
      <w:start w:val="16"/>
    </w:lvl>
  </w:abstractNum>
  <w:abstractNum w:abstractNumId="267">
    <w:nsid w:val="5E74C4D9"/>
    <w:multiLevelType w:val="hybridMultilevel"/>
    <w:lvl w:ilvl="0">
      <w:lvlJc w:val="left"/>
      <w:lvlText w:val="(%1)"/>
      <w:numFmt w:val="lowerLetter"/>
      <w:start w:val="17"/>
    </w:lvl>
  </w:abstractNum>
  <w:abstractNum w:abstractNumId="268">
    <w:nsid w:val="3B3EBE15"/>
    <w:multiLevelType w:val="hybridMultilevel"/>
    <w:lvl w:ilvl="0">
      <w:lvlJc w:val="left"/>
      <w:lvlText w:val=""/>
      <w:numFmt w:val="bullet"/>
      <w:start w:val="1"/>
    </w:lvl>
  </w:abstractNum>
  <w:abstractNum w:abstractNumId="269">
    <w:nsid w:val="3822CB01"/>
    <w:multiLevelType w:val="hybridMultilevel"/>
    <w:lvl w:ilvl="0">
      <w:lvlJc w:val="left"/>
      <w:lvlText w:val=""/>
      <w:numFmt w:val="bullet"/>
      <w:start w:val="1"/>
    </w:lvl>
  </w:abstractNum>
  <w:abstractNum w:abstractNumId="270">
    <w:nsid w:val="6CE00443"/>
    <w:multiLevelType w:val="hybridMultilevel"/>
    <w:lvl w:ilvl="0">
      <w:lvlJc w:val="left"/>
      <w:lvlText w:val="%1."/>
      <w:numFmt w:val="decimal"/>
      <w:start w:val="1"/>
    </w:lvl>
  </w:abstractNum>
  <w:abstractNum w:abstractNumId="271">
    <w:nsid w:val="79F0D62F"/>
    <w:multiLevelType w:val="hybridMultilevel"/>
    <w:lvl w:ilvl="0">
      <w:lvlJc w:val="left"/>
      <w:lvlText w:val="(%1)"/>
      <w:numFmt w:val="lowerLetter"/>
      <w:start w:val="1"/>
    </w:lvl>
  </w:abstractNum>
  <w:abstractNum w:abstractNumId="272">
    <w:nsid w:val="7975E8EE"/>
    <w:multiLevelType w:val="hybridMultilevel"/>
    <w:lvl w:ilvl="0">
      <w:lvlJc w:val="left"/>
      <w:lvlText w:val="%1."/>
      <w:numFmt w:val="decimal"/>
      <w:start w:val="2"/>
    </w:lvl>
  </w:abstractNum>
  <w:abstractNum w:abstractNumId="273">
    <w:nsid w:val="73154115"/>
    <w:multiLevelType w:val="hybridMultilevel"/>
    <w:lvl w:ilvl="0">
      <w:lvlJc w:val="left"/>
      <w:lvlText w:val="(%1)"/>
      <w:numFmt w:val="lowerLetter"/>
      <w:start w:val="1"/>
    </w:lvl>
  </w:abstractNum>
  <w:abstractNum w:abstractNumId="274">
    <w:nsid w:val="622D8102"/>
    <w:multiLevelType w:val="hybridMultilevel"/>
    <w:lvl w:ilvl="0">
      <w:lvlJc w:val="left"/>
      <w:lvlText w:val="(%1)"/>
      <w:numFmt w:val="lowerLetter"/>
      <w:start w:val="5"/>
    </w:lvl>
  </w:abstractNum>
  <w:abstractNum w:abstractNumId="275">
    <w:nsid w:val="2AB26587"/>
    <w:multiLevelType w:val="hybridMultilevel"/>
    <w:lvl w:ilvl="0">
      <w:lvlJc w:val="left"/>
      <w:lvlText w:val="%1."/>
      <w:numFmt w:val="decimal"/>
      <w:start w:val="3"/>
    </w:lvl>
  </w:abstractNum>
  <w:abstractNum w:abstractNumId="276">
    <w:nsid w:val="44B3FA61"/>
    <w:multiLevelType w:val="hybridMultilevel"/>
    <w:lvl w:ilvl="0">
      <w:lvlJc w:val="left"/>
      <w:lvlText w:val="(%1)"/>
      <w:numFmt w:val="lowerLetter"/>
      <w:start w:val="1"/>
    </w:lvl>
  </w:abstractNum>
  <w:abstractNum w:abstractNumId="277">
    <w:nsid w:val="1C0CA67C"/>
    <w:multiLevelType w:val="hybridMultilevel"/>
    <w:lvl w:ilvl="0">
      <w:lvlJc w:val="left"/>
      <w:lvlText w:val="(%1)"/>
      <w:numFmt w:val="lowerLetter"/>
      <w:start w:val="5"/>
    </w:lvl>
  </w:abstractNum>
  <w:abstractNum w:abstractNumId="278">
    <w:nsid w:val="3D206613"/>
    <w:multiLevelType w:val="hybridMultilevel"/>
    <w:lvl w:ilvl="0">
      <w:lvlJc w:val="left"/>
      <w:lvlText w:val="(%1)"/>
      <w:numFmt w:val="lowerLetter"/>
      <w:start w:val="7"/>
    </w:lvl>
  </w:abstractNum>
  <w:abstractNum w:abstractNumId="279">
    <w:nsid w:val="7993B662"/>
    <w:multiLevelType w:val="hybridMultilevel"/>
    <w:lvl w:ilvl="0">
      <w:lvlJc w:val="left"/>
      <w:lvlText w:val="(%1)"/>
      <w:numFmt w:val="lowerRoman"/>
      <w:start w:val="1"/>
    </w:lvl>
  </w:abstractNum>
  <w:abstractNum w:abstractNumId="280">
    <w:nsid w:val="3BAB699E"/>
    <w:multiLevelType w:val="hybridMultilevel"/>
    <w:lvl w:ilvl="0">
      <w:lvlJc w:val="left"/>
      <w:lvlText w:val="%1."/>
      <w:numFmt w:val="decimal"/>
      <w:start w:val="4"/>
    </w:lvl>
  </w:abstractNum>
  <w:abstractNum w:abstractNumId="281">
    <w:nsid w:val="71315369"/>
    <w:multiLevelType w:val="hybridMultilevel"/>
    <w:lvl w:ilvl="0">
      <w:lvlJc w:val="left"/>
      <w:lvlText w:val="(%1)"/>
      <w:numFmt w:val="lowerLetter"/>
      <w:start w:val="1"/>
    </w:lvl>
  </w:abstractNum>
  <w:abstractNum w:abstractNumId="282">
    <w:nsid w:val="7BCFBAFC"/>
    <w:multiLevelType w:val="hybridMultilevel"/>
    <w:lvl w:ilvl="0">
      <w:lvlJc w:val="left"/>
      <w:lvlText w:val="(%1)"/>
      <w:numFmt w:val="lowerLetter"/>
      <w:start w:val="2"/>
    </w:lvl>
  </w:abstractNum>
  <w:abstractNum w:abstractNumId="283">
    <w:nsid w:val="17859F72"/>
    <w:multiLevelType w:val="hybridMultilevel"/>
    <w:lvl w:ilvl="0">
      <w:lvlJc w:val="left"/>
      <w:lvlText w:val="%1."/>
      <w:numFmt w:val="decimal"/>
      <w:start w:val="5"/>
    </w:lvl>
  </w:abstractNum>
  <w:abstractNum w:abstractNumId="284">
    <w:nsid w:val="3AA10581"/>
    <w:multiLevelType w:val="hybridMultilevel"/>
    <w:lvl w:ilvl="0">
      <w:lvlJc w:val="left"/>
      <w:lvlText w:val="(%1)"/>
      <w:numFmt w:val="lowerLetter"/>
      <w:start w:val="1"/>
    </w:lvl>
    <w:lvl w:ilvl="1">
      <w:lvlJc w:val="left"/>
      <w:lvlText w:val="(%2)"/>
      <w:numFmt w:val="lowerRoman"/>
      <w:start w:val="1"/>
    </w:lvl>
  </w:abstractNum>
  <w:abstractNum w:abstractNumId="285">
    <w:nsid w:val="63DE60CD"/>
    <w:multiLevelType w:val="hybridMultilevel"/>
    <w:lvl w:ilvl="0">
      <w:lvlJc w:val="left"/>
      <w:lvlText w:val="(%1)"/>
      <w:numFmt w:val="lowerLetter"/>
      <w:start w:val="3"/>
    </w:lvl>
  </w:abstractNum>
  <w:abstractNum w:abstractNumId="286">
    <w:nsid w:val="621AF471"/>
    <w:multiLevelType w:val="hybridMultilevel"/>
    <w:lvl w:ilvl="0">
      <w:lvlJc w:val="left"/>
      <w:lvlText w:val="%1."/>
      <w:numFmt w:val="decimal"/>
      <w:start w:val="6"/>
    </w:lvl>
  </w:abstractNum>
  <w:abstractNum w:abstractNumId="287">
    <w:nsid w:val="73CFE165"/>
    <w:multiLevelType w:val="hybridMultilevel"/>
    <w:lvl w:ilvl="0">
      <w:lvlJc w:val="left"/>
      <w:lvlText w:val="%1"/>
      <w:numFmt w:val="lowerLetter"/>
      <w:start w:val="1"/>
    </w:lvl>
    <w:lvl w:ilvl="1">
      <w:lvlJc w:val="left"/>
      <w:lvlText w:val="(%2)"/>
      <w:numFmt w:val="lowerLetter"/>
      <w:start w:val="1"/>
    </w:lvl>
  </w:abstractNum>
  <w:abstractNum w:abstractNumId="288">
    <w:nsid w:val="20F88EA6"/>
    <w:multiLevelType w:val="hybridMultilevel"/>
    <w:lvl w:ilvl="0">
      <w:lvlJc w:val="left"/>
      <w:lvlText w:val="(%1)"/>
      <w:numFmt w:val="lowerLetter"/>
      <w:start w:val="9"/>
    </w:lvl>
    <w:lvl w:ilvl="1">
      <w:lvlJc w:val="left"/>
      <w:lvlText w:val="(%2)"/>
      <w:numFmt w:val="lowerLetter"/>
      <w:start w:val="2"/>
    </w:lvl>
  </w:abstractNum>
  <w:abstractNum w:abstractNumId="289">
    <w:nsid w:val="617C843E"/>
    <w:multiLevelType w:val="hybridMultilevel"/>
    <w:lvl w:ilvl="0">
      <w:lvlJc w:val="left"/>
      <w:lvlText w:val="%1."/>
      <w:numFmt w:val="decimal"/>
      <w:start w:val="7"/>
    </w:lvl>
  </w:abstractNum>
  <w:abstractNum w:abstractNumId="290">
    <w:nsid w:val="7B541FAB"/>
    <w:multiLevelType w:val="hybridMultilevel"/>
    <w:lvl w:ilvl="0">
      <w:lvlJc w:val="left"/>
      <w:lvlText w:val="(%1)"/>
      <w:numFmt w:val="lowerLetter"/>
      <w:start w:val="1"/>
    </w:lvl>
  </w:abstractNum>
  <w:abstractNum w:abstractNumId="291">
    <w:nsid w:val="2A79EC49"/>
    <w:multiLevelType w:val="hybridMultilevel"/>
    <w:lvl w:ilvl="0">
      <w:lvlJc w:val="left"/>
      <w:lvlText w:val="%1."/>
      <w:numFmt w:val="decimal"/>
      <w:start w:val="1"/>
    </w:lvl>
  </w:abstractNum>
  <w:abstractNum w:abstractNumId="292">
    <w:nsid w:val="338125CF"/>
    <w:multiLevelType w:val="hybridMultilevel"/>
    <w:lvl w:ilvl="0">
      <w:lvlJc w:val="left"/>
      <w:lvlText w:val="%1."/>
      <w:numFmt w:val="decimal"/>
      <w:start w:val="8"/>
    </w:lvl>
  </w:abstractNum>
  <w:abstractNum w:abstractNumId="293">
    <w:nsid w:val="47C7C971"/>
    <w:multiLevelType w:val="hybridMultilevel"/>
    <w:lvl w:ilvl="0">
      <w:lvlJc w:val="left"/>
      <w:lvlText w:val="%1."/>
      <w:numFmt w:val="decimal"/>
      <w:start w:val="19"/>
    </w:lvl>
  </w:abstractNum>
  <w:abstractNum w:abstractNumId="294">
    <w:nsid w:val="46F8284B"/>
    <w:multiLevelType w:val="hybridMultilevel"/>
    <w:lvl w:ilvl="0">
      <w:lvlJc w:val="left"/>
      <w:lvlText w:val="(%1)"/>
      <w:numFmt w:val="decimal"/>
      <w:start w:val="1"/>
    </w:lvl>
  </w:abstractNum>
  <w:abstractNum w:abstractNumId="295">
    <w:nsid w:val="4FA327CE"/>
    <w:multiLevelType w:val="hybridMultilevel"/>
    <w:lvl w:ilvl="0">
      <w:lvlJc w:val="left"/>
      <w:lvlText w:val="%1."/>
      <w:numFmt w:val="decimal"/>
      <w:start w:val="1"/>
    </w:lvl>
    <w:lvl w:ilvl="1">
      <w:lvlJc w:val="left"/>
      <w:lvlText w:val="(%2)"/>
      <w:numFmt w:val="lowerLetter"/>
      <w:start w:val="1"/>
    </w:lvl>
  </w:abstractNum>
  <w:abstractNum w:abstractNumId="296">
    <w:nsid w:val="1873983A"/>
    <w:multiLevelType w:val="hybridMultilevel"/>
    <w:lvl w:ilvl="0">
      <w:lvlJc w:val="left"/>
      <w:lvlText w:val="%1."/>
      <w:numFmt w:val="decimal"/>
      <w:start w:val="1"/>
    </w:lvl>
    <w:lvl w:ilvl="1">
      <w:lvlJc w:val="left"/>
      <w:lvlText w:val="(%2)"/>
      <w:numFmt w:val="lowerLetter"/>
      <w:start w:val="1"/>
    </w:lvl>
  </w:abstractNum>
  <w:abstractNum w:abstractNumId="297">
    <w:nsid w:val="3D2DD275"/>
    <w:multiLevelType w:val="hybridMultilevel"/>
    <w:lvl w:ilvl="0">
      <w:lvlJc w:val="left"/>
      <w:lvlText w:val="(%1)"/>
      <w:numFmt w:val="decimal"/>
      <w:start w:val="1"/>
    </w:lvl>
  </w:abstractNum>
  <w:abstractNum w:abstractNumId="298">
    <w:nsid w:val="2E17ECA7"/>
    <w:multiLevelType w:val="hybridMultilevel"/>
    <w:lvl w:ilvl="0">
      <w:lvlJc w:val="left"/>
      <w:lvlText w:val="(%1)"/>
      <w:numFmt w:val="decimal"/>
      <w:start w:val="1"/>
    </w:lvl>
  </w:abstractNum>
  <w:abstractNum w:abstractNumId="299">
    <w:nsid w:val="53B2564F"/>
    <w:multiLevelType w:val="hybridMultilevel"/>
    <w:lvl w:ilvl="0">
      <w:lvlJc w:val="left"/>
      <w:lvlText w:val="%1."/>
      <w:numFmt w:val="decimal"/>
      <w:start w:val="1"/>
    </w:lvl>
  </w:abstractNum>
  <w:abstractNum w:abstractNumId="300">
    <w:nsid w:val="75509D76"/>
    <w:multiLevelType w:val="hybridMultilevel"/>
    <w:lvl w:ilvl="0">
      <w:lvlJc w:val="left"/>
      <w:lvlText w:val="%1."/>
      <w:numFmt w:val="decimal"/>
      <w:start w:val="2"/>
    </w:lvl>
  </w:abstractNum>
  <w:abstractNum w:abstractNumId="301">
    <w:nsid w:val="1AF7F0EA"/>
    <w:multiLevelType w:val="hybridMultilevel"/>
    <w:lvl w:ilvl="0">
      <w:lvlJc w:val="left"/>
      <w:lvlText w:val="%1."/>
      <w:numFmt w:val="decimal"/>
      <w:start w:val="3"/>
    </w:lvl>
    <w:lvl w:ilvl="1">
      <w:lvlJc w:val="left"/>
      <w:lvlText w:val="%2."/>
      <w:numFmt w:val="lowerLetter"/>
      <w:start w:val="1"/>
    </w:lvl>
  </w:abstractNum>
  <w:abstractNum w:abstractNumId="302">
    <w:nsid w:val="4DA32C7E"/>
    <w:multiLevelType w:val="hybridMultilevel"/>
    <w:lvl w:ilvl="0">
      <w:lvlJc w:val="left"/>
      <w:lvlText w:val="%1."/>
      <w:numFmt w:val="lowerLetter"/>
      <w:start w:val="5"/>
    </w:lvl>
  </w:abstractNum>
  <w:abstractNum w:abstractNumId="303">
    <w:nsid w:val="6EC68664"/>
    <w:multiLevelType w:val="hybridMultilevel"/>
    <w:lvl w:ilvl="0">
      <w:lvlJc w:val="left"/>
      <w:lvlText w:val="%1."/>
      <w:numFmt w:val="lowerLetter"/>
      <w:start w:val="10"/>
    </w:lvl>
  </w:abstractNum>
  <w:abstractNum w:abstractNumId="304">
    <w:nsid w:val="E0D31FF"/>
    <w:multiLevelType w:val="hybridMultilevel"/>
    <w:lvl w:ilvl="0">
      <w:lvlJc w:val="left"/>
      <w:lvlText w:val="%1."/>
      <w:numFmt w:val="decimal"/>
      <w:start w:val="4"/>
    </w:lvl>
  </w:abstractNum>
  <w:abstractNum w:abstractNumId="305">
    <w:nsid w:val="2FD0AD81"/>
    <w:multiLevelType w:val="hybridMultilevel"/>
    <w:lvl w:ilvl="0">
      <w:lvlJc w:val="left"/>
      <w:lvlText w:val="%1."/>
      <w:numFmt w:val="decimal"/>
      <w:start w:val="5"/>
    </w:lvl>
  </w:abstractNum>
  <w:abstractNum w:abstractNumId="306">
    <w:nsid w:val="1978EBEB"/>
    <w:multiLevelType w:val="hybridMultilevel"/>
    <w:lvl w:ilvl="0">
      <w:lvlJc w:val="left"/>
      <w:lvlText w:val="%1."/>
      <w:numFmt w:val="decimal"/>
      <w:start w:val="6"/>
    </w:lvl>
  </w:abstractNum>
  <w:abstractNum w:abstractNumId="307">
    <w:nsid w:val="52C12C61"/>
    <w:multiLevelType w:val="hybridMultilevel"/>
    <w:lvl w:ilvl="0">
      <w:lvlJc w:val="left"/>
      <w:lvlText w:val="%1."/>
      <w:numFmt w:val="lowerLetter"/>
      <w:start w:val="1"/>
    </w:lvl>
  </w:abstractNum>
  <w:abstractNum w:abstractNumId="308">
    <w:nsid w:val="4BDD53FD"/>
    <w:multiLevelType w:val="hybridMultilevel"/>
    <w:lvl w:ilvl="0">
      <w:lvlJc w:val="left"/>
      <w:lvlText w:val="%1."/>
      <w:numFmt w:val="decimal"/>
      <w:start w:val="7"/>
    </w:lvl>
  </w:abstractNum>
  <w:abstractNum w:abstractNumId="309">
    <w:nsid w:val="569951FE"/>
    <w:multiLevelType w:val="hybridMultilevel"/>
    <w:lvl w:ilvl="0">
      <w:lvlJc w:val="left"/>
      <w:lvlText w:val="%1."/>
      <w:numFmt w:val="decimal"/>
      <w:start w:val="8"/>
    </w:lvl>
  </w:abstractNum>
  <w:abstractNum w:abstractNumId="310">
    <w:nsid w:val="4C54E2C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7" Type="http://schemas.openxmlformats.org/officeDocument/2006/relationships/image" Target="media/image402.png"/><Relationship Id="rId428" Type="http://schemas.openxmlformats.org/officeDocument/2006/relationships/image" Target="media/image403.png"/><Relationship Id="rId429" Type="http://schemas.openxmlformats.org/officeDocument/2006/relationships/image" Target="media/image404.png"/><Relationship Id="rId430" Type="http://schemas.openxmlformats.org/officeDocument/2006/relationships/image" Target="media/image405.png"/><Relationship Id="rId431" Type="http://schemas.openxmlformats.org/officeDocument/2006/relationships/image" Target="media/image406.png"/><Relationship Id="rId432" Type="http://schemas.openxmlformats.org/officeDocument/2006/relationships/image" Target="media/image407.png"/><Relationship Id="rId433" Type="http://schemas.openxmlformats.org/officeDocument/2006/relationships/image" Target="media/image408.png"/><Relationship Id="rId434" Type="http://schemas.openxmlformats.org/officeDocument/2006/relationships/image" Target="media/image409.png"/><Relationship Id="rId435" Type="http://schemas.openxmlformats.org/officeDocument/2006/relationships/image" Target="media/image410.png"/><Relationship Id="rId436" Type="http://schemas.openxmlformats.org/officeDocument/2006/relationships/image" Target="media/image411.png"/><Relationship Id="rId437" Type="http://schemas.openxmlformats.org/officeDocument/2006/relationships/image" Target="media/image412.png"/><Relationship Id="rId438" Type="http://schemas.openxmlformats.org/officeDocument/2006/relationships/image" Target="media/image413.png"/><Relationship Id="rId439" Type="http://schemas.openxmlformats.org/officeDocument/2006/relationships/image" Target="media/image414.png"/><Relationship Id="rId440" Type="http://schemas.openxmlformats.org/officeDocument/2006/relationships/image" Target="media/image415.png"/><Relationship Id="rId441" Type="http://schemas.openxmlformats.org/officeDocument/2006/relationships/image" Target="media/image416.png"/><Relationship Id="rId442" Type="http://schemas.openxmlformats.org/officeDocument/2006/relationships/image" Target="media/image417.png"/><Relationship Id="rId443" Type="http://schemas.openxmlformats.org/officeDocument/2006/relationships/image" Target="media/image418.png"/><Relationship Id="rId444" Type="http://schemas.openxmlformats.org/officeDocument/2006/relationships/image" Target="media/image419.png"/><Relationship Id="rId445" Type="http://schemas.openxmlformats.org/officeDocument/2006/relationships/image" Target="media/image420.png"/><Relationship Id="rId446" Type="http://schemas.openxmlformats.org/officeDocument/2006/relationships/image" Target="media/image421.png"/><Relationship Id="rId447" Type="http://schemas.openxmlformats.org/officeDocument/2006/relationships/image" Target="media/image422.png"/><Relationship Id="rId448" Type="http://schemas.openxmlformats.org/officeDocument/2006/relationships/image" Target="media/image423.png"/><Relationship Id="rId449" Type="http://schemas.openxmlformats.org/officeDocument/2006/relationships/image" Target="media/image424.png"/><Relationship Id="rId450" Type="http://schemas.openxmlformats.org/officeDocument/2006/relationships/image" Target="media/image425.png"/><Relationship Id="rId451" Type="http://schemas.openxmlformats.org/officeDocument/2006/relationships/image" Target="media/image426.png"/><Relationship Id="rId452" Type="http://schemas.openxmlformats.org/officeDocument/2006/relationships/image" Target="media/image427.png"/><Relationship Id="rId453" Type="http://schemas.openxmlformats.org/officeDocument/2006/relationships/image" Target="media/image428.png"/><Relationship Id="rId454" Type="http://schemas.openxmlformats.org/officeDocument/2006/relationships/image" Target="media/image429.png"/><Relationship Id="rId455" Type="http://schemas.openxmlformats.org/officeDocument/2006/relationships/image" Target="media/image430.png"/><Relationship Id="rId456" Type="http://schemas.openxmlformats.org/officeDocument/2006/relationships/image" Target="media/image431.png"/><Relationship Id="rId457" Type="http://schemas.openxmlformats.org/officeDocument/2006/relationships/image" Target="media/image432.png"/><Relationship Id="rId458" Type="http://schemas.openxmlformats.org/officeDocument/2006/relationships/image" Target="media/image433.png"/><Relationship Id="rId459" Type="http://schemas.openxmlformats.org/officeDocument/2006/relationships/image" Target="media/image434.png"/><Relationship Id="rId460" Type="http://schemas.openxmlformats.org/officeDocument/2006/relationships/image" Target="media/image435.png"/><Relationship Id="rId461" Type="http://schemas.openxmlformats.org/officeDocument/2006/relationships/image" Target="media/image436.png"/><Relationship Id="rId462" Type="http://schemas.openxmlformats.org/officeDocument/2006/relationships/image" Target="media/image437.png"/><Relationship Id="rId463" Type="http://schemas.openxmlformats.org/officeDocument/2006/relationships/image" Target="media/image438.png"/><Relationship Id="rId464" Type="http://schemas.openxmlformats.org/officeDocument/2006/relationships/image" Target="media/image439.png"/><Relationship Id="rId465" Type="http://schemas.openxmlformats.org/officeDocument/2006/relationships/image" Target="media/image440.png"/><Relationship Id="rId466" Type="http://schemas.openxmlformats.org/officeDocument/2006/relationships/image" Target="media/image441.png"/><Relationship Id="rId467" Type="http://schemas.openxmlformats.org/officeDocument/2006/relationships/image" Target="media/image442.png"/><Relationship Id="rId468" Type="http://schemas.openxmlformats.org/officeDocument/2006/relationships/image" Target="media/image443.png"/><Relationship Id="rId469" Type="http://schemas.openxmlformats.org/officeDocument/2006/relationships/image" Target="media/image444.png"/><Relationship Id="rId470" Type="http://schemas.openxmlformats.org/officeDocument/2006/relationships/image" Target="media/image445.png"/><Relationship Id="rId471" Type="http://schemas.openxmlformats.org/officeDocument/2006/relationships/image" Target="media/image446.png"/><Relationship Id="rId472" Type="http://schemas.openxmlformats.org/officeDocument/2006/relationships/image" Target="media/image447.png"/><Relationship Id="rId473" Type="http://schemas.openxmlformats.org/officeDocument/2006/relationships/image" Target="media/image448.png"/><Relationship Id="rId474" Type="http://schemas.openxmlformats.org/officeDocument/2006/relationships/image" Target="media/image449.png"/><Relationship Id="rId475" Type="http://schemas.openxmlformats.org/officeDocument/2006/relationships/image" Target="media/image450.png"/><Relationship Id="rId476" Type="http://schemas.openxmlformats.org/officeDocument/2006/relationships/image" Target="media/image451.png"/><Relationship Id="rId477" Type="http://schemas.openxmlformats.org/officeDocument/2006/relationships/image" Target="media/image452.png"/><Relationship Id="rId478" Type="http://schemas.openxmlformats.org/officeDocument/2006/relationships/image" Target="media/image453.png"/><Relationship Id="rId479" Type="http://schemas.openxmlformats.org/officeDocument/2006/relationships/image" Target="media/image454.png"/><Relationship Id="rId480" Type="http://schemas.openxmlformats.org/officeDocument/2006/relationships/image" Target="media/image455.png"/><Relationship Id="rId481" Type="http://schemas.openxmlformats.org/officeDocument/2006/relationships/image" Target="media/image456.png"/><Relationship Id="rId482" Type="http://schemas.openxmlformats.org/officeDocument/2006/relationships/image" Target="media/image457.png"/><Relationship Id="rId483" Type="http://schemas.openxmlformats.org/officeDocument/2006/relationships/image" Target="media/image458.png"/><Relationship Id="rId484" Type="http://schemas.openxmlformats.org/officeDocument/2006/relationships/image" Target="media/image459.png"/><Relationship Id="rId485" Type="http://schemas.openxmlformats.org/officeDocument/2006/relationships/image" Target="media/image460.png"/><Relationship Id="rId486" Type="http://schemas.openxmlformats.org/officeDocument/2006/relationships/image" Target="media/image461.png"/><Relationship Id="rId487" Type="http://schemas.openxmlformats.org/officeDocument/2006/relationships/image" Target="media/image462.png"/><Relationship Id="rId488" Type="http://schemas.openxmlformats.org/officeDocument/2006/relationships/image" Target="media/image463.png"/><Relationship Id="rId489" Type="http://schemas.openxmlformats.org/officeDocument/2006/relationships/image" Target="media/image464.png"/><Relationship Id="rId490" Type="http://schemas.openxmlformats.org/officeDocument/2006/relationships/image" Target="media/image465.png"/><Relationship Id="rId491" Type="http://schemas.openxmlformats.org/officeDocument/2006/relationships/image" Target="media/image466.png"/><Relationship Id="rId492" Type="http://schemas.openxmlformats.org/officeDocument/2006/relationships/image" Target="media/image467.png"/><Relationship Id="rId493" Type="http://schemas.openxmlformats.org/officeDocument/2006/relationships/image" Target="media/image468.png"/><Relationship Id="rId494" Type="http://schemas.openxmlformats.org/officeDocument/2006/relationships/image" Target="media/image469.png"/><Relationship Id="rId495" Type="http://schemas.openxmlformats.org/officeDocument/2006/relationships/image" Target="media/image470.png"/><Relationship Id="rId496" Type="http://schemas.openxmlformats.org/officeDocument/2006/relationships/image" Target="media/image471.png"/><Relationship Id="rId497" Type="http://schemas.openxmlformats.org/officeDocument/2006/relationships/image" Target="media/image472.png"/><Relationship Id="rId498" Type="http://schemas.openxmlformats.org/officeDocument/2006/relationships/image" Target="media/image473.png"/><Relationship Id="rId499" Type="http://schemas.openxmlformats.org/officeDocument/2006/relationships/image" Target="media/image474.png"/><Relationship Id="rId500" Type="http://schemas.openxmlformats.org/officeDocument/2006/relationships/image" Target="media/image475.png"/><Relationship Id="rId501" Type="http://schemas.openxmlformats.org/officeDocument/2006/relationships/image" Target="media/image476.png"/><Relationship Id="rId502" Type="http://schemas.openxmlformats.org/officeDocument/2006/relationships/image" Target="media/image477.png"/><Relationship Id="rId503" Type="http://schemas.openxmlformats.org/officeDocument/2006/relationships/image" Target="media/image478.png"/><Relationship Id="rId504" Type="http://schemas.openxmlformats.org/officeDocument/2006/relationships/image" Target="media/image479.png"/><Relationship Id="rId505" Type="http://schemas.openxmlformats.org/officeDocument/2006/relationships/image" Target="media/image480.png"/><Relationship Id="rId506" Type="http://schemas.openxmlformats.org/officeDocument/2006/relationships/image" Target="media/image481.png"/><Relationship Id="rId507" Type="http://schemas.openxmlformats.org/officeDocument/2006/relationships/image" Target="media/image482.png"/><Relationship Id="rId508" Type="http://schemas.openxmlformats.org/officeDocument/2006/relationships/image" Target="media/image483.png"/><Relationship Id="rId509" Type="http://schemas.openxmlformats.org/officeDocument/2006/relationships/image" Target="media/image484.png"/><Relationship Id="rId510" Type="http://schemas.openxmlformats.org/officeDocument/2006/relationships/image" Target="media/image485.png"/><Relationship Id="rId511" Type="http://schemas.openxmlformats.org/officeDocument/2006/relationships/image" Target="media/image486.png"/><Relationship Id="rId512" Type="http://schemas.openxmlformats.org/officeDocument/2006/relationships/image" Target="media/image487.png"/><Relationship Id="rId513" Type="http://schemas.openxmlformats.org/officeDocument/2006/relationships/image" Target="media/image488.png"/><Relationship Id="rId514" Type="http://schemas.openxmlformats.org/officeDocument/2006/relationships/image" Target="media/image489.png"/><Relationship Id="rId515" Type="http://schemas.openxmlformats.org/officeDocument/2006/relationships/image" Target="media/image490.png"/><Relationship Id="rId516" Type="http://schemas.openxmlformats.org/officeDocument/2006/relationships/image" Target="media/image491.png"/><Relationship Id="rId517" Type="http://schemas.openxmlformats.org/officeDocument/2006/relationships/image" Target="media/image492.png"/><Relationship Id="rId518" Type="http://schemas.openxmlformats.org/officeDocument/2006/relationships/image" Target="media/image493.png"/><Relationship Id="rId519" Type="http://schemas.openxmlformats.org/officeDocument/2006/relationships/image" Target="media/image494.png"/><Relationship Id="rId520" Type="http://schemas.openxmlformats.org/officeDocument/2006/relationships/image" Target="media/image495.png"/><Relationship Id="rId521" Type="http://schemas.openxmlformats.org/officeDocument/2006/relationships/image" Target="media/image496.png"/><Relationship Id="rId522" Type="http://schemas.openxmlformats.org/officeDocument/2006/relationships/image" Target="media/image497.png"/><Relationship Id="rId523" Type="http://schemas.openxmlformats.org/officeDocument/2006/relationships/image" Target="media/image498.png"/><Relationship Id="rId524" Type="http://schemas.openxmlformats.org/officeDocument/2006/relationships/image" Target="media/image499.png"/><Relationship Id="rId525" Type="http://schemas.openxmlformats.org/officeDocument/2006/relationships/image" Target="media/image500.png"/><Relationship Id="rId526" Type="http://schemas.openxmlformats.org/officeDocument/2006/relationships/image" Target="media/image501.png"/><Relationship Id="rId527" Type="http://schemas.openxmlformats.org/officeDocument/2006/relationships/image" Target="media/image502.png"/><Relationship Id="rId528" Type="http://schemas.openxmlformats.org/officeDocument/2006/relationships/image" Target="media/image503.png"/><Relationship Id="rId529" Type="http://schemas.openxmlformats.org/officeDocument/2006/relationships/image" Target="media/image504.png"/><Relationship Id="rId530" Type="http://schemas.openxmlformats.org/officeDocument/2006/relationships/image" Target="media/image505.png"/><Relationship Id="rId531" Type="http://schemas.openxmlformats.org/officeDocument/2006/relationships/image" Target="media/image506.png"/><Relationship Id="rId532" Type="http://schemas.openxmlformats.org/officeDocument/2006/relationships/image" Target="media/image507.png"/><Relationship Id="rId533" Type="http://schemas.openxmlformats.org/officeDocument/2006/relationships/image" Target="media/image508.png"/><Relationship Id="rId534" Type="http://schemas.openxmlformats.org/officeDocument/2006/relationships/image" Target="media/image509.png"/><Relationship Id="rId535" Type="http://schemas.openxmlformats.org/officeDocument/2006/relationships/image" Target="media/image510.png"/><Relationship Id="rId536" Type="http://schemas.openxmlformats.org/officeDocument/2006/relationships/image" Target="media/image511.png"/><Relationship Id="rId537" Type="http://schemas.openxmlformats.org/officeDocument/2006/relationships/image" Target="media/image512.png"/><Relationship Id="rId538" Type="http://schemas.openxmlformats.org/officeDocument/2006/relationships/image" Target="media/image513.png"/><Relationship Id="rId539" Type="http://schemas.openxmlformats.org/officeDocument/2006/relationships/image" Target="media/image514.png"/><Relationship Id="rId540" Type="http://schemas.openxmlformats.org/officeDocument/2006/relationships/image" Target="media/image515.png"/><Relationship Id="rId541" Type="http://schemas.openxmlformats.org/officeDocument/2006/relationships/image" Target="media/image516.png"/><Relationship Id="rId542" Type="http://schemas.openxmlformats.org/officeDocument/2006/relationships/image" Target="media/image517.png"/><Relationship Id="rId543" Type="http://schemas.openxmlformats.org/officeDocument/2006/relationships/image" Target="media/image518.png"/><Relationship Id="rId544" Type="http://schemas.openxmlformats.org/officeDocument/2006/relationships/image" Target="media/image519.png"/><Relationship Id="rId545" Type="http://schemas.openxmlformats.org/officeDocument/2006/relationships/image" Target="media/image520.png"/><Relationship Id="rId546" Type="http://schemas.openxmlformats.org/officeDocument/2006/relationships/image" Target="media/image521.png"/><Relationship Id="rId547" Type="http://schemas.openxmlformats.org/officeDocument/2006/relationships/image" Target="media/image522.png"/><Relationship Id="rId548" Type="http://schemas.openxmlformats.org/officeDocument/2006/relationships/image" Target="media/image523.png"/><Relationship Id="rId549" Type="http://schemas.openxmlformats.org/officeDocument/2006/relationships/image" Target="media/image524.png"/><Relationship Id="rId550" Type="http://schemas.openxmlformats.org/officeDocument/2006/relationships/image" Target="media/image525.png"/><Relationship Id="rId551" Type="http://schemas.openxmlformats.org/officeDocument/2006/relationships/image" Target="media/image526.png"/><Relationship Id="rId552" Type="http://schemas.openxmlformats.org/officeDocument/2006/relationships/image" Target="media/image527.png"/><Relationship Id="rId553" Type="http://schemas.openxmlformats.org/officeDocument/2006/relationships/image" Target="media/image528.png"/><Relationship Id="rId554" Type="http://schemas.openxmlformats.org/officeDocument/2006/relationships/image" Target="media/image529.png"/><Relationship Id="rId555" Type="http://schemas.openxmlformats.org/officeDocument/2006/relationships/image" Target="media/image530.png"/><Relationship Id="rId556" Type="http://schemas.openxmlformats.org/officeDocument/2006/relationships/image" Target="media/image531.png"/><Relationship Id="rId557" Type="http://schemas.openxmlformats.org/officeDocument/2006/relationships/image" Target="media/image532.png"/><Relationship Id="rId558" Type="http://schemas.openxmlformats.org/officeDocument/2006/relationships/image" Target="media/image533.png"/><Relationship Id="rId559" Type="http://schemas.openxmlformats.org/officeDocument/2006/relationships/image" Target="media/image534.png"/><Relationship Id="rId560" Type="http://schemas.openxmlformats.org/officeDocument/2006/relationships/image" Target="media/image535.png"/><Relationship Id="rId561" Type="http://schemas.openxmlformats.org/officeDocument/2006/relationships/image" Target="media/image536.png"/><Relationship Id="rId562" Type="http://schemas.openxmlformats.org/officeDocument/2006/relationships/image" Target="media/image537.png"/><Relationship Id="rId563" Type="http://schemas.openxmlformats.org/officeDocument/2006/relationships/image" Target="media/image538.png"/><Relationship Id="rId564" Type="http://schemas.openxmlformats.org/officeDocument/2006/relationships/image" Target="media/image539.png"/><Relationship Id="rId565" Type="http://schemas.openxmlformats.org/officeDocument/2006/relationships/image" Target="media/image540.png"/><Relationship Id="rId566" Type="http://schemas.openxmlformats.org/officeDocument/2006/relationships/image" Target="media/image541.png"/><Relationship Id="rId567" Type="http://schemas.openxmlformats.org/officeDocument/2006/relationships/image" Target="media/image542.png"/><Relationship Id="rId568" Type="http://schemas.openxmlformats.org/officeDocument/2006/relationships/image" Target="media/image543.png"/><Relationship Id="rId569" Type="http://schemas.openxmlformats.org/officeDocument/2006/relationships/image" Target="media/image544.png"/><Relationship Id="rId570" Type="http://schemas.openxmlformats.org/officeDocument/2006/relationships/image" Target="media/image545.png"/><Relationship Id="rId571" Type="http://schemas.openxmlformats.org/officeDocument/2006/relationships/image" Target="media/image546.png"/><Relationship Id="rId572" Type="http://schemas.openxmlformats.org/officeDocument/2006/relationships/image" Target="media/image547.png"/><Relationship Id="rId573" Type="http://schemas.openxmlformats.org/officeDocument/2006/relationships/image" Target="media/image548.png"/><Relationship Id="rId574" Type="http://schemas.openxmlformats.org/officeDocument/2006/relationships/image" Target="media/image549.png"/><Relationship Id="rId575" Type="http://schemas.openxmlformats.org/officeDocument/2006/relationships/image" Target="media/image550.png"/><Relationship Id="rId576" Type="http://schemas.openxmlformats.org/officeDocument/2006/relationships/image" Target="media/image551.png"/><Relationship Id="rId577" Type="http://schemas.openxmlformats.org/officeDocument/2006/relationships/image" Target="media/image552.png"/><Relationship Id="rId578" Type="http://schemas.openxmlformats.org/officeDocument/2006/relationships/image" Target="media/image553.png"/><Relationship Id="rId579" Type="http://schemas.openxmlformats.org/officeDocument/2006/relationships/image" Target="media/image554.png"/><Relationship Id="rId580" Type="http://schemas.openxmlformats.org/officeDocument/2006/relationships/image" Target="media/image555.png"/><Relationship Id="rId581" Type="http://schemas.openxmlformats.org/officeDocument/2006/relationships/image" Target="media/image556.png"/><Relationship Id="rId582" Type="http://schemas.openxmlformats.org/officeDocument/2006/relationships/image" Target="media/image557.png"/><Relationship Id="rId583" Type="http://schemas.openxmlformats.org/officeDocument/2006/relationships/image" Target="media/image558.png"/><Relationship Id="rId584" Type="http://schemas.openxmlformats.org/officeDocument/2006/relationships/image" Target="media/image559.png"/><Relationship Id="rId585" Type="http://schemas.openxmlformats.org/officeDocument/2006/relationships/image" Target="media/image560.png"/><Relationship Id="rId586" Type="http://schemas.openxmlformats.org/officeDocument/2006/relationships/image" Target="media/image561.png"/><Relationship Id="rId587" Type="http://schemas.openxmlformats.org/officeDocument/2006/relationships/image" Target="media/image562.png"/><Relationship Id="rId588" Type="http://schemas.openxmlformats.org/officeDocument/2006/relationships/image" Target="media/image563.png"/><Relationship Id="rId589" Type="http://schemas.openxmlformats.org/officeDocument/2006/relationships/image" Target="media/image564.png"/><Relationship Id="rId590" Type="http://schemas.openxmlformats.org/officeDocument/2006/relationships/image" Target="media/image565.png"/><Relationship Id="rId591" Type="http://schemas.openxmlformats.org/officeDocument/2006/relationships/image" Target="media/image566.png"/><Relationship Id="rId592" Type="http://schemas.openxmlformats.org/officeDocument/2006/relationships/image" Target="media/image567.png"/><Relationship Id="rId593" Type="http://schemas.openxmlformats.org/officeDocument/2006/relationships/image" Target="media/image568.png"/><Relationship Id="rId594" Type="http://schemas.openxmlformats.org/officeDocument/2006/relationships/image" Target="media/image569.png"/><Relationship Id="rId595" Type="http://schemas.openxmlformats.org/officeDocument/2006/relationships/image" Target="media/image570.png"/><Relationship Id="rId596" Type="http://schemas.openxmlformats.org/officeDocument/2006/relationships/image" Target="media/image571.png"/><Relationship Id="rId597" Type="http://schemas.openxmlformats.org/officeDocument/2006/relationships/image" Target="media/image572.png"/><Relationship Id="rId598" Type="http://schemas.openxmlformats.org/officeDocument/2006/relationships/image" Target="media/image573.png"/><Relationship Id="rId599" Type="http://schemas.openxmlformats.org/officeDocument/2006/relationships/image" Target="media/image574.png"/><Relationship Id="rId600" Type="http://schemas.openxmlformats.org/officeDocument/2006/relationships/image" Target="media/image575.png"/><Relationship Id="rId601" Type="http://schemas.openxmlformats.org/officeDocument/2006/relationships/image" Target="media/image576.png"/><Relationship Id="rId602" Type="http://schemas.openxmlformats.org/officeDocument/2006/relationships/image" Target="media/image577.png"/><Relationship Id="rId603" Type="http://schemas.openxmlformats.org/officeDocument/2006/relationships/image" Target="media/image578.png"/><Relationship Id="rId604" Type="http://schemas.openxmlformats.org/officeDocument/2006/relationships/image" Target="media/image579.png"/><Relationship Id="rId605" Type="http://schemas.openxmlformats.org/officeDocument/2006/relationships/image" Target="media/image580.png"/><Relationship Id="rId606" Type="http://schemas.openxmlformats.org/officeDocument/2006/relationships/image" Target="media/image581.png"/><Relationship Id="rId607" Type="http://schemas.openxmlformats.org/officeDocument/2006/relationships/image" Target="media/image582.jpeg"/><Relationship Id="rId608" Type="http://schemas.openxmlformats.org/officeDocument/2006/relationships/image" Target="media/image583.png"/><Relationship Id="rId609" Type="http://schemas.openxmlformats.org/officeDocument/2006/relationships/image" Target="media/image584.png"/><Relationship Id="rId610" Type="http://schemas.openxmlformats.org/officeDocument/2006/relationships/image" Target="media/image585.jpeg"/><Relationship Id="rId611" Type="http://schemas.openxmlformats.org/officeDocument/2006/relationships/image" Target="media/image586.png"/><Relationship Id="rId612" Type="http://schemas.openxmlformats.org/officeDocument/2006/relationships/image" Target="media/image587.jpeg"/><Relationship Id="rId613" Type="http://schemas.openxmlformats.org/officeDocument/2006/relationships/image" Target="media/image588.png"/><Relationship Id="rId614" Type="http://schemas.openxmlformats.org/officeDocument/2006/relationships/image" Target="media/image589.jpeg"/><Relationship Id="rId615" Type="http://schemas.openxmlformats.org/officeDocument/2006/relationships/image" Target="media/image590.png"/><Relationship Id="rId616" Type="http://schemas.openxmlformats.org/officeDocument/2006/relationships/image" Target="media/image591.jpeg"/><Relationship Id="rId617" Type="http://schemas.openxmlformats.org/officeDocument/2006/relationships/image" Target="media/image592.png"/><Relationship Id="rId618" Type="http://schemas.openxmlformats.org/officeDocument/2006/relationships/image" Target="media/image593.jpeg"/><Relationship Id="rId619" Type="http://schemas.openxmlformats.org/officeDocument/2006/relationships/image" Target="media/image594.png"/><Relationship Id="rId620" Type="http://schemas.openxmlformats.org/officeDocument/2006/relationships/image" Target="media/image595.jpeg"/><Relationship Id="rId621" Type="http://schemas.openxmlformats.org/officeDocument/2006/relationships/image" Target="media/image596.png"/><Relationship Id="rId622" Type="http://schemas.openxmlformats.org/officeDocument/2006/relationships/image" Target="media/image597.jpeg"/><Relationship Id="rId623" Type="http://schemas.openxmlformats.org/officeDocument/2006/relationships/image" Target="media/image598.png"/><Relationship Id="rId624" Type="http://schemas.openxmlformats.org/officeDocument/2006/relationships/image" Target="media/image599.jpeg"/><Relationship Id="rId625" Type="http://schemas.openxmlformats.org/officeDocument/2006/relationships/image" Target="media/image600.png"/><Relationship Id="rId626" Type="http://schemas.openxmlformats.org/officeDocument/2006/relationships/image" Target="media/image601.jpeg"/><Relationship Id="rId627" Type="http://schemas.openxmlformats.org/officeDocument/2006/relationships/image" Target="media/image602.png"/><Relationship Id="rId628" Type="http://schemas.openxmlformats.org/officeDocument/2006/relationships/image" Target="media/image603.jpeg"/><Relationship Id="rId629" Type="http://schemas.openxmlformats.org/officeDocument/2006/relationships/image" Target="media/image604.png"/><Relationship Id="rId630" Type="http://schemas.openxmlformats.org/officeDocument/2006/relationships/image" Target="media/image605.jpeg"/><Relationship Id="rId631" Type="http://schemas.openxmlformats.org/officeDocument/2006/relationships/image" Target="media/image606.png"/><Relationship Id="rId632" Type="http://schemas.openxmlformats.org/officeDocument/2006/relationships/image" Target="media/image607.jpeg"/><Relationship Id="rId633" Type="http://schemas.openxmlformats.org/officeDocument/2006/relationships/image" Target="media/image608.png"/><Relationship Id="rId634" Type="http://schemas.openxmlformats.org/officeDocument/2006/relationships/image" Target="media/image609.jpeg"/><Relationship Id="rId635" Type="http://schemas.openxmlformats.org/officeDocument/2006/relationships/image" Target="media/image610.png"/><Relationship Id="rId636" Type="http://schemas.openxmlformats.org/officeDocument/2006/relationships/image" Target="media/image611.jpeg"/><Relationship Id="rId637" Type="http://schemas.openxmlformats.org/officeDocument/2006/relationships/image" Target="media/image612.png"/><Relationship Id="rId638" Type="http://schemas.openxmlformats.org/officeDocument/2006/relationships/image" Target="media/image613.jpeg"/><Relationship Id="rId639" Type="http://schemas.openxmlformats.org/officeDocument/2006/relationships/image" Target="media/image614.png"/><Relationship Id="rId640" Type="http://schemas.openxmlformats.org/officeDocument/2006/relationships/image" Target="media/image615.jpeg"/><Relationship Id="rId641" Type="http://schemas.openxmlformats.org/officeDocument/2006/relationships/image" Target="media/image616.png"/><Relationship Id="rId642" Type="http://schemas.openxmlformats.org/officeDocument/2006/relationships/image" Target="media/image617.jpeg"/><Relationship Id="rId643" Type="http://schemas.openxmlformats.org/officeDocument/2006/relationships/image" Target="media/image618.png"/><Relationship Id="rId644" Type="http://schemas.openxmlformats.org/officeDocument/2006/relationships/image" Target="media/image619.jpeg"/><Relationship Id="rId645" Type="http://schemas.openxmlformats.org/officeDocument/2006/relationships/image" Target="media/image620.png"/><Relationship Id="rId646" Type="http://schemas.openxmlformats.org/officeDocument/2006/relationships/image" Target="media/image621.jpeg"/><Relationship Id="rId647" Type="http://schemas.openxmlformats.org/officeDocument/2006/relationships/image" Target="media/image622.png"/><Relationship Id="rId648" Type="http://schemas.openxmlformats.org/officeDocument/2006/relationships/image" Target="media/image623.jpeg"/><Relationship Id="rId649" Type="http://schemas.openxmlformats.org/officeDocument/2006/relationships/image" Target="media/image624.png"/><Relationship Id="rId650" Type="http://schemas.openxmlformats.org/officeDocument/2006/relationships/image" Target="media/image625.jpeg"/><Relationship Id="rId651" Type="http://schemas.openxmlformats.org/officeDocument/2006/relationships/image" Target="media/image626.png"/><Relationship Id="rId652" Type="http://schemas.openxmlformats.org/officeDocument/2006/relationships/image" Target="media/image627.jpeg"/><Relationship Id="rId653" Type="http://schemas.openxmlformats.org/officeDocument/2006/relationships/image" Target="media/image628.png"/><Relationship Id="rId654" Type="http://schemas.openxmlformats.org/officeDocument/2006/relationships/image" Target="media/image629.jpeg"/><Relationship Id="rId655" Type="http://schemas.openxmlformats.org/officeDocument/2006/relationships/image" Target="media/image630.png"/><Relationship Id="rId656" Type="http://schemas.openxmlformats.org/officeDocument/2006/relationships/image" Target="media/image631.jpeg"/><Relationship Id="rId657" Type="http://schemas.openxmlformats.org/officeDocument/2006/relationships/image" Target="media/image632.png"/><Relationship Id="rId658" Type="http://schemas.openxmlformats.org/officeDocument/2006/relationships/image" Target="media/image633.jpeg"/><Relationship Id="rId659" Type="http://schemas.openxmlformats.org/officeDocument/2006/relationships/image" Target="media/image634.png"/><Relationship Id="rId660" Type="http://schemas.openxmlformats.org/officeDocument/2006/relationships/image" Target="media/image635.jpeg"/><Relationship Id="rId661" Type="http://schemas.openxmlformats.org/officeDocument/2006/relationships/image" Target="media/image636.png"/><Relationship Id="rId662" Type="http://schemas.openxmlformats.org/officeDocument/2006/relationships/image" Target="media/image637.jpeg"/><Relationship Id="rId663" Type="http://schemas.openxmlformats.org/officeDocument/2006/relationships/image" Target="media/image638.png"/><Relationship Id="rId664" Type="http://schemas.openxmlformats.org/officeDocument/2006/relationships/image" Target="media/image639.jpeg"/><Relationship Id="rId665" Type="http://schemas.openxmlformats.org/officeDocument/2006/relationships/image" Target="media/image640.png"/><Relationship Id="rId666" Type="http://schemas.openxmlformats.org/officeDocument/2006/relationships/image" Target="media/image641.jpeg"/><Relationship Id="rId667" Type="http://schemas.openxmlformats.org/officeDocument/2006/relationships/image" Target="media/image642.png"/><Relationship Id="rId668" Type="http://schemas.openxmlformats.org/officeDocument/2006/relationships/image" Target="media/image643.jpeg"/><Relationship Id="rId669" Type="http://schemas.openxmlformats.org/officeDocument/2006/relationships/image" Target="media/image644.png"/><Relationship Id="rId670" Type="http://schemas.openxmlformats.org/officeDocument/2006/relationships/image" Target="media/image645.jpeg"/><Relationship Id="rId671" Type="http://schemas.openxmlformats.org/officeDocument/2006/relationships/image" Target="media/image646.png"/><Relationship Id="rId672" Type="http://schemas.openxmlformats.org/officeDocument/2006/relationships/image" Target="media/image647.jpeg"/><Relationship Id="rId673" Type="http://schemas.openxmlformats.org/officeDocument/2006/relationships/image" Target="media/image648.png"/><Relationship Id="rId674" Type="http://schemas.openxmlformats.org/officeDocument/2006/relationships/image" Target="media/image649.jpeg"/><Relationship Id="rId675" Type="http://schemas.openxmlformats.org/officeDocument/2006/relationships/image" Target="media/image650.png"/><Relationship Id="rId676" Type="http://schemas.openxmlformats.org/officeDocument/2006/relationships/image" Target="media/image651.jpeg"/><Relationship Id="rId677" Type="http://schemas.openxmlformats.org/officeDocument/2006/relationships/image" Target="media/image652.png"/><Relationship Id="rId678" Type="http://schemas.openxmlformats.org/officeDocument/2006/relationships/image" Target="media/image653.jpeg"/><Relationship Id="rId679" Type="http://schemas.openxmlformats.org/officeDocument/2006/relationships/image" Target="media/image654.png"/><Relationship Id="rId680" Type="http://schemas.openxmlformats.org/officeDocument/2006/relationships/image" Target="media/image655.jpeg"/><Relationship Id="rId681" Type="http://schemas.openxmlformats.org/officeDocument/2006/relationships/image" Target="media/image656.png"/><Relationship Id="rId682" Type="http://schemas.openxmlformats.org/officeDocument/2006/relationships/image" Target="media/image657.jpeg"/><Relationship Id="rId683" Type="http://schemas.openxmlformats.org/officeDocument/2006/relationships/image" Target="media/image658.png"/><Relationship Id="rId684" Type="http://schemas.openxmlformats.org/officeDocument/2006/relationships/image" Target="media/image659.jpeg"/><Relationship Id="rId685" Type="http://schemas.openxmlformats.org/officeDocument/2006/relationships/image" Target="media/image660.png"/><Relationship Id="rId686" Type="http://schemas.openxmlformats.org/officeDocument/2006/relationships/image" Target="media/image661.jpeg"/><Relationship Id="rId687" Type="http://schemas.openxmlformats.org/officeDocument/2006/relationships/image" Target="media/image662.png"/><Relationship Id="rId688" Type="http://schemas.openxmlformats.org/officeDocument/2006/relationships/image" Target="media/image663.jpeg"/><Relationship Id="rId689" Type="http://schemas.openxmlformats.org/officeDocument/2006/relationships/image" Target="media/image664.png"/><Relationship Id="rId690" Type="http://schemas.openxmlformats.org/officeDocument/2006/relationships/image" Target="media/image665.jpeg"/><Relationship Id="rId691" Type="http://schemas.openxmlformats.org/officeDocument/2006/relationships/image" Target="media/image666.png"/><Relationship Id="rId692" Type="http://schemas.openxmlformats.org/officeDocument/2006/relationships/image" Target="media/image667.jpeg"/><Relationship Id="rId693" Type="http://schemas.openxmlformats.org/officeDocument/2006/relationships/image" Target="media/image668.png"/><Relationship Id="rId694" Type="http://schemas.openxmlformats.org/officeDocument/2006/relationships/image" Target="media/image669.jpeg"/><Relationship Id="rId695" Type="http://schemas.openxmlformats.org/officeDocument/2006/relationships/image" Target="media/image670.png"/><Relationship Id="rId696" Type="http://schemas.openxmlformats.org/officeDocument/2006/relationships/image" Target="media/image671.jpeg"/><Relationship Id="rId697" Type="http://schemas.openxmlformats.org/officeDocument/2006/relationships/image" Target="media/image672.png"/><Relationship Id="rId698" Type="http://schemas.openxmlformats.org/officeDocument/2006/relationships/image" Target="media/image673.jpeg"/><Relationship Id="rId699" Type="http://schemas.openxmlformats.org/officeDocument/2006/relationships/image" Target="media/image674.png"/><Relationship Id="rId700" Type="http://schemas.openxmlformats.org/officeDocument/2006/relationships/image" Target="media/image675.jpeg"/><Relationship Id="rId701" Type="http://schemas.openxmlformats.org/officeDocument/2006/relationships/image" Target="media/image676.png"/><Relationship Id="rId702" Type="http://schemas.openxmlformats.org/officeDocument/2006/relationships/image" Target="media/image677.jpeg"/><Relationship Id="rId703" Type="http://schemas.openxmlformats.org/officeDocument/2006/relationships/image" Target="media/image678.png"/><Relationship Id="rId704" Type="http://schemas.openxmlformats.org/officeDocument/2006/relationships/image" Target="media/image679.jpeg"/><Relationship Id="rId705" Type="http://schemas.openxmlformats.org/officeDocument/2006/relationships/image" Target="media/image680.png"/><Relationship Id="rId706" Type="http://schemas.openxmlformats.org/officeDocument/2006/relationships/image" Target="media/image681.jpeg"/><Relationship Id="rId707" Type="http://schemas.openxmlformats.org/officeDocument/2006/relationships/image" Target="media/image682.jpeg"/><Relationship Id="rId708" Type="http://schemas.openxmlformats.org/officeDocument/2006/relationships/image" Target="media/image683.png"/><Relationship Id="rId709" Type="http://schemas.openxmlformats.org/officeDocument/2006/relationships/image" Target="media/image684.jpeg"/><Relationship Id="rId710" Type="http://schemas.openxmlformats.org/officeDocument/2006/relationships/image" Target="media/image685.jpeg"/><Relationship Id="rId711" Type="http://schemas.openxmlformats.org/officeDocument/2006/relationships/image" Target="media/image686.png"/><Relationship Id="rId712" Type="http://schemas.openxmlformats.org/officeDocument/2006/relationships/image" Target="media/image687.jpeg"/><Relationship Id="rId713" Type="http://schemas.openxmlformats.org/officeDocument/2006/relationships/image" Target="media/image688.jpeg"/><Relationship Id="rId714" Type="http://schemas.openxmlformats.org/officeDocument/2006/relationships/image" Target="media/image689.jpeg"/><Relationship Id="rId715" Type="http://schemas.openxmlformats.org/officeDocument/2006/relationships/image" Target="media/image690.jpeg"/><Relationship Id="rId716" Type="http://schemas.openxmlformats.org/officeDocument/2006/relationships/image" Target="media/image691.png"/><Relationship Id="rId717" Type="http://schemas.openxmlformats.org/officeDocument/2006/relationships/image" Target="media/image692.png"/><Relationship Id="rId718" Type="http://schemas.openxmlformats.org/officeDocument/2006/relationships/image" Target="media/image693.png"/><Relationship Id="rId719" Type="http://schemas.openxmlformats.org/officeDocument/2006/relationships/image" Target="media/image694.jpeg"/><Relationship Id="rId720" Type="http://schemas.openxmlformats.org/officeDocument/2006/relationships/image" Target="media/image695.png"/><Relationship Id="rId721" Type="http://schemas.openxmlformats.org/officeDocument/2006/relationships/image" Target="media/image696.jpeg"/><Relationship Id="rId722" Type="http://schemas.openxmlformats.org/officeDocument/2006/relationships/image" Target="media/image697.png"/><Relationship Id="rId723" Type="http://schemas.openxmlformats.org/officeDocument/2006/relationships/image" Target="media/image698.jpeg"/><Relationship Id="rId724" Type="http://schemas.openxmlformats.org/officeDocument/2006/relationships/image" Target="media/image699.png"/><Relationship Id="rId725" Type="http://schemas.openxmlformats.org/officeDocument/2006/relationships/image" Target="media/image700.jpeg"/><Relationship Id="rId726" Type="http://schemas.openxmlformats.org/officeDocument/2006/relationships/image" Target="media/image701.png"/><Relationship Id="rId727" Type="http://schemas.openxmlformats.org/officeDocument/2006/relationships/image" Target="media/image702.jpeg"/><Relationship Id="rId728" Type="http://schemas.openxmlformats.org/officeDocument/2006/relationships/image" Target="media/image703.png"/><Relationship Id="rId729" Type="http://schemas.openxmlformats.org/officeDocument/2006/relationships/image" Target="media/image704.jpeg"/><Relationship Id="rId730" Type="http://schemas.openxmlformats.org/officeDocument/2006/relationships/image" Target="media/image705.png"/><Relationship Id="rId731" Type="http://schemas.openxmlformats.org/officeDocument/2006/relationships/image" Target="media/image706.jpeg"/><Relationship Id="rId732" Type="http://schemas.openxmlformats.org/officeDocument/2006/relationships/image" Target="media/image707.png"/><Relationship Id="rId733" Type="http://schemas.openxmlformats.org/officeDocument/2006/relationships/image" Target="media/image708.jpeg"/><Relationship Id="rId734" Type="http://schemas.openxmlformats.org/officeDocument/2006/relationships/image" Target="media/image709.jpeg"/><Relationship Id="rId735" Type="http://schemas.openxmlformats.org/officeDocument/2006/relationships/image" Target="media/image710.jpeg"/><Relationship Id="rId736" Type="http://schemas.openxmlformats.org/officeDocument/2006/relationships/image" Target="media/image711.png"/><Relationship Id="rId737" Type="http://schemas.openxmlformats.org/officeDocument/2006/relationships/image" Target="media/image712.jpeg"/><Relationship Id="rId738" Type="http://schemas.openxmlformats.org/officeDocument/2006/relationships/image" Target="media/image713.png"/><Relationship Id="rId739" Type="http://schemas.openxmlformats.org/officeDocument/2006/relationships/image" Target="media/image714.png"/><Relationship Id="rId740" Type="http://schemas.openxmlformats.org/officeDocument/2006/relationships/image" Target="media/image715.png"/><Relationship Id="rId741" Type="http://schemas.openxmlformats.org/officeDocument/2006/relationships/image" Target="media/image716.jpeg"/><Relationship Id="rId742" Type="http://schemas.openxmlformats.org/officeDocument/2006/relationships/image" Target="media/image717.png"/><Relationship Id="rId743" Type="http://schemas.openxmlformats.org/officeDocument/2006/relationships/image" Target="media/image718.png"/><Relationship Id="rId744" Type="http://schemas.openxmlformats.org/officeDocument/2006/relationships/image" Target="media/image719.png"/><Relationship Id="rId745" Type="http://schemas.openxmlformats.org/officeDocument/2006/relationships/image" Target="media/image720.jpeg"/><Relationship Id="rId746" Type="http://schemas.openxmlformats.org/officeDocument/2006/relationships/image" Target="media/image721.png"/><Relationship Id="rId747" Type="http://schemas.openxmlformats.org/officeDocument/2006/relationships/image" Target="media/image722.png"/><Relationship Id="rId748" Type="http://schemas.openxmlformats.org/officeDocument/2006/relationships/image" Target="media/image723.png"/><Relationship Id="rId749" Type="http://schemas.openxmlformats.org/officeDocument/2006/relationships/image" Target="media/image724.png"/><Relationship Id="rId750" Type="http://schemas.openxmlformats.org/officeDocument/2006/relationships/image" Target="media/image725.png"/><Relationship Id="rId751" Type="http://schemas.openxmlformats.org/officeDocument/2006/relationships/image" Target="media/image726.jpeg"/><Relationship Id="rId752" Type="http://schemas.openxmlformats.org/officeDocument/2006/relationships/image" Target="media/image727.png"/><Relationship Id="rId753" Type="http://schemas.openxmlformats.org/officeDocument/2006/relationships/image" Target="media/image728.png"/><Relationship Id="rId754" Type="http://schemas.openxmlformats.org/officeDocument/2006/relationships/image" Target="media/image729.png"/><Relationship Id="rId755" Type="http://schemas.openxmlformats.org/officeDocument/2006/relationships/image" Target="media/image730.jpeg"/><Relationship Id="rId756" Type="http://schemas.openxmlformats.org/officeDocument/2006/relationships/image" Target="media/image731.png"/><Relationship Id="rId757" Type="http://schemas.openxmlformats.org/officeDocument/2006/relationships/image" Target="media/image732.png"/><Relationship Id="rId758" Type="http://schemas.openxmlformats.org/officeDocument/2006/relationships/image" Target="media/image733.png"/><Relationship Id="rId759" Type="http://schemas.openxmlformats.org/officeDocument/2006/relationships/image" Target="media/image734.jpeg"/><Relationship Id="rId760" Type="http://schemas.openxmlformats.org/officeDocument/2006/relationships/image" Target="media/image735.png"/><Relationship Id="rId761" Type="http://schemas.openxmlformats.org/officeDocument/2006/relationships/image" Target="media/image736.png"/><Relationship Id="rId762" Type="http://schemas.openxmlformats.org/officeDocument/2006/relationships/image" Target="media/image737.png"/><Relationship Id="rId763" Type="http://schemas.openxmlformats.org/officeDocument/2006/relationships/image" Target="media/image738.jpeg"/><Relationship Id="rId764" Type="http://schemas.openxmlformats.org/officeDocument/2006/relationships/image" Target="media/image739.png"/><Relationship Id="rId765" Type="http://schemas.openxmlformats.org/officeDocument/2006/relationships/image" Target="media/image740.png"/><Relationship Id="rId766" Type="http://schemas.openxmlformats.org/officeDocument/2006/relationships/image" Target="media/image741.png"/><Relationship Id="rId767" Type="http://schemas.openxmlformats.org/officeDocument/2006/relationships/image" Target="media/image742.jpeg"/><Relationship Id="rId768" Type="http://schemas.openxmlformats.org/officeDocument/2006/relationships/image" Target="media/image743.png"/><Relationship Id="rId769" Type="http://schemas.openxmlformats.org/officeDocument/2006/relationships/image" Target="media/image744.png"/><Relationship Id="rId770" Type="http://schemas.openxmlformats.org/officeDocument/2006/relationships/image" Target="media/image745.png"/><Relationship Id="rId771" Type="http://schemas.openxmlformats.org/officeDocument/2006/relationships/image" Target="media/image746.jpeg"/><Relationship Id="rId772" Type="http://schemas.openxmlformats.org/officeDocument/2006/relationships/image" Target="media/image747.png"/><Relationship Id="rId773" Type="http://schemas.openxmlformats.org/officeDocument/2006/relationships/image" Target="media/image748.png"/><Relationship Id="rId774" Type="http://schemas.openxmlformats.org/officeDocument/2006/relationships/image" Target="media/image749.jpeg"/><Relationship Id="rId775" Type="http://schemas.openxmlformats.org/officeDocument/2006/relationships/image" Target="media/image750.png"/><Relationship Id="rId776" Type="http://schemas.openxmlformats.org/officeDocument/2006/relationships/image" Target="media/image751.png"/><Relationship Id="rId777" Type="http://schemas.openxmlformats.org/officeDocument/2006/relationships/image" Target="media/image752.png"/><Relationship Id="rId778" Type="http://schemas.openxmlformats.org/officeDocument/2006/relationships/image" Target="media/image753.png"/><Relationship Id="rId779" Type="http://schemas.openxmlformats.org/officeDocument/2006/relationships/image" Target="media/image754.png"/><Relationship Id="rId780" Type="http://schemas.openxmlformats.org/officeDocument/2006/relationships/image" Target="media/image755.jpeg"/><Relationship Id="rId781" Type="http://schemas.openxmlformats.org/officeDocument/2006/relationships/image" Target="media/image756.png"/><Relationship Id="rId782" Type="http://schemas.openxmlformats.org/officeDocument/2006/relationships/image" Target="media/image757.jpeg"/><Relationship Id="rId783" Type="http://schemas.openxmlformats.org/officeDocument/2006/relationships/image" Target="media/image758.png"/><Relationship Id="rId784" Type="http://schemas.openxmlformats.org/officeDocument/2006/relationships/image" Target="media/image759.jpeg"/><Relationship Id="rId785" Type="http://schemas.openxmlformats.org/officeDocument/2006/relationships/image" Target="media/image760.png"/><Relationship Id="rId786" Type="http://schemas.openxmlformats.org/officeDocument/2006/relationships/image" Target="media/image761.jpeg"/><Relationship Id="rId787" Type="http://schemas.openxmlformats.org/officeDocument/2006/relationships/image" Target="media/image762.png"/><Relationship Id="rId788" Type="http://schemas.openxmlformats.org/officeDocument/2006/relationships/image" Target="media/image763.jpeg"/><Relationship Id="rId789" Type="http://schemas.openxmlformats.org/officeDocument/2006/relationships/image" Target="media/image764.png"/><Relationship Id="rId790" Type="http://schemas.openxmlformats.org/officeDocument/2006/relationships/image" Target="media/image765.jpeg"/><Relationship Id="rId791" Type="http://schemas.openxmlformats.org/officeDocument/2006/relationships/image" Target="media/image766.png"/><Relationship Id="rId792" Type="http://schemas.openxmlformats.org/officeDocument/2006/relationships/image" Target="media/image767.png"/><Relationship Id="rId793" Type="http://schemas.openxmlformats.org/officeDocument/2006/relationships/image" Target="media/image768.jpeg"/><Relationship Id="rId794" Type="http://schemas.openxmlformats.org/officeDocument/2006/relationships/image" Target="media/image769.jpeg"/><Relationship Id="rId795" Type="http://schemas.openxmlformats.org/officeDocument/2006/relationships/image" Target="media/image770.png"/><Relationship Id="rId796" Type="http://schemas.openxmlformats.org/officeDocument/2006/relationships/image" Target="media/image771.jpeg"/><Relationship Id="rId797" Type="http://schemas.openxmlformats.org/officeDocument/2006/relationships/image" Target="media/image772.jpeg"/><Relationship Id="rId798" Type="http://schemas.openxmlformats.org/officeDocument/2006/relationships/image" Target="media/image773.png"/><Relationship Id="rId799" Type="http://schemas.openxmlformats.org/officeDocument/2006/relationships/image" Target="media/image774.png"/><Relationship Id="rId800" Type="http://schemas.openxmlformats.org/officeDocument/2006/relationships/image" Target="media/image775.png"/><Relationship Id="rId801" Type="http://schemas.openxmlformats.org/officeDocument/2006/relationships/image" Target="media/image776.png"/><Relationship Id="rId802" Type="http://schemas.openxmlformats.org/officeDocument/2006/relationships/image" Target="media/image777.png"/><Relationship Id="rId803" Type="http://schemas.openxmlformats.org/officeDocument/2006/relationships/image" Target="media/image778.png"/><Relationship Id="rId804" Type="http://schemas.openxmlformats.org/officeDocument/2006/relationships/image" Target="media/image779.png"/><Relationship Id="rId805" Type="http://schemas.openxmlformats.org/officeDocument/2006/relationships/image" Target="media/image780.png"/><Relationship Id="rId806" Type="http://schemas.openxmlformats.org/officeDocument/2006/relationships/image" Target="media/image781.png"/><Relationship Id="rId807" Type="http://schemas.openxmlformats.org/officeDocument/2006/relationships/image" Target="media/image782.png"/><Relationship Id="rId808" Type="http://schemas.openxmlformats.org/officeDocument/2006/relationships/image" Target="media/image783.png"/><Relationship Id="rId809" Type="http://schemas.openxmlformats.org/officeDocument/2006/relationships/image" Target="media/image784.png"/><Relationship Id="rId810" Type="http://schemas.openxmlformats.org/officeDocument/2006/relationships/image" Target="media/image785.png"/><Relationship Id="rId811" Type="http://schemas.openxmlformats.org/officeDocument/2006/relationships/image" Target="media/image786.png"/><Relationship Id="rId812" Type="http://schemas.openxmlformats.org/officeDocument/2006/relationships/image" Target="media/image787.png"/><Relationship Id="rId813" Type="http://schemas.openxmlformats.org/officeDocument/2006/relationships/image" Target="media/image788.png"/><Relationship Id="rId814" Type="http://schemas.openxmlformats.org/officeDocument/2006/relationships/image" Target="media/image789.png"/><Relationship Id="rId815" Type="http://schemas.openxmlformats.org/officeDocument/2006/relationships/image" Target="media/image790.png"/><Relationship Id="rId816" Type="http://schemas.openxmlformats.org/officeDocument/2006/relationships/image" Target="media/image791.png"/><Relationship Id="rId817" Type="http://schemas.openxmlformats.org/officeDocument/2006/relationships/image" Target="media/image792.png"/><Relationship Id="rId407" Type="http://schemas.openxmlformats.org/officeDocument/2006/relationships/hyperlink" Target="https://www.sec.gov/Archives/edgar/data/1815442/000119312520229873/d45025dex31.htm" TargetMode="External"/><Relationship Id="rId408" Type="http://schemas.openxmlformats.org/officeDocument/2006/relationships/hyperlink" Target="https://www.sec.gov/Archives/edgar/data/1815442/000119312520229873/d45025dex32.htm" TargetMode="External"/><Relationship Id="rId409" Type="http://schemas.openxmlformats.org/officeDocument/2006/relationships/hyperlink" Target="https://www.sec.gov/Archives/edgar/data/1773427/000114420419040443/tv525698_ex4-1.htm" TargetMode="External"/><Relationship Id="rId410" Type="http://schemas.openxmlformats.org/officeDocument/2006/relationships/hyperlink" Target="https://www.sec.gov/Archives/edgar/data/1815442/000119312520206645/d940105dex42.htm" TargetMode="External"/><Relationship Id="rId411" Type="http://schemas.openxmlformats.org/officeDocument/2006/relationships/hyperlink" Target="https://www.sec.gov/Archives/edgar/data/1815442/000156459021012240/kymr-ex43_735.htm" TargetMode="External"/><Relationship Id="rId412" Type="http://schemas.openxmlformats.org/officeDocument/2006/relationships/hyperlink" Target="https://www.sec.gov/Archives/edgar/data/1815442/000119312522224656/d247240dex41.htm" TargetMode="External"/><Relationship Id="rId413" Type="http://schemas.openxmlformats.org/officeDocument/2006/relationships/hyperlink" Target="https://www.sec.gov/Archives/edgar/data/1815442/000119312524003373/d103567dex41.htm" TargetMode="External"/><Relationship Id="rId414" Type="http://schemas.openxmlformats.org/officeDocument/2006/relationships/hyperlink" Target="https://www.sec.gov/Archives/edgar/data/0001815442/000119312520206645/d940105dex101.htm" TargetMode="External"/><Relationship Id="rId415" Type="http://schemas.openxmlformats.org/officeDocument/2006/relationships/hyperlink" Target="https://www.sec.gov/Archives/edgar/data/0001815442/000119312520221618/d940105dex102.htm" TargetMode="External"/><Relationship Id="rId416" Type="http://schemas.openxmlformats.org/officeDocument/2006/relationships/hyperlink" Target="https://www.sec.gov/Archives/edgar/data/0001815442/000119312520218412/d940105dex104.htm" TargetMode="External"/><Relationship Id="rId417" Type="http://schemas.openxmlformats.org/officeDocument/2006/relationships/hyperlink" Target="https://www.sec.gov/Archives/edgar/data/0001815442/000156459020050872/kymr-ex101_540.htm" TargetMode="External"/><Relationship Id="rId418" Type="http://schemas.openxmlformats.org/officeDocument/2006/relationships/hyperlink" Target="https://www.sec.gov/Archives/edgar/data/0001815442/000119312520221618/d940105dex106.htm" TargetMode="External"/><Relationship Id="rId419" Type="http://schemas.openxmlformats.org/officeDocument/2006/relationships/hyperlink" Target="https://www.sec.gov/Archives/edgar/data/0001815442/000119312520206645/d940105dex108.htm" TargetMode="External"/><Relationship Id="rId422" Type="http://schemas.openxmlformats.org/officeDocument/2006/relationships/hyperlink" Target="https://www.sec.gov/Archives/edgar/data/0001815442/000119312520218412/d940105dex109.htm" TargetMode="External"/><Relationship Id="rId423" Type="http://schemas.openxmlformats.org/officeDocument/2006/relationships/hyperlink" Target="https://www.sec.gov/Archives/edgar/data/1815442/000119312520206645/d940105dex1011.htm" TargetMode="External"/><Relationship Id="rId424" Type="http://schemas.openxmlformats.org/officeDocument/2006/relationships/hyperlink" Target="https://www.sec.gov/Archives/edgar/data/0001815442/000156459020050872/kymr-ex103_542.htm" TargetMode="External"/><Relationship Id="rId425" Type="http://schemas.openxmlformats.org/officeDocument/2006/relationships/hyperlink" Target="https://www.sec.gov/Archives/edgar/data/1815442/000119312522224656/d247240dex101.htm" TargetMode="External"/><Relationship Id="rId426" Type="http://schemas.openxmlformats.org/officeDocument/2006/relationships/hyperlink" Target="https://www.sec.gov/Archives/edgar/data/1815442/000119312522224656/d24724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2024-02-22T06:28:49Z</dcterms:created>
  <dcterms:modified xsi:type="dcterms:W3CDTF">2024-02-22T06:28:49Z</dcterms:modified>
</cp:coreProperties>
</file>