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780" w:right="1600" w:hanging="3772"/>
        <w:spacing w:after="0" w:line="344" w:lineRule="auto"/>
        <w:tabs>
          <w:tab w:leader="none" w:pos="45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2600" w:right="1600" w:hanging="2592"/>
        <w:spacing w:after="0" w:line="226" w:lineRule="auto"/>
        <w:tabs>
          <w:tab w:leader="none" w:pos="459"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46"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ectPr>
          <w:pgSz w:w="11900" w:h="16838" w:orient="portrait"/>
          <w:cols w:equalWidth="0" w:num="1">
            <w:col w:w="11240"/>
          </w:cols>
          <w:pgMar w:left="320" w:top="1334"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53" w:lineRule="exact"/>
        <w:rPr>
          <w:sz w:val="24"/>
          <w:szCs w:val="24"/>
          <w:color w:val="auto"/>
        </w:rPr>
      </w:pPr>
    </w:p>
    <w:p>
      <w:pPr>
        <w:sectPr>
          <w:pgSz w:w="11900" w:h="16838" w:orient="portrait"/>
          <w:cols w:equalWidth="0" w:num="2">
            <w:col w:w="7700" w:space="160"/>
            <w:col w:w="3380"/>
          </w:cols>
          <w:pgMar w:left="320" w:top="1334" w:right="3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31" w:lineRule="exact"/>
        <w:rPr>
          <w:sz w:val="24"/>
          <w:szCs w:val="24"/>
          <w:color w:val="auto"/>
        </w:rPr>
      </w:pPr>
    </w:p>
    <w:p>
      <w:pPr>
        <w:ind w:left="17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Watertown, Massachusetts</w:t>
      </w:r>
      <w:r>
        <w:rPr>
          <w:sz w:val="20"/>
          <w:szCs w:val="20"/>
          <w:color w:val="auto"/>
        </w:rPr>
        <w:tab/>
      </w:r>
      <w:r>
        <w:rPr>
          <w:rFonts w:ascii="Times New Roman" w:cs="Times New Roman" w:eastAsia="Times New Roman" w:hAnsi="Times New Roman"/>
          <w:sz w:val="18"/>
          <w:szCs w:val="18"/>
          <w:b w:val="1"/>
          <w:bCs w:val="1"/>
          <w:color w:val="auto"/>
        </w:rPr>
        <w:t>02472</w:t>
      </w:r>
    </w:p>
    <w:p>
      <w:pPr>
        <w:spacing w:after="0" w:line="2"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5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KYMR</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49"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24, 2026, the registrant had 82,257,588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ind w:left="1303"/>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337" w:lineRule="exact"/>
        <w:rPr>
          <w:sz w:val="20"/>
          <w:szCs w:val="20"/>
          <w:color w:val="auto"/>
        </w:rPr>
      </w:pPr>
    </w:p>
    <w:p>
      <w:pPr>
        <w:ind w:left="503" w:right="2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company and that may make it difficult for our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product candidates, whether conducted by us or our collaborators, are in early clinical development. If we are unable to advance them through the clinic for safety or efficacy reasons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novel and unproven, which makes it difficult to predict the time, cost of development and likelihood of successfully developing any products.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may materially and adversely affect our business and our financial results and could cause a disruption to the development of our product candidates.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global economic and geopolitical conditions may have serious adverse consequences on our business, financial condition, stock price and results of operations.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spacing w:after="0" w:line="187"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enable a rational and effective drug discovery and development engine;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success of preclinical development efforts under our collaborations for IRAK4 and CDK2 programs and clinical studies for our STAT6 and IRF5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investigational new drug applications (INDs) to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initiation of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manufacture our drug substances, delivery vehicles,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pandemics, geopolitical conflicts or new or increased international tariffs, including mitigation efforts and economic effects, on any of the foregoing or other aspects of our business operations, including but not limited to our preclinical studies and future clinical trials;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6"/>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8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144,090</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357,011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Marketable securities (Note 4)</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506,839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26,503</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677,432</w:t>
            </w:r>
          </w:p>
        </w:tc>
        <w:tc>
          <w:tcPr>
            <w:tcW w:w="140" w:type="dxa"/>
            <w:vAlign w:val="bottom"/>
          </w:tcPr>
          <w:p>
            <w:pPr>
              <w:spacing w:after="0"/>
              <w:rPr>
                <w:sz w:val="12"/>
                <w:szCs w:val="12"/>
                <w:color w:val="auto"/>
              </w:rPr>
            </w:pPr>
          </w:p>
        </w:tc>
        <w:tc>
          <w:tcPr>
            <w:tcW w:w="2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871,214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 non-current (Note 4)</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894,724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771,158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 (Note 6)</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operating leases</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41,736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5,810</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5,800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1,669,016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1,742,812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12,839</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expenses (Note 8)</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62,643</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83,212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2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129,379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163,148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3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as of March 31, 2026 and December 31, 2025; 0 shares issued and</w:t>
            </w:r>
          </w:p>
        </w:tc>
        <w:tc>
          <w:tcPr>
            <w:tcW w:w="220" w:type="dxa"/>
            <w:vAlign w:val="bottom"/>
          </w:tcPr>
          <w:p>
            <w:pPr>
              <w:spacing w:after="0"/>
              <w:rPr>
                <w:sz w:val="10"/>
                <w:szCs w:val="10"/>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outstanding as of March 31, 2026 and December 31, 2025</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30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4"/>
                <w:szCs w:val="14"/>
                <w:color w:val="auto"/>
              </w:rPr>
              <w:t>Common stock, $0.0001 par value; 150,000,000 shares authorized at March 31, 2026 and December 31, 2025, 82,182,101 and</w:t>
            </w:r>
          </w:p>
        </w:tc>
        <w:tc>
          <w:tcPr>
            <w:tcW w:w="2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81,323,532 shares issued and outstanding at March 31, 2026 and December 31, 2025, respectively</w:t>
            </w:r>
          </w:p>
        </w:tc>
        <w:tc>
          <w:tcPr>
            <w:tcW w:w="2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2,679,018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2,643,817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(1,135,195)</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(1,065,961)</w:t>
            </w: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(4,194)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1,539,637</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1,579,664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1,669,016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1,742,812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-3025140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-2451100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-128270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6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98,162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80,255</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20,357</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16,271</w:t>
            </w:r>
          </w:p>
        </w:tc>
        <w:tc>
          <w:tcPr>
            <w:tcW w:w="120" w:type="dxa"/>
            <w:vAlign w:val="bottom"/>
            <w:tcBorders>
              <w:bottom w:val="single" w:sz="8" w:color="CFF0FC"/>
            </w:tcBorders>
          </w:tcPr>
          <w:p>
            <w:pPr>
              <w:spacing w:after="0"/>
              <w:rPr>
                <w:sz w:val="18"/>
                <w:szCs w:val="18"/>
                <w:color w:val="auto"/>
              </w:rPr>
            </w:pPr>
          </w:p>
        </w:tc>
      </w:tr>
      <w:tr>
        <w:trPr>
          <w:trHeight w:val="210"/>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118,519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(84,154)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(74,426)</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76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other income:</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20" w:type="dxa"/>
            <w:vAlign w:val="bottom"/>
            <w:tcBorders>
              <w:top w:val="single" w:sz="8" w:color="CFF0FC"/>
            </w:tcBorders>
          </w:tcPr>
          <w:p>
            <w:pPr>
              <w:spacing w:after="0"/>
              <w:rPr>
                <w:sz w:val="18"/>
                <w:szCs w:val="18"/>
                <w:color w:val="auto"/>
              </w:rPr>
            </w:pPr>
          </w:p>
        </w:tc>
      </w:tr>
      <w:tr>
        <w:trPr>
          <w:trHeight w:val="249"/>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7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(5,994)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shd w:val="clear" w:color="auto" w:fill="CFF0FC"/>
          </w:tcPr>
          <w:p>
            <w:pPr>
              <w:spacing w:after="0"/>
              <w:rPr>
                <w:sz w:val="18"/>
                <w:szCs w:val="18"/>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(75,228)</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(64,154)</w:t>
            </w:r>
          </w:p>
        </w:tc>
      </w:tr>
      <w:tr>
        <w:trPr>
          <w:trHeight w:val="20"/>
        </w:trPr>
        <w:tc>
          <w:tcPr>
            <w:tcW w:w="7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r>
      <w:tr>
        <w:trPr>
          <w:trHeight w:val="249"/>
        </w:trPr>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196"/>
        </w:trPr>
        <w:tc>
          <w:tcPr>
            <w:tcW w:w="7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18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(0.82)</w:t>
            </w:r>
          </w:p>
        </w:tc>
      </w:tr>
      <w:tr>
        <w:trPr>
          <w:trHeight w:val="20"/>
        </w:trPr>
        <w:tc>
          <w:tcPr>
            <w:tcW w:w="7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3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97,534,269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80,146,531</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5778500</wp:posOffset>
            </wp:positionH>
            <wp:positionV relativeFrom="paragraph">
              <wp:posOffset>-2112645</wp:posOffset>
            </wp:positionV>
            <wp:extent cx="939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6936105</wp:posOffset>
            </wp:positionH>
            <wp:positionV relativeFrom="paragraph">
              <wp:posOffset>-2112645</wp:posOffset>
            </wp:positionV>
            <wp:extent cx="20129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1295" cy="17970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-1396365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-1396365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-1105535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-1087755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-1105535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-1087755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-805180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-805180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-350520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-334010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-496570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-350520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-334010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-496570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500" w:type="dxa"/>
            <w:vAlign w:val="bottom"/>
            <w:tcBorders>
              <w:bottom w:val="single" w:sz="8" w:color="auto"/>
            </w:tcBorders>
            <w:gridSpan w:val="4"/>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Income/(Loss)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64,890,193</w:t>
            </w:r>
          </w:p>
        </w:tc>
        <w:tc>
          <w:tcPr>
            <w:tcW w:w="500" w:type="dxa"/>
            <w:vAlign w:val="bottom"/>
            <w:gridSpan w:val="3"/>
            <w:shd w:val="clear" w:color="auto" w:fill="CFF0FC"/>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1,591,707</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(754,610)</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(1,485)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835,619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75,652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146,869</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(65,581)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(65,581)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65,112,714</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gridSpan w:val="2"/>
            <w:shd w:val="clear" w:color="auto" w:fill="CFF0FC"/>
          </w:tcPr>
          <w:p>
            <w:pPr>
              <w:jc w:val="right"/>
              <w:ind w:right="63"/>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3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1,606,475</w:t>
            </w:r>
          </w:p>
        </w:tc>
        <w:tc>
          <w:tcPr>
            <w:tcW w:w="2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(820,191)</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(58)</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786,233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81,323,532</w:t>
            </w:r>
          </w:p>
        </w:tc>
        <w:tc>
          <w:tcPr>
            <w:tcW w:w="50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2,643,817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(1,065,961)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1,579,664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669,517</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19,194</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189,052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16,007</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(5,994)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(69,234)</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(69,234)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2026</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82,182,101</w:t>
            </w:r>
          </w:p>
        </w:tc>
        <w:tc>
          <w:tcPr>
            <w:tcW w:w="320" w:type="dxa"/>
            <w:vAlign w:val="bottom"/>
            <w:gridSpan w:val="2"/>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2,679,018</w:t>
            </w:r>
          </w:p>
        </w:tc>
        <w:tc>
          <w:tcPr>
            <w:tcW w:w="2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(1,135,195)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1,539,637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-839470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-822325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-839470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-822325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-839470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-822325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-839470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-822325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-839470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-822325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-839470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-822325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-128270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-128270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-128270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-128270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-128270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-128270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9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(69,234)</w:t>
            </w: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(65,581)</w:t>
            </w: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16,007</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14,233</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Premiums and discounts on available-for-sale marketable securities</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(2,730)</w:t>
            </w:r>
          </w:p>
        </w:tc>
        <w:tc>
          <w:tcPr>
            <w:tcW w:w="6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(2,525)</w:t>
            </w: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(3,565)</w:t>
            </w: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Contract asset</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(19,053)</w:t>
            </w: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8,824</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(7,209)</w:t>
            </w:r>
          </w:p>
        </w:tc>
        <w:tc>
          <w:tcPr>
            <w:tcW w:w="6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(11,690)</w:t>
            </w: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(34,365)</w:t>
            </w:r>
          </w:p>
        </w:tc>
        <w:tc>
          <w:tcPr>
            <w:tcW w:w="6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(2,100)</w:t>
            </w:r>
          </w:p>
        </w:tc>
      </w:tr>
      <w:tr>
        <w:trPr>
          <w:trHeight w:val="202"/>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(1,358)</w:t>
            </w:r>
          </w:p>
        </w:tc>
        <w:tc>
          <w:tcPr>
            <w:tcW w:w="6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(1,154)</w:t>
            </w: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(694)</w:t>
            </w:r>
          </w:p>
        </w:tc>
      </w:tr>
      <w:tr>
        <w:trPr>
          <w:trHeight w:val="20"/>
        </w:trPr>
        <w:tc>
          <w:tcPr>
            <w:tcW w:w="79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(88,840)</w:t>
            </w: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(79,150)</w:t>
            </w: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 net</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(434)</w:t>
            </w:r>
          </w:p>
        </w:tc>
        <w:tc>
          <w:tcPr>
            <w:tcW w:w="6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(467)</w:t>
            </w: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(276,266)</w:t>
            </w:r>
          </w:p>
        </w:tc>
        <w:tc>
          <w:tcPr>
            <w:tcW w:w="6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(83,656)</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investments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133,860</w:t>
            </w:r>
          </w:p>
        </w:tc>
        <w:tc>
          <w:tcPr>
            <w:tcW w:w="2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132,738</w:t>
            </w:r>
          </w:p>
        </w:tc>
        <w:tc>
          <w:tcPr>
            <w:tcW w:w="100" w:type="dxa"/>
            <w:vAlign w:val="bottom"/>
          </w:tcPr>
          <w:p>
            <w:pPr>
              <w:spacing w:after="0"/>
              <w:rPr>
                <w:sz w:val="17"/>
                <w:szCs w:val="17"/>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(142,840)</w:t>
            </w:r>
          </w:p>
        </w:tc>
        <w:tc>
          <w:tcPr>
            <w:tcW w:w="64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48,615</w:t>
            </w:r>
          </w:p>
        </w:tc>
        <w:tc>
          <w:tcPr>
            <w:tcW w:w="100" w:type="dxa"/>
            <w:vAlign w:val="bottom"/>
            <w:shd w:val="clear" w:color="auto" w:fill="CFF0FC"/>
          </w:tcPr>
          <w:p>
            <w:pPr>
              <w:spacing w:after="0"/>
              <w:rPr>
                <w:sz w:val="17"/>
                <w:szCs w:val="17"/>
                <w:color w:val="auto"/>
              </w:rPr>
            </w:pPr>
          </w:p>
        </w:tc>
      </w:tr>
      <w:tr>
        <w:trPr>
          <w:trHeight w:val="196"/>
        </w:trPr>
        <w:tc>
          <w:tcPr>
            <w:tcW w:w="7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19,194</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(425)</w:t>
            </w:r>
          </w:p>
        </w:tc>
        <w:tc>
          <w:tcPr>
            <w:tcW w:w="6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(277)</w:t>
            </w:r>
          </w:p>
        </w:tc>
      </w:tr>
      <w:tr>
        <w:trPr>
          <w:trHeight w:val="19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18,769</w:t>
            </w:r>
          </w:p>
        </w:tc>
        <w:tc>
          <w:tcPr>
            <w:tcW w:w="2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(212,911)</w:t>
            </w:r>
          </w:p>
        </w:tc>
        <w:tc>
          <w:tcPr>
            <w:tcW w:w="6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(30,277)</w:t>
            </w:r>
          </w:p>
        </w:tc>
      </w:tr>
      <w:tr>
        <w:trPr>
          <w:trHeight w:val="203"/>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362,811</w:t>
            </w:r>
          </w:p>
        </w:tc>
        <w:tc>
          <w:tcPr>
            <w:tcW w:w="2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149,900</w:t>
            </w:r>
          </w:p>
        </w:tc>
        <w:tc>
          <w:tcPr>
            <w:tcW w:w="280" w:type="dxa"/>
            <w:vAlign w:val="bottom"/>
          </w:tcPr>
          <w:p>
            <w:pPr>
              <w:spacing w:after="0"/>
              <w:rPr>
                <w:sz w:val="17"/>
                <w:szCs w:val="17"/>
                <w:color w:val="auto"/>
              </w:rPr>
            </w:pPr>
          </w:p>
        </w:tc>
        <w:tc>
          <w:tcPr>
            <w:tcW w:w="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95,773</w:t>
            </w:r>
          </w:p>
        </w:tc>
        <w:tc>
          <w:tcPr>
            <w:tcW w:w="100" w:type="dxa"/>
            <w:vAlign w:val="bottom"/>
          </w:tcPr>
          <w:p>
            <w:pPr>
              <w:spacing w:after="0"/>
              <w:rPr>
                <w:sz w:val="17"/>
                <w:szCs w:val="17"/>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tcPr>
          <w:p>
            <w:pPr>
              <w:spacing w:after="0"/>
              <w:rPr>
                <w:sz w:val="17"/>
                <w:szCs w:val="17"/>
                <w:color w:val="auto"/>
              </w:rPr>
            </w:pP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7"/>
                <w:szCs w:val="17"/>
                <w:color w:val="auto"/>
              </w:rPr>
            </w:pPr>
          </w:p>
        </w:tc>
      </w:tr>
      <w:tr>
        <w:trPr>
          <w:trHeight w:val="202"/>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expenses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80" w:type="dxa"/>
            <w:vAlign w:val="bottom"/>
          </w:tcPr>
          <w:p>
            <w:pPr>
              <w:spacing w:after="0"/>
              <w:rPr>
                <w:sz w:val="18"/>
                <w:szCs w:val="18"/>
                <w:color w:val="auto"/>
              </w:rPr>
            </w:pP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-2258695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-2258695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-1461770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-1461770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-930275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-930275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-664210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-664210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300" w:type="dxa"/>
            <w:vAlign w:val="bottom"/>
            <w:gridSpan w:val="2"/>
            <w:shd w:val="clear" w:color="auto" w:fill="CFF0FC"/>
          </w:tcPr>
          <w:p>
            <w:pPr>
              <w:jc w:val="right"/>
              <w:ind w:right="8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144,090</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89,966</w:t>
            </w: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3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Pr>
          <w:p>
            <w:pPr>
              <w:spacing w:after="0"/>
              <w:rPr>
                <w:sz w:val="17"/>
                <w:szCs w:val="17"/>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149,900</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95,773</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historical net losses and anticipates that it will continue to incur losses for the foreseeable future and had an accumulated deficit of $1,135 million as of March 31, 2026. The Company has funded these losses principally through the issuance and sale of its convertible preferred stock to outside investors and collaborators in private equity financings, its initial public offering, or IPO, follow-on offerings, Private Investment in Public Equity, or PIPE offering, and at-the market sales program as well as from cash proceeds received in connection with the Company’s corporate collaboration agreements (see Note 5). The Company expects to continue to incur operating losses and negative operating cash flows until such time as it generates a level of revenue that is sufficient to support its cost structure.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cash, cash equivalents and marketable securities of $1,546 million. The Company believes these cash, cash equivalents and marketable securities will be sufficient to fund its operations and capital expenditure requirements through at least twelve months from the issuance of these condensed consolidated financial statements.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Follow-on Public Offerings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30, 2025, the Company issued and sold 5,044,500 shares of common stock at a public offering price of $44.00 per share. Additionally, in lieu of common stock to a certain investor, the Company issued and sold pre-funded warrants to purchase 655,500 shares of common stock at a public offering price of $43.9999 per pre-funded warrant, which represents the public offering price per share of common stock less the $0.0001 per share exercise price of each pre-funded warrant. The aggregate gross proceeds from this initial closing, before deducting underwriting discounts and commissions and other estimated offering expenses payable by the Company, were approximately $250.8 million. In July 2025, the Company completed the follow-on offering through the closing of the underwriters’ full exercise of their option to purchase an additional 855,000 shares of common stock. As a result, the total aggregate gross proceeds from this follow-on offering were approximately $288.4 million, before deducting underwriting discounts and commissions and other estimated offering expenses payable by the Company.</w:t>
      </w:r>
    </w:p>
    <w:p>
      <w:pPr>
        <w:spacing w:after="0" w:line="12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10, 2025, the Company completed a follow-on offering of its common stock. The Company issued and sold 8,050,000 shares of common stock, including full exercise of the underwriters’ option to purchase an additional 1,050,000 shares, at a public offering price of $86.00 per share. The aggregate gross proceeds before deducting underwriting discounts and commissions, and other estimated offering expenses payable by the Company were approximately $692.3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certain offerings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(or, at the election of the holder, 9.99%)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pre-funded warrants were exercised. As of March 31, 2026, there were 15,815,253 pre-funded warrants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application of certain significant accounting policies as described in this note, and elsewhere in the accompanying condensed consolidated financial statements and notes.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Kymera Securities Corporation. All intercompany transactions and balances have been eliminated in consolidation.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2025 included in the Company’s Annual Report on Form 10-K, filed with the SEC on February 26, 2026.</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as of and for the year ended December 31, 2025, and, in the opinion of management, reflect all adjustments necessary, all of which were normal and recurring, for the fair statement of the Company’s financial position as of March 31, 2026, and the results of operations, equity, and cash flows for the three months ended March 31, 2026 and 2025. The results for the three months ended March 31, 2026 are not necessarily indicative of the results for the year ended December 31, 2025 or for any future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months ended March 31, 2026 are consistent with those discussed in Note 2 to the consolidated financial statements in the 2025 Annual Report on Form 10-K except as discussed below.</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awards granted to employees, directors, and nonemployees based on their fair value on the date of the grant and recognizes compensation expense for those awards over the requisite service period, which is generally the vesting period of the respective award. Stock-based payments include grants of stock options and restricted stock units. The measurement date for stock awards is the date of grant, and stock-based compensation costs are recognized as expense over the requisite service period, which is the vesting period, on a straight-line basis. The Company has issued stock options and restricted stock units with performance-based vesting conditions and records the expense for these awards if the Company concludes that it is probable that the performance condition will be achieved. Stock-based compensation is classified in the accompanying consolidated statements of operations and comprehensive loss based on the function to which the related services are provided. The Company recognizes stock-based compensation expense for the portion of awards that have vested. Forfeitures are accounted for as they occur.</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options-pricing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The fair value of the underlying common shares equals the closing price of the Company’s stock on the date of grant. As the Company’s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IPO was in 2020, the Company lacks a sufficient period of company-specific historical and implied volatility information. Therefore, it estimates its expected stock volatility based on the historical volatility of a publicly traded set of guideline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fair value of each restricted stock unit award is estimated on the date of grant based on the fair value of the Company’s common stock on that same date.</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Compensation expense for discounted purchases under the employee stock purchase plan is measured using the Black-Scholes model to compute the fair value of the lookback provision plus the purchase discount and is recognized as compensation expense over the offering period.</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performance conditions included in certain of our restricted stock units awards and stock options that are based upon the achievement of pre-specified clinical development milestones. As the outcome of each event has inherent risk and uncertainties, and a positive outcome may not be known until the event is achieved, we begin to recognize the grant-date fair value of the performance-based restricted stock awards when we determine the achievement of each performance condition is deemed probable, a determination which requires significant judgment by management. On the date the performance condition is deemed probable, we record a cumulative expense catch-up, with remaining expense amortized over the remaining service period. We reassess the probability of achievement at each reporting period and adjust cumulative expense as necessary.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Beginning in 2026, the structure of the performance award design was revised to include a relative total shareholder return (rTSR) approach such that certain awards are earned for our rTSR performance over a three-year measurement periods relative to a peer group of companies. The actual number of performance awards that will vest at the end of the performance period may be anywhere from zero to 200 percent of the target number of shares granted. The fair value of these awards is estimated using a Monte Carlo model. Expense related to these awards is recognized ratably over the measurement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We are currently evaluating the disclosure requirements related to this new standard.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indicates the level of the fair value hierarchy utilized to determine such fair values as of March 31, 2026 and December 31, 2025 (in thousands):</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4"/>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138,403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138,403</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128,594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128,594</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160,226</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204,391</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196,193</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221,741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221,741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476,790</w:t>
            </w:r>
          </w:p>
        </w:tc>
        <w:tc>
          <w:tcPr>
            <w:tcW w:w="1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469,000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1,076,776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1,545,776</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4"/>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4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299,067</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299,067</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157,069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157,069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164,618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164,618</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446,041</w:t>
            </w:r>
          </w:p>
        </w:tc>
        <w:tc>
          <w:tcPr>
            <w:tcW w:w="1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622,436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975,825</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1,598,261</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-2853690</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-2853690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-2853690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-2853690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-170815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2026 and the year ended December 31, 2025, there were no transfers in or out of Level 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available-for-sale debt securities held at March 31, 2026 and December 31, 2025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324,788</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383,037</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(1,135)</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381,967</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683,522</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(2,501)</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681,180</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1,405,757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1,401,563</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3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316,979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317,568</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290,714</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290,909</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645,772</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646,791</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1,260,621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1,262,423</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-1379220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-1379220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-1379220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-1379220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held 311 securities that had been in an unrealized loss position for less than 12 months with an aggregate fair value of $1.1 billion. As of December 31, 2025, the Company held 120 securities that had been in an unrealized loss position for less than 12 months with an aggregate fair value of $389.1 million. As of March 31, 2026, the Company held 6 securities that had been in an unrealized loss position for greater than 12 months with an aggregate value of $14.2 million. As of December 31, 2025, the Company held 7 securities that had been in an unrealized loss position for greater than 12 months with an aggregate fair value of $16.3 million.</w:t>
      </w:r>
    </w:p>
    <w:p>
      <w:pPr>
        <w:spacing w:after="0" w:line="2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157 securities with a fair value of $506.8 million with a contractual maturity of less than 12 months and 251 securities with a fair value of $894.7 million with a contractual maturity of greater than 12 months. As of December 31, 2025, the Company had 141 securities with a fair value of $491.3 million with a contractual maturity of less than 12 months and 232 securities with a fair value of $771.2 million with a contractual maturity of greater than 12 months.</w:t>
      </w:r>
    </w:p>
    <w:p>
      <w:pPr>
        <w:spacing w:after="0" w:line="24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March 31, 2026 and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25, 2025, the Company entered into an exclusive option and license agreement (the “Gilead Agreement”) with Gilead Sciences, Inc. (“Gilead”), to collaborate on developing novel molecular glue degraders directed against cyclin-dependent kinase 2 (“CDK2”). Under the Gilead Agreement, the Company granted to Gilead an exclusive option, exercisable during a defined option period, to exercise an exclusive, worldwide license to develop, manufacture, and commercialize certain CDK2 degraders generated under the collaboration.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Gilead Agreement, the Company is responsible for all discovery and preclinical research activities through the delivery of a complete data package as defined in the agreement. If, after receiving the complete data package, Gilead exercises its option to license the program, Gilead will have global rights to develop, manufacture and commercialize all products resulting from the collaboration.</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Gilead does not exercise the option during the option period defined in the agreement, then the Gilead Agreement will terminate. 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the Company.</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exclusive option and rights granted under the Gilead Agreement, the Company received a non-refundable upfront payment of $40.0 million. In addition, if Gilead exercises the option, the Company is entitled to receive an option exercise payment of $45.0 million and will be eligible to receive up to $665.0 million upon the achievement of certain development, regulatory and commercial milestones. The Company is also eligible to receive tiered royalties on net sales by Gilead ranging from high single-digit to mid-teen percentages, subject to customary reductions in certain circumstances.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Gilead Agreement under ASC 606, Revenue from Contracts with Customers, and determined that the arrangement represents a contract with a customer. The Company identified the following material promises under the Gilead Agreement: (1) the discovery and preclinical research activities and (2) an option granting Gilead the right to acquire an exclusive license to the program.</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option to acquire an exclusive license to the program was evaluated as a material right. The Company determined that the option to acquire an exclusive license in the future was not priced at a discount, and that the option exercise fee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 That is, one performance obligation was identified, the discovery and preclinical research activities.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total transaction price to be $40.0 million, which represents the upfront payment. The option exercise payment and all future milestone and royalty payments are excluded from the initial transaction price as they are contingent on future events and were deemed constrained due to the uncertainty of achievement and the Company’s limited control over their occurrence.</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discovery and preclinical research activities are provided using an input method, according to costs incurred and the costs expected to be incurred in the future to satisfy that individual performance obligation. The transfer of control occurs over this time period and, in management’s judgment, is the best measure of progress towards satisfying each performance obligation. As of March 31, 2026, the Company's performance obligation has been fully satisfied. For the three months ended March 31, 2026, the Company recognized $34.4 million in revenue under the Gilead Agreement, all of which was recorded in deferred revenue as of December 31, 2025. For the three months ended March 31, 2025, the company did not recognize any revenue under the Gilead Agreement. The aggregate amount of the transaction price allocated to the Company’s unsatisfied performance obligations and recorded in deferred revenue as of March 31, 2026 and December 31, 2025 was $0 and $34.4 million, respectively. This decrease was the result of revenue recognized for the three months ended March 31,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all option and milestone payments were constrained as the achievement of such milestones are contingent upon the success of activities and decisions and are generally outside the control of the Company. Any amounts related to the option exercise fee or milestone payments will be included in the transaction price and recognized on a cumulative catch-up basis when the risk of revenue reversal is resolved. Royalties and commercial milestone payments, if any, will be recognized at the later of when the related sales occur or when the associated performance obligation has been satisfied.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the Company an exclusive option, or Opt-In Right, exercisable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We will further be eligible to receive tiered royalties on net sales ranging from the high single digits to high teens, subject to low-single digits upward adjustments in certain circumstances.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Further, in July 2024, the Company announced that Sanofi intends to expand the ongoing Phase 2 trials to more rapidly progress towards pivotal studies with the intention of accelerating overall timelines. In the first quarter of 2025, the Company achieved a development milestone related to certain preclinical activities associated with the IRAK4 program. In connection with this milestone the Company unconstrained $20.0 million of consideration in the first quarter of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2025, Sanofi communicated its decision to exercise its full participation election under the terms of the companies’ collaboration agreement, and to advance KT-485/SAR447971, into clinical testing. As a result, Sanofi intends to stop development of KT-474. In connection with the IRAK4 program, the Company remains eligible to receive up to $975 million in development and commercial milestones upon the achievement of certain developmental or regulatory events and upon the achievement of certain net sales thresholds.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total transaction price to be $150.0 million, which consists solely of the upfront payment. All milestone payments and option payments were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1: $120.0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2: $30.0 million</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Milestone and reimbursement consideration added to the transaction price will be recognized as revenue with a cumulative catch-up upon becoming unconstrained.</w:t>
      </w:r>
    </w:p>
    <w:p>
      <w:pPr>
        <w:spacing w:after="0" w:line="21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With Sanofi's exercise of its full participation election under the agreement for Collaboration Target 1, the performance obligations associated with Collaboration Target 1 &amp; Collaboration Target 2 have been fully satisfied.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2026, the Company recognized $0 million in revenue under the Sanofi Agreement. In the three months ended March 31, 2025, the Company recognized $22.1 million in revenue under the Sanofi Agreement, all of which was associated with Collaboration Target 1. The aggregate amount of the transaction price allocated to the Company’s unsatisfied performance obligations and recorded in deferred revenue decreased to $0 at both March 31, 2026 and December 31, 2025.</w:t>
      </w:r>
    </w:p>
    <w:p>
      <w:pPr>
        <w:spacing w:after="0" w:line="22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in the fourth quarter of 2023. In the first quarter of 2025, the Company achieved a development milestone related to certain preclinical activities associated with the IRAK4 program. During the three months ended March 31, 2026, the Company recognized $0 of revenue from the unconstrained milestones. During the three months ended March 31, 2025, the Company recognized $19.8 million of revenue from unconstrained milestones.</w:t>
      </w:r>
    </w:p>
    <w:p>
      <w:pPr>
        <w:spacing w:after="0" w:line="21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accounts receivable, contract assets and contract liabilities for the three months ended March 31, 2026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8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Gilead</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(34,365)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March 31, 2026 and December 31, 2025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office equipment under finance right-of-use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43,128</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42,991</w:t>
            </w:r>
          </w:p>
        </w:tc>
        <w:tc>
          <w:tcPr>
            <w:tcW w:w="8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(24,057)</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(22,127)</w:t>
            </w:r>
          </w:p>
        </w:tc>
      </w:tr>
      <w:tr>
        <w:trPr>
          <w:trHeight w:val="210"/>
        </w:trPr>
        <w:tc>
          <w:tcPr>
            <w:tcW w:w="20" w:type="dxa"/>
            <w:vAlign w:val="bottom"/>
          </w:tcPr>
          <w:p>
            <w:pPr>
              <w:spacing w:after="0"/>
              <w:rPr>
                <w:sz w:val="18"/>
                <w:szCs w:val="18"/>
                <w:color w:val="auto"/>
              </w:rPr>
            </w:pPr>
          </w:p>
        </w:tc>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41,617</w:t>
            </w:r>
          </w:p>
        </w:tc>
        <w:tc>
          <w:tcPr>
            <w:tcW w:w="1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43,175</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$1.6 million and $1.6 million, respectively.</w:t>
      </w:r>
    </w:p>
    <w:p>
      <w:pPr>
        <w:spacing w:after="0" w:line="225"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Included in property and equipment is lab and office equipment right-of-use assets under finance leases with a cost basis of $6.5 million and $6.5 million and accumulated amortization expense of $3.9 million and $3.5 million as of March 31, 2026 and December 31, 2025, respectively.</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right-of-use assets during the three months ended March 31, 2026 and 2025 was $0.4 million and $0.4 million, respectively.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2019, the Company entered into a noncancelable facility lease agreement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March 31, 2026 and December 31, 2025. The letter of credit totaled $1.3 million and $1.3 million as of March 31, 2026 and December 31, 2025,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March 31, 2026 and December 31, 2025.</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18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the improvements paid for by the landlord in connection with the tenant improvement allowance represent lessee assets and therefore recorded $20.1 million of leasehold improvements in property and equipment. The Company recorded an additional $17.9 million of leasehold improvements in excess of the tenant improvement allowance, all of which were placed in service in 2024.</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Upon occupancy of the 2021 Lease facility in February of 2024, the Company exited the 2019 Lease facility and is actively looking to sublease the entire facility for the remaining noncancellable lease term through March 31, 2030. These actions resulted in impairment charges to date of $8.8 million. The Company continues to evaluate the potential recovery of the ROU asset under sublease scenarios, and thus it is possible that additional impairments could be identified in future periods, and such amounts could be material.</w:t>
      </w:r>
    </w:p>
    <w:p>
      <w:pPr>
        <w:spacing w:after="0" w:line="180"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impairment charge reduces the carrying value of the associated ROU asset, leasehold improvements and certain furniture and fixture assets that remained in the facility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finance lease obligations consist of certain property and equipment financed through finance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lease costs for the three months ended March 31, 2026 and 2025, were as follows (in thousands):</w:t>
      </w:r>
    </w:p>
    <w:p>
      <w:pPr>
        <w:spacing w:after="0" w:line="24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98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1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right-to-use assets, finance leases</w:t>
            </w:r>
          </w:p>
        </w:tc>
        <w:tc>
          <w:tcPr>
            <w:tcW w:w="17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for finance lease liabilities</w:t>
            </w:r>
          </w:p>
        </w:tc>
        <w:tc>
          <w:tcPr>
            <w:tcW w:w="1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7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980" w:type="dxa"/>
            <w:vAlign w:val="bottom"/>
            <w:gridSpan w:val="2"/>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8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-1079500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-1079500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firstLine="50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relating to the Company’s leases for the three months ended March 31, 2026 and 2025, were as follows (in thousands):</w:t>
      </w:r>
    </w:p>
    <w:p>
      <w:pPr>
        <w:spacing w:after="0" w:line="182"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00" w:type="dxa"/>
        <w:tblCellMar>
          <w:top w:w="0" w:type="dxa"/>
          <w:left w:w="0" w:type="dxa"/>
          <w:bottom w:w="0" w:type="dxa"/>
          <w:right w:w="0" w:type="dxa"/>
        </w:tblCellMar>
      </w:tblPr>
      <w:tr>
        <w:trPr>
          <w:trHeight w:val="142"/>
        </w:trPr>
        <w:tc>
          <w:tcPr>
            <w:tcW w:w="47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91"/>
        </w:trPr>
        <w:tc>
          <w:tcPr>
            <w:tcW w:w="47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FF0FC"/>
          </w:tcPr>
          <w:p>
            <w:pPr>
              <w:spacing w:after="0"/>
              <w:rPr>
                <w:sz w:val="18"/>
                <w:szCs w:val="18"/>
                <w:color w:val="auto"/>
              </w:rPr>
            </w:pPr>
          </w:p>
        </w:tc>
      </w:tr>
      <w:tr>
        <w:trPr>
          <w:trHeight w:val="234"/>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as of March 31, 2026 and 2025 were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00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w:t>
            </w:r>
          </w:p>
        </w:tc>
        <w:tc>
          <w:tcPr>
            <w:tcW w:w="2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8.37 years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9.31 years</w:t>
            </w:r>
          </w:p>
        </w:tc>
      </w:tr>
      <w:tr>
        <w:trPr>
          <w:trHeight w:val="216"/>
        </w:trPr>
        <w:tc>
          <w:tcPr>
            <w:tcW w:w="4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Finance lease</w:t>
            </w:r>
          </w:p>
        </w:tc>
        <w:tc>
          <w:tcPr>
            <w:tcW w:w="200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1.95 years</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2.54 years</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8.69%</w:t>
            </w: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8.71%</w:t>
            </w:r>
          </w:p>
        </w:tc>
      </w:tr>
      <w:tr>
        <w:trPr>
          <w:trHeight w:val="234"/>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lease</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8.82%</w:t>
            </w: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8.68%</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undiscounted future lease payments for operating and finance leases as of March 31, 2026, were as follows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3"/>
                <w:szCs w:val="13"/>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(excluding the first quarter)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109,819</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 or imputed interest</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(32,202)</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77,617</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as of March 31, 2026 and December 31, 2025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884"/>
        </w:trPr>
        <w:tc>
          <w:tcPr>
            <w:tcW w:w="1700" w:type="dxa"/>
            <w:vAlign w:val="bottom"/>
          </w:tcPr>
          <w:p>
            <w:pPr>
              <w:spacing w:after="0"/>
              <w:rPr>
                <w:sz w:val="24"/>
                <w:szCs w:val="24"/>
                <w:color w:val="auto"/>
              </w:rPr>
            </w:pPr>
          </w:p>
        </w:tc>
        <w:tc>
          <w:tcPr>
            <w:tcW w:w="324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jc w:val="right"/>
              <w:ind w:right="53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-1070610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-1070610</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ind w:left="520" w:right="8000" w:hanging="512"/>
        <w:spacing w:after="0" w:line="378" w:lineRule="auto"/>
        <w:tabs>
          <w:tab w:leader="none" w:pos="19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Commitments and Contingencies </w:t>
      </w:r>
      <w:r>
        <w:rPr>
          <w:rFonts w:ascii="Times New Roman" w:cs="Times New Roman" w:eastAsia="Times New Roman" w:hAnsi="Times New Roman"/>
          <w:sz w:val="18"/>
          <w:szCs w:val="18"/>
          <w:b w:val="1"/>
          <w:bCs w:val="1"/>
          <w:i w:val="1"/>
          <w:iCs w:val="1"/>
          <w:color w:val="auto"/>
        </w:rPr>
        <w:t>Legal Proceedings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March 31, 2026 or December 31, 2025.</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Grant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In June 2024, in connection with the Company's 2024 annual shareholder meeting, shareholders approved an amendment to the 2020 stock option plan that redefined the definition of common stock outstanding for the purposes of calculating the annual increase to the shares available for issuance. After the amendment, outstanding equity includes all outstanding common shares as well as outstanding pre-funded warrants. As of March 31, 2026, there were an aggregate of 6,667,087 shares remaining available for future grants.</w:t>
      </w:r>
    </w:p>
    <w:p>
      <w:pPr>
        <w:spacing w:after="0" w:line="3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Employee Stock Purchase Plan (the “2020 ESPP”), which became effective August 20, 2020. The 2020 ESPP initially reserved and authorized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lesser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March 31, 2026, there were an aggregate 2,742,310 shares remaining available for future grants.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2020 Plan for service and performance based vesting conditions during the three months ended March 31, 2026 is as follows (in thousands except share and per share data):</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Strike</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0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9,003,748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4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(669,517)</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(74,915)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FF0FC"/>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Outstanding at March 31, 2026</w:t>
            </w:r>
          </w:p>
        </w:tc>
        <w:tc>
          <w:tcPr>
            <w:tcW w:w="130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9,356,276</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40.15</w:t>
            </w:r>
          </w:p>
        </w:tc>
        <w:tc>
          <w:tcPr>
            <w:tcW w:w="1480" w:type="dxa"/>
            <w:vAlign w:val="bottom"/>
            <w:tcBorders>
              <w:top w:val="single" w:sz="8" w:color="CFF0FC"/>
              <w:bottom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7.26</w:t>
            </w:r>
          </w:p>
        </w:tc>
        <w:tc>
          <w:tcPr>
            <w:tcW w:w="420" w:type="dxa"/>
            <w:vAlign w:val="bottom"/>
            <w:tcBorders>
              <w:top w:val="single" w:sz="8" w:color="CFF0FC"/>
              <w:bottom w:val="single" w:sz="8" w:color="CFF0FC"/>
            </w:tcBorders>
            <w:gridSpan w:val="2"/>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410,599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5,719,063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-730885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-730885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-156845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-314960</wp:posOffset>
            </wp:positionV>
            <wp:extent cx="85725"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during the three months ended March 31, 2026 and 2025 was $33.3 million and $2.1 million,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fair value of options granted during the three months ended March 31, 2026 and 2025 was $62.98 and $20.66, respectively.</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total unrecognized stock-based compensation expense for unvested stock options was $116.2 million, with a weighted average recognition period of 3.8 years.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2025 Performance Stock Options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performance stock options, or PSOs, under the Company’s 2020 Stock Option and Incentive Plan to certain key employees of the Company, including the Company’s executive officers and management team. The total number of PSOs that may vest will range from 0 to a maximum of 100% of the target number of options granted. The PSOs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the third clinical milestones will result in the vesting of 20% of the target amount. None of the PSOs with respect to the clinical milestone objective may vest prior to the first anniversary of the grant date. During the three months ended March 31, 2025, the Company granted 88,000 PSOs in relation to the 2025 PSO Grant with a weighted average strike price of $30.17. As of March 31, 2026 there are 88,000 PSOs outstanding with a weighted average strike price of $30.17 outstanding. As of March 31, 2026 the Company has concluded that it is not deemed probable that the clinical milestone based performance conditions will be achieved, and as such, no equity-based compensation has been recorded for PSOs.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2026 Performance Stock Options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2026, the Company granted 95,000 PSOs to certain key employees. The total number of PSOs that may vest will range from 0 to a maximum of 100% of the target number of options granted. The PSOs will vest in three separate installments subject to the achievement of two clinical milestones, and a third condition around relative Total Shareholder Return (“TSR”) of the Company’s Common Stock. Specifically, the achievement of the first clinical milestone will result in the vesting of 60% of the target amount, and the achievement of the second clinical milestone will result in the vesting of 15% of the target amount. None of the PSOs with respect to the clinical milestone objective may vest prior to the first anniversary of the grant date. As of March 31, 2026, the Company has concluded that it is not deemed probable that the clinical milestone based performance conditions for the 2026 PSOs will be achieved, and as such, no equity-based compensation has been recorded for clinical milestone portion of the 2026 PSOs.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25% of target PSOs earned will be based on the relative TSR of the Company’s common stock as compared to the TSR of the members of the S&amp;P Biotechnology Select Industry Index ("XBI") over a three-year performance period from January 1, 2026 to December 31, 2028. Depending on the results relative to the TSR market condition, the holders may earn from 0% to 200% of the target amount of shares which will vest at the end of the performance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PSOs will be forfeited if the performance conditions are not achieved at the end of the relative performance periods as described above. The vesting of the PSOs can also be triggered upon certain change in control events. The weighted-average grant date fair values of the PSOs relating to the TSR component were $97.53 per share. Stock-based compensation expense recognized for the PSOs relating to the TSR components were approximately $0.1 million and $0 for the three months ended March 31, 2026 and 2025, respectively. The measurement period for the TSR portion of the 2026 PSOs have not been met, and as such no shares have become exercisable. The Company estimated the fair values of shares granted under the market-based TSR PSOs using a Monte Carlo simulation model with the following assumptions:</w:t>
      </w:r>
    </w:p>
    <w:p>
      <w:pPr>
        <w:spacing w:after="0" w:line="200" w:lineRule="exact"/>
        <w:rPr>
          <w:sz w:val="20"/>
          <w:szCs w:val="20"/>
          <w:color w:val="auto"/>
        </w:rPr>
      </w:pPr>
    </w:p>
    <w:p>
      <w:pPr>
        <w:spacing w:after="0" w:line="222" w:lineRule="exact"/>
        <w:rPr>
          <w:sz w:val="20"/>
          <w:szCs w:val="20"/>
          <w:color w:val="auto"/>
        </w:rPr>
      </w:pPr>
    </w:p>
    <w:tbl>
      <w:tblPr>
        <w:tblLayout w:type="fixed"/>
        <w:tblInd w:w="36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outlines our equity-based compensation expense for stock options for the three months ended March 31, 2026 and 2025:</w:t>
      </w:r>
    </w:p>
    <w:p>
      <w:pPr>
        <w:spacing w:after="0" w:line="246"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7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2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Pr>
          <w:p>
            <w:pPr>
              <w:spacing w:after="0"/>
              <w:rPr>
                <w:sz w:val="18"/>
                <w:szCs w:val="18"/>
                <w:color w:val="auto"/>
              </w:rPr>
            </w:pPr>
          </w:p>
        </w:tc>
      </w:tr>
      <w:tr>
        <w:trPr>
          <w:trHeight w:val="210"/>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92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-7620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in the Black-Scholes option pricing model to determine the grant date fair value of stock options granted to employees and non-employees for the three months ended March 31, 2026 and 2025 were as follows:</w:t>
      </w:r>
    </w:p>
    <w:p>
      <w:pPr>
        <w:spacing w:after="0" w:line="88"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14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0" w:type="dxa"/>
            <w:vAlign w:val="bottom"/>
            <w:tcBorders>
              <w:top w:val="single" w:sz="8" w:color="auto"/>
              <w:bottom w:val="single" w:sz="8" w:color="auto"/>
            </w:tcBorders>
          </w:tcPr>
          <w:p>
            <w:pPr>
              <w:jc w:val="right"/>
              <w:ind w:right="7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10"/>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80" w:type="dxa"/>
            <w:vAlign w:val="bottom"/>
            <w:shd w:val="clear" w:color="auto" w:fill="CFF0FC"/>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3.70%</w:t>
            </w:r>
          </w:p>
        </w:tc>
        <w:tc>
          <w:tcPr>
            <w:tcW w:w="2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shares of restricted stock units with service-based and performance-based vesting conditions. A summary of restricted stock activity during the three months ended March 31, 2026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272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8"/>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2720" w:type="dxa"/>
            <w:vAlign w:val="bottom"/>
            <w:gridSpan w:val="3"/>
          </w:tcPr>
          <w:p>
            <w:pPr>
              <w:jc w:val="center"/>
              <w:ind w:right="19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17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60" w:type="dxa"/>
            <w:vAlign w:val="bottom"/>
            <w:gridSpan w:val="2"/>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2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1,345,155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417,914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36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(189,052)</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(38,841)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2026</w:t>
            </w:r>
          </w:p>
        </w:tc>
        <w:tc>
          <w:tcPr>
            <w:tcW w:w="2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1,535,176</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642"/>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-1482090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-1482090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-916305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i w:val="1"/>
          <w:iCs w:val="1"/>
          <w:color w:val="auto"/>
        </w:rPr>
        <w:t>2025 Performance Stock Units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restricted stocks units with performance-based vesting conditions, or performance stock units ("PSUs") under the Company’s 2020 Stock Option and Incentive Plan to certain key employees of the Company, including the Company’s named executive officers and management team. Specifically, in the three months ended March 31, 2025, the Company granted 285,723 PSUs. The total number of PSUs that may vest will range from 0 to a maximum of 100% of the target number of units granted. The 2025 PSUs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third clinical milestones will result in the vesting of 20% of the Target Amount. None of the PSUs with respect to the clinical milestone objective may vest prior to the first anniversary of the grant date. As of March 31, 2026 the Company has concluded that it is not deemed probable that the clinical milestone based performance conditions for the 2025 PSUs will be achieved, and as such, no equity-based compensation has been recorded for the 2025 PSUs.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2026 Performance Stock Units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2026, the Company granted PSUs to certain key employees. The total number of PSUs that may vest will range from 0 to a maximum of 100% of the target number of units granted. The PSUs will vest in three separate installments subject to the achievement of two clinical milestones, and a third condition around relative TSR of the Company’s Common Stock. Specifically, the achievement of the first clinical milestone will result in the vesting of 60% of the target amount, and the achievement of the second clinical milestone will result in the vesting of 15% of the target amount. None of the PSUs with respect to the clinical milestone objective may vest prior to the first anniversary of the grant date. As of March 31, 2026, the Company has concluded that it is not deemed probable that the clinical milestone based performance conditions for the 2026 PSUs will be achieved, and as such, no equity-based compensation has been recorded for clinical milestone portion of the 2026 PSUs.</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25% of target PSUs earned will be based on the relative TSR of the Company’s common stock as compared to the TSR of the members of the XBI over a three-year performance period from January 1, 2026 to December 31, 2028. Depending on the results relative to the TSR market condition, the holders may earn from 0% to 200% of the target amount of shares which will vest at the end of the performance period. The PSUs will be forfeited if the performance conditions are not achieved at the end of the relative performance periods as described above. The vesting of the PSUs can also be triggered upon certain change in control events. The weighted-average grant date fair values of the PSUs relating to the TSR component was $126.09 per share. Stock-based compensation expense recognized for the PSUs relating to the TSR component was approximately $0.1 million for the three months ended March 31, 2026. The measurement period for the TSR portion of the 2026 PSUs has not been met, and as such no shares have become exercisable. The Company estimated the fair values of shares granted under the market-based TSR PSUs using a Monte Carlo simulation model with the following assumptions:</w:t>
      </w:r>
    </w:p>
    <w:p>
      <w:pPr>
        <w:spacing w:after="0" w:line="200" w:lineRule="exact"/>
        <w:rPr>
          <w:sz w:val="20"/>
          <w:szCs w:val="20"/>
          <w:color w:val="auto"/>
        </w:rPr>
      </w:pPr>
    </w:p>
    <w:p>
      <w:pPr>
        <w:spacing w:after="0" w:line="223" w:lineRule="exact"/>
        <w:rPr>
          <w:sz w:val="20"/>
          <w:szCs w:val="20"/>
          <w:color w:val="auto"/>
        </w:rPr>
      </w:pPr>
    </w:p>
    <w:tbl>
      <w:tblPr>
        <w:tblLayout w:type="fixed"/>
        <w:tblInd w:w="3820" w:type="dxa"/>
        <w:tblCellMar>
          <w:top w:w="0" w:type="dxa"/>
          <w:left w:w="0" w:type="dxa"/>
          <w:bottom w:w="0" w:type="dxa"/>
          <w:right w:w="0" w:type="dxa"/>
        </w:tblCellMar>
      </w:tblPr>
      <w:tr>
        <w:trPr>
          <w:trHeight w:val="216"/>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0" w:lineRule="exact"/>
        <w:rPr>
          <w:sz w:val="20"/>
          <w:szCs w:val="20"/>
          <w:color w:val="auto"/>
        </w:rPr>
      </w:pPr>
    </w:p>
    <w:p>
      <w:pPr>
        <w:spacing w:after="0" w:line="21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344,242 and 73,672 restricted stock units with service and performance based vesting conditions respectively. During the three months ended March 31, 2025, the Company granted 327,800 and 285,723 restricted stock units with service and performance based vesting conditions respectively. As of March 31, 2026, the total unrecognized stock-based compensation expense for unvested restricted stock with service based vesting conditions was $54.1 million with a weighted average recognition period of 3.2 years. As of March 31, 2026, the total unrecognized stock-based compensation expense for unvested restricted stock with performance based vesting conditions was $2.3 million with a weighted average recognition period of 2.8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4" w:name="page25"/>
    <w:bookmarkEnd w:id="2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approximately $3.8 million of expense for restricted stock which $2.7 million and $1.1 million was recorded in research and development and general and administrative expense, respectively. During the three months ended March 31, 2025 the Company recognized approximately $2.4 million of expense for restricted stock of which $1.6 million and $0.8 million was recorded in research and development and general and administrative expense,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recorded as research and development and general and administrative expenses for employees, directors, and non-employees during the three months ended March 31, 2026 and 2025 is as follows (in thousands):</w:t>
      </w:r>
    </w:p>
    <w:p>
      <w:pPr>
        <w:spacing w:after="0" w:line="18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7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2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tcPr>
          <w:p>
            <w:pPr>
              <w:spacing w:after="0"/>
              <w:rPr>
                <w:sz w:val="18"/>
                <w:szCs w:val="18"/>
                <w:color w:val="auto"/>
              </w:rPr>
            </w:pPr>
          </w:p>
        </w:tc>
      </w:tr>
      <w:tr>
        <w:trPr>
          <w:trHeight w:val="210"/>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92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16,007</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Related-Party Transactions</w:t>
      </w:r>
    </w:p>
    <w:p>
      <w:pPr>
        <w:spacing w:after="0" w:line="12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John Maraganore is a member of the Company’s Board of Directors, and is affiliated with Jefferies LLC (“Jefferies”). On October 31, 2024, prior to Dr. Maraganore joining Jefferies,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“Jefferies Sales Agreement”) with Jefferies, pursuant to which the Company may offer and sell shares of its common stock having aggregate gross proceeds of up to $300.0 million from time to time in “at-the-market” offerings through Jefferies, as its sales agent. The Company agreed to pay Jefferies a commission of up to 3.0% of the gross proceeds of any shares sold by Jefferies under the Jefferies Sales Agreement.</w:t>
      </w:r>
    </w:p>
    <w:p>
      <w:pPr>
        <w:spacing w:after="0" w:line="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February 26, 2026, Jefferies acknowledged and accepted our prior written notice to terminate the Jefferies Sales Agreement, which termination was effective on February 26, 2026. As a result of such termination, we will not offer or sell any additional shares of common stock under the Jefferies Sales Agreement and as of its termination, the Company had not sold any shares of its common stock under the Jefferies Sales Agreement.</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than the aforementioned agreement, the Company had no related party transactions for the periods presented in the accompanying consolidated financial statements, which have not otherwise been discussed in these notes to the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taxes for the three months ended March 31, 2026 and 2025 have been calculated based on an estimated annual effective tax rate and certain discrete items. The Company recorded immaterial income tax expense related to investment income for the three months ended March 31, 2026 and 2025.</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stock outstanding for the period. The Company had 15,815,253 and 15,159,753 pre-funded warrants outstanding as of March 31, 2026 and 2025, respectively. Each pre-funded warrant is exercisable for one share of common stock at an exercise price of $0.0001 per share. Due to the nominal exercise price of the pre-funded warrants, they are considered to be outstanding shares of common stock for purposes of the calculation of earnings per share. (in thousands, except for share and per share data):</w:t>
      </w:r>
    </w:p>
    <w:p>
      <w:pPr>
        <w:spacing w:after="0" w:line="173"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(69,234)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(65,581)</w:t>
            </w:r>
          </w:p>
        </w:tc>
      </w:tr>
      <w:tr>
        <w:trPr>
          <w:trHeight w:val="216"/>
        </w:trPr>
        <w:tc>
          <w:tcPr>
            <w:tcW w:w="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81,719,016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64,986,778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pre-funded warrants outstanding, basic and diluted</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15,815,253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15,159,753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weighted average common stock outstanding, basic and 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97,534,269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80,146,531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(0.82)</w:t>
            </w: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-453390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-453390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-170815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March 31, 2026 and 2025 because including them would have had an anti-dilutive effect:</w:t>
      </w:r>
    </w:p>
    <w:p>
      <w:pPr>
        <w:spacing w:after="0" w:line="20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0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1,535,176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1,209,989</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9,356,276</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10,916,487</w:t>
            </w:r>
          </w:p>
        </w:tc>
        <w:tc>
          <w:tcPr>
            <w:tcW w:w="80" w:type="dxa"/>
            <w:vAlign w:val="bottom"/>
          </w:tcPr>
          <w:p>
            <w:pPr>
              <w:spacing w:after="0"/>
              <w:rPr>
                <w:sz w:val="18"/>
                <w:szCs w:val="18"/>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10,891,452</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12,126,476</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segment and one operating segment, which is dedicated to reinventing the treatment of human disease through the development of innovative, highly differentiated medicines that address significant health problems and that meaningfully improve patients’ lives. The Company’s chief operating decision maker, or CODM, is the chief executive officer. The CODM assesses performance for the segment and decides how to allocate resources based on consolidated net loss that is also reported on the consolidated statements of operations.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 All material long-lived assets are located in the United States. Long-lived assets consist of property and equipment, net, and operating lease right-of-use assets.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net loss to monitor budget versus actual results and to analyze cash flows in assessing performance of the segment and allocating resources.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consolidated financial statements included in the Company's Annual Report on Form 10-K.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profit and loss, including significant expense categories, attributable to the Company’s reportable segment for the periods presented:</w:t>
      </w:r>
    </w:p>
    <w:p>
      <w:pPr>
        <w:spacing w:after="0" w:line="263"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2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STAT6</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20,605</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540"/>
              <w:spacing w:after="0" w:line="216" w:lineRule="exact"/>
              <w:rPr>
                <w:sz w:val="20"/>
                <w:szCs w:val="20"/>
                <w:color w:val="auto"/>
              </w:rPr>
            </w:pPr>
            <w:r>
              <w:rPr>
                <w:rFonts w:ascii="Times New Roman" w:cs="Times New Roman" w:eastAsia="Times New Roman" w:hAnsi="Times New Roman"/>
                <w:sz w:val="18"/>
                <w:szCs w:val="18"/>
                <w:color w:val="auto"/>
              </w:rPr>
              <w:t xml:space="preserve">Other external research and development expense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32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compensation and related personnel expense </w:t>
            </w:r>
            <w:r>
              <w:rPr>
                <w:rFonts w:ascii="Times New Roman" w:cs="Times New Roman" w:eastAsia="Times New Roman" w:hAnsi="Times New Roman"/>
                <w:sz w:val="24"/>
                <w:szCs w:val="24"/>
                <w:color w:val="auto"/>
                <w:vertAlign w:val="superscript"/>
              </w:rPr>
              <w:t>(2)</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General &amp; administrative </w:t>
            </w:r>
            <w:r>
              <w:rPr>
                <w:rFonts w:ascii="Times New Roman" w:cs="Times New Roman" w:eastAsia="Times New Roman" w:hAnsi="Times New Roman"/>
                <w:sz w:val="24"/>
                <w:szCs w:val="24"/>
                <w:color w:val="auto"/>
                <w:vertAlign w:val="superscript"/>
              </w:rPr>
              <w:t>(3)</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16,271</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00" w:type="dxa"/>
            <w:vAlign w:val="bottom"/>
          </w:tcPr>
          <w:p>
            <w:pPr>
              <w:spacing w:after="0"/>
              <w:rPr>
                <w:sz w:val="18"/>
                <w:szCs w:val="18"/>
                <w:color w:val="auto"/>
              </w:rPr>
            </w:pPr>
          </w:p>
        </w:tc>
      </w:tr>
      <w:tr>
        <w:trPr>
          <w:trHeight w:val="230"/>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(69,234)</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(65,581)</w:t>
            </w:r>
          </w:p>
        </w:tc>
      </w:tr>
      <w:tr>
        <w:trPr>
          <w:trHeight w:val="20"/>
        </w:trPr>
        <w:tc>
          <w:tcPr>
            <w:tcW w:w="8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prior period amounts have been recast to conform with current period presentation.</w:t>
      </w:r>
    </w:p>
    <w:p>
      <w:pPr>
        <w:spacing w:after="0" w:line="26" w:lineRule="exact"/>
        <w:rPr>
          <w:rFonts w:ascii="Times New Roman" w:cs="Times New Roman" w:eastAsia="Times New Roman" w:hAnsi="Times New Roman"/>
          <w:sz w:val="16"/>
          <w:szCs w:val="16"/>
          <w:color w:val="auto"/>
        </w:rPr>
      </w:pPr>
    </w:p>
    <w:p>
      <w:pPr>
        <w:ind w:right="20" w:firstLine="8"/>
        <w:spacing w:after="0" w:line="264"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compensation and related personnel expense for the quarter ended March 31, 2026 and 2025 is inclusive of $8.6 million and $7.5 million of stock-based compensation expense, respectively.</w:t>
      </w:r>
    </w:p>
    <w:p>
      <w:pPr>
        <w:ind w:firstLine="8"/>
        <w:spacing w:after="0" w:line="288"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 for the quarter ended March 31, 2026 and 2025 is inclusive of $7.4 million and $6.7 million of stock-based compensation expense, respectively.</w:t>
      </w:r>
    </w:p>
    <w:p>
      <w:pPr>
        <w:spacing w:after="0" w:line="154" w:lineRule="exact"/>
        <w:rPr>
          <w:sz w:val="20"/>
          <w:szCs w:val="20"/>
          <w:color w:val="auto"/>
        </w:rPr>
      </w:pPr>
    </w:p>
    <w:p>
      <w:pPr>
        <w:ind w:right="620" w:firstLine="749"/>
        <w:spacing w:after="0" w:line="312" w:lineRule="auto"/>
        <w:rPr>
          <w:sz w:val="20"/>
          <w:szCs w:val="20"/>
          <w:color w:val="auto"/>
        </w:rPr>
      </w:pPr>
      <w:r>
        <w:rPr>
          <w:rFonts w:ascii="Times New Roman" w:cs="Times New Roman" w:eastAsia="Times New Roman" w:hAnsi="Times New Roman"/>
          <w:sz w:val="17"/>
          <w:szCs w:val="17"/>
          <w:color w:val="auto"/>
        </w:rPr>
        <w:t>Depreciation expense for the three months ended March 31, 2026 and 2025 was $1.6 million and $1.6 million respectively. Amortization expense related to right-of-use assets for the three months ended March 31, 2026 and 2025 was $0.4 million and $0.4 million respectively.</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April 2026, Gilead Sciences, Inc. exercised its option to exclusively license KT-200, a first-in-class, oral CDK2 molecular glue degrader. As a result, the company achieved a $45 million milestone payment which is expected to be received and recognized as revenue in the second quarter of 2026.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reinventing the treatment of human disease through the development of innovative, highly differentiated oral medicines that address significant health problems and meaningfully improve patients’ lives. We are committed to advancing novel technologies to address targets that have known disease-causing biology, but which have not been drugged, or have been inadequately drugged, often based on limitations of existing technologies. Our approach is intended to discover and develop a new generation of medicines in a disease-agnostic manner.</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leader in targeted protein degradation (TPD), a next-generation small molecule therapeutic modality that engages the body’s natural cellular recycling system to selectively eliminate disease-causing proteins. Our objective is to develop molecules that are both potent and highly selective, creating the unique potential to address diseases that are poorly served by current treatment options. To date, we have progressed multiple programs into clinical development and expect to advance at least one new molecular entity into clinical testing annually. We intend to leverage our drug development expertise to become a fully integrated biopharmaceutical company with an industry-leading pipeline of novel medicines.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discovery and development efforts are primarily directed at high-value targets in immunology. We believe there are more than 160 million patients in the United States, Europe and Japan that are diagnosed with some of the most prevalent immune-inflammatory diseases that our programs have the potential to address, nearly half of whom remain untreated. Of those treated, most patients are treated with therapies that do not treat the underlying diseases but mostly their symptoms. As a result, only a small percentage of patients, which we believe to be approximately 3% of the diagnosed population with moderate to severe inflammatory diseases, are currently treated with systemic advanced therapies, mostly injectable biologics. While generally efficacious, biologics have drawbacks. Biologics tend to be more expensive to manufacture, and the cost burden ultimately falls on patients and payors. Patient access to therapy can also be a challenge, as biologics can be more complex to prescribe and reimburse than small molecule medicines. Additionally, biologics are administered as injections - which may result in injection site reactions or pain - a less preferred route of administration as compared to oral medications, which offer greater flexibility for patients. We believe we have the potential to deliver a compelling value proposition to a significant underserved patient population: small molecule medicines with biologics-like activity through the convenience of a daily, oral pill.</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publicly disclosed immunology programs target STAT6, IRF5 and IRAK4, each of which addresses targets within validated pathways, providing the opportunity to treat a broad range of diseases. We are developing KT-621 as part of our STAT6 program, which is currently being evaluated in the BROADEN2 Phase 2b clinical trial in adult and adolescent patients with moderate to severe Atopic Dermatitis (AD) and the BREADTH Phase 2b clinical trial in adult patients with moderate to severe asthma. We are also developing KT-579 as part of our oral IRF5 degrader program, which is being evaluated in a Phase 1 clinical trial in healthy volunteers. We are collaborating with Sanofi S.A. (“Sanofi”) on the development of our IRAK4 degrader, KT-485/SAR447971, which Sanofi plans to advance into clinical testing in 2026. In June 2025, we announced a strategic collaboration with Gilead Sciences, Inc. (“Gilead”) to develop novel oral molecular glue degraders for CDK2. In April 2026, Gilead exercised its option to exclusively license KT-200, a first-in-class, oral CDK2 molecular glue degrader. Gilead is expected to progress the program into IND-enabling studies to support an IND filing in 2027. Our additional early undisclosed pipeline programs focus on addressing high impact targets that have been elusive to conventional modalities and that drive the pathogenesis of multiple serious diseases with significant unmet medical needs.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immunology focus, we also have research initiatives in other therapeutic areas. Additionally, we believe many of our key discovery and development capabilities have broad applicability, creating an opportunity for us to develop impactful therapies leveraging small-molecule modalities in addition to TPD.</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$2.75 billion from sales of our convertible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preferred stock, the sale of common stock including our August 2020 initial public offering, or IPO, and concurrent private placement, our subsequent follow-on offerings and private placement offering, our prior sales agreement with Cowen and through our corporate collaborations.</w:t>
      </w:r>
    </w:p>
    <w:p>
      <w:pPr>
        <w:spacing w:after="0" w:line="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$311.4 million and $223.9 million for the years ended December 31, 2025 and 2024, respectively. We reported net losses of $69.2 million and $65.6 million for the three months ended March 31, 2026 and 2025, respectively. In addition, as of March 31, 2026 and December 31, 2025, we had an accumulated deficit of $1,135 million and $1,066.0 million, respectively. We expect that our expense and capital requirements will increase substantially in connection with our ongoing activities, particularly if and as we:</w:t>
      </w:r>
    </w:p>
    <w:p>
      <w:pPr>
        <w:spacing w:after="0" w:line="32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future product candidates;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3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$1,546 million. We believe the existing cash, cash equivalents and marketable securities on hand will be sufficient to fund our operations into 2029, beyond multiple clinical inflection points in our pipeline. We have based this estimate on assumptions that may prove to be wrong, and we could exhaust our available capital resources sooner than we expect. See “Liquidity and capital resources”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Our only revenues have been derived from research collaboration arrangements with Vertex and Sanofi. We expect that our revenue for the next several years will be derived primarily from our current collaboration agreements and any additional collaborations that we may enter into in the future. To date, we have not received any royalties under any of the collaboration agreements.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Agreement</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June 25, 2025, we entered into an exclusive option and license agreement (the “Gilead Agreement”) with Gilead Sciences, Inc. (“Gilead”), to collaborate on developing novel molecular glue degraders directed against cyclin-dependent kinase 2 (“CDK2”). Under the Gilead Agreement, the Company granted to Gilead an exclusive option, exercisable during a defined option period, to exercise an exclusive, worldwide license to develop, manufacture, and commercialize certain CDK2 degraders generated under the collaboration.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Gilead Agreement, we are responsible for all discovery and preclinical research activities through the delivery of a complete data package as defined in the agreement. If, after receiving the complete data package, Gilead exercises its option to license the program, Gilead will have global rights to develop, manufacture and commercialize all products resulting from the collaboration.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Gilead does not exercise the option during the option period defined in the agreement, then the Gilead Agreement will terminate. 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our company.</w:t>
      </w:r>
    </w:p>
    <w:p>
      <w:pPr>
        <w:spacing w:after="0" w:line="75"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consideration for the exclusive option and rights granted under the Gilead Agreement, we received a non-refundable upfront payment of $40.0 million. Further in April 2026, Gilead exercised its exclusive option to license KT-200,an oral CDK2 molecular glue degrader as a development candidate. As a result, we earned an option exercise milestone of $45.0 million, expected to be received and recognized as revenue in the second quarter of 2026. We remain eligible to receive up to an additional $665.0 million upon the achievement of certain development, regulatory and commercial milestones. We are also eligible to receive tiered royalties on net sales by Gilead ranging from high single-digit to mid-teen percentages, subject to customary reductions in certain circumstances.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exclusive option, or Opt-In Right, exercisable on a collaboration-target-by-collaboration-target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We will further be eligible to receive tiered royalties on net sales ranging from the high single digits to high teens, subject to low-single digits upward adjustments in certain circumstances. As of March 31, 2026, we have achieved $75.0 million of milestones under the Sanofi Agreement related to certain IRAK4 clinical and preclinical milestones.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for which the Company received milestone payments as further set forth in the Amended Sanofi Agreement. Phase 2 clinical trials of KT-474 are initially investigating its potential in HS and AD with the clinical trial for both indications having been initiated and commenced dosing in 2023.</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2025, Sanofi communicated its decision to exercise its full participation election under the terms of the companies’ collaboration agreement, and to advance KT-485/SAR447971, into clinical testing. As a result, Sanofi stopped development of KT-474. In connection with the IRAK4 program, we remain eligible to receive up to $975 million in development and commercial milestones upon the achievement of certain developmental or regulatory events and upon the achievement of certain net sales thresholds.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2023, we mutually agreed to cease activities related to the undisclosed target and we are no longer eligible for the milestone and royalty payments associated with the second target.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 parties, including contract research organizations, or CROs, and other third parties that conduct clinical trials and preclinical activities on our behalf;</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or CMOs, that are primarily engaged to provide drug substance and product for our preclinical research and development programs, nonclinical studies, clinical trials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clinical and nonclinical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a future pandemic or similar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 and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and expense consists of interest earned on our invested cash balances and interest expense related to our financing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three months ended March 31, 2026 and 2025</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98,162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118,519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(84,154)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(74,426)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(9,728)</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(69,234)</w:t>
            </w:r>
          </w:p>
        </w:tc>
        <w:tc>
          <w:tcPr>
            <w:tcW w:w="120" w:type="dxa"/>
            <w:vAlign w:val="bottom"/>
          </w:tcPr>
          <w:p>
            <w:pPr>
              <w:spacing w:after="0"/>
              <w:rPr>
                <w:sz w:val="17"/>
                <w:szCs w:val="17"/>
                <w:color w:val="auto"/>
              </w:rPr>
            </w:pPr>
          </w:p>
        </w:tc>
        <w:tc>
          <w:tcPr>
            <w:tcW w:w="380" w:type="dxa"/>
            <w:vAlign w:val="bottom"/>
            <w:gridSpan w:val="2"/>
          </w:tcPr>
          <w:p>
            <w:pPr>
              <w:jc w:val="right"/>
              <w:ind w:right="148"/>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(65,581)</w:t>
            </w:r>
          </w:p>
        </w:tc>
        <w:tc>
          <w:tcPr>
            <w:tcW w:w="26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-179705</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revenues were $34.4 million and $22.1 million for the three months ended March 31, 2026 and 2025, respectively. All of the revenue recognized for the three months ended March 31, 2026 is attributable to our collaboration agreement with Gilead, and all of the revenue recognized for the three months ended March 31, 2025 is attributable to our collaboration agreement with Sanofi.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33,211</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98,162</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$98.2 million for the three months ended March 31, 2026, compared to $80.3 million for the three months ended March 31, 2025. The increase of $17.9 million was primarily due to a $6.7 million increase in personnel, equity-based compensation, occupancy, and other internal costs due to increased investment in employee talent and facilities in the research and development functions and a $12.6 million increase in costs related to our STAT6 program. These increases were partially offset by a $1.4 million reduction in activities related to our non-STAT6 programs.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$20.4 million for the three months ended March 31, 2026, compared to $16.3 million for the three months ended March 31, 2025. This increase of $4.1 million was primarily due to an increase in legal and professional service fees, personnel, facility, occupancy, and other expenses to support our growth. Equity-based compensation expenses included in general and administrative expenses were $7.4 million and $6.7 million for the three months ended March 31, 2026 and 2025, respectively.</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Other income, net was $14.9 million for the three months ended March 31, 2026, compared to $8.8 million for the three months ended March 31, 2025. The $6.1 million increase was primarily due to an increase in the cash, cash equivalents, and investments balances resulting in higher interest income.</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received gross proceeds of $2.75 billion from sales of our convertible preferred stock, the sale of common stock including our August 2020 initial public offering, or IPO, and concurrent private placement, our follow-on offerings and private placement offering, our prior sales agreement with TD Securities (USA) LLC, or Cowen, and through our corporate collaborations. As of March 31, 2026, we had cash and cash equivalents and marketable securities of $1,546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4" w:name="page35"/>
    <w:bookmarkEnd w:id="3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2021, we entered into a sales agreement, or Prior Cowen Sales Agreement, with Cowen, pursuant to which we were able to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Prior Cowen Sales Agreement. As of March 31, 2026, we have sold 1,519,453 shares of common stock under the Prior Cowen Sales Agreement resulting in gross proceeds of approximately $50 million. On October 30, 2024, Cowen acknowledged and accepted our prior written notice to terminate the Prior Cowen Sales Agreement, which termination was effective on October 30, 2024. As a result of such termination, we will not offer or sell any additional shares of common stock under the Prior Cowen Sales Agreement.</w:t>
      </w:r>
    </w:p>
    <w:p>
      <w:pPr>
        <w:spacing w:after="0" w:line="8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Jefferies Sales Agreement, with Jefferies LLC, or Jefferies, pursuant to which we were able to offer and sell shares of our common stock having aggregate gross proceeds of up to $300.0 million from time to time in “at-the-market” offerings through Jefferies, as our sales agent. We agreed to pay Jefferies a commission of up to 3.0% of the gross proceeds of any shares sold by Jefferies under the Sales Agreement. As of March 31, 2026, we have not sold any shares of common stock under the Jefferies Sales Agreement. On February 26, 2026, Jefferies acknowledged and accepted our prior written notice to terminate the Jefferies Sales Agreement, which termination was effective on February 26, 2026. As a result of such termination, we will not offer or sell any additional shares of common stock under the Jefferies Sales Agreement.</w:t>
      </w:r>
    </w:p>
    <w:p>
      <w:pPr>
        <w:spacing w:after="0" w:line="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26, 2026, we entered into a sales agreement, or Cowen Sales Agreement, with Cowen, pursuant to which we may offer and sell shares of our common stock having aggregate gross proceeds of up to $500.0 million from time to time in “at-the-market” offerings through Cowen, as our sales agent. We agreed to pay Cowen a commission of up to 3.0% of the gross proceeds of any shares sold by Cowen under the Cowen Sales Agreement. As of March 31, 2026, we have not sold any shares of common stock under the Cowen Sales Agreement.</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(88,840)</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(142,840)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18,769</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(212,911)</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Operating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cash used in operating activities was $88.8 million, primarily resulting from our net loss of $69.2 million during the period and a $34.9 million net decrease in other operating assets and liabilities primarily driven by changes in contract assets, deferred revenue, accounts payable, accrued expenses and operating lease liabilities. This was partially offset by adjustments for non-cash items of $15.3 million primarily consisting of stock-based compensation, depreciation &amp; amortization and premiums &amp; discounts on available- for sale-securities.</w:t>
      </w:r>
    </w:p>
    <w:p>
      <w:pPr>
        <w:spacing w:after="0" w:line="2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cash used in operating activities was $79.2 million, primarily resulting from our net loss of $65.6 million during the period and a $27.3 million net decrease in other operating assets and liabilities primarily driven by changes in contract assets, deferred revenue, accounts payable, accrued expenses and operating lease liabilities. This was partially offset by adjustments for non-cash items of $13.8 million (primarily consisting of stock-based compensation, depreciation &amp; amortization and premiums &amp; discounts on available- for sale-securities).</w:t>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cash used in investing activities was $142.8 million comprised of purchases of marketable securities of $276.3 million, partially offset by maturities of marketable securities of $133.9 million and purchases of property and equipment of $0.4 million.</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cash provided by investing activities was $48.6 million comprised of maturities of marketable securities of $132.7 million, partially offset by purchases of marketable securities of $83.7 million and purchases of property and equipment of $0.5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Financing Activities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$18.8 million, consisting of $19.2 million in proceeds from the exercise of employee stock options partially offset by finance lease payments of $0.4 million.</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was $0.3 million, consisting of $0.6 million in proceeds from the exercise of employee stock options partially offset by finance lease payments of $0.3 million.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2"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maintaining or acquiring operating space;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approved product candidates, including product pricing, as well as product coverage and the adequacy of reimbursement by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the existing cash, cash equivalents and marketable securities of $1,546 million as of March 31, 2026, will enable us to fund our operating expenses and capital expenditure requirements into 2029. We have based this estimate on assumptions that may prove to be wrong, and we could exhaust our available capital resources sooner than we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6" w:name="page37"/>
    <w:bookmarkEnd w:id="36"/>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outstanding pre-funded warrants to purchase 15,815,253 shares of common stock, each with an exercise price of $0.0001 per share. These warrants can be exercised at any time at the discretion of the holders, subject to certain ownership limitations. While the potential exercise of these pre-funded warrants would result in the issuance of additional shares, thus increasing the total shares outstanding, their nominal exercise price means they are already considered outstanding for purposes of calculating the Company’s weighted average common stock outstanding and earnings per share. Due to the minimal exercise price, the Company doesn't anticipate significant additional cash proceeds upon exercise and consequently does not expect the exercise of these warrants to materially affect its liquidity, capital resources, or overall financial condition.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and commitments described under “Management’s Discussion and Analysis of Financial Condition and Results of Operations” in our Annual Report on Form 10-K for the fiscal year ended December 31, 2025.</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three months ended March 31, 2026, there were no material changes to our critical accounting policies from those described in our Annual Report Form 10-K filed with the SEC on February 26, 2026.</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March 31, 2026, we had no significant liabilities denominated in foreign currencies.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March 31, 2026,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activities,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company and that may make it difficult for our stockholders to evaluate the success of our business to date and to assess our future viability.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clinical trials of our product candidates. We have never generated any revenue from drug sales. We have not obtained regulatory approvals for any of our current product candidates.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developments relating to macroeconomic conditions. We will need to transition from a company with a research and development focus to a company capable of supporting late-stage development and commercial activities. We may not be successful in such a transition.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To date, we have financed our operations primarily through the issuance and sale of our convertible preferred stock to outside investors, collaborators in private equity financings, upfront payments under our collaborations and sales of our common stock in our initial public offering, or IPO, and multiple public and private offerings of common stock and our at-the market sales program. As of March 31, 2026, our cash and cash equivalents and marketable securities were $1,546 million. We have incurred net losses in each year since our inception, and we had an accumulated deficit of $1,135 million as of March 31, 2026. For the years ended December 31, 2025, 2024 and 2023, we reported net losses of $311.4 million, $223.9 million and $147.0 million, respectively. We reported net losses of $69.2 million and $65.6 million for the three months ended March 31, 2026 and 2025,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We expect our expenses to significantly increase in connection with our ongoing activities, as we:</w:t>
      </w:r>
    </w:p>
    <w:p>
      <w:pPr>
        <w:spacing w:after="0" w:line="30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FDA, for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9" w:name="page40"/>
    <w:bookmarkEnd w:id="39"/>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Future Financial Condition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we exercise our opt-in rights with collaborators or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had approximately $1,546 million of cash and cash equivalents and marketable securities, which we expect will be sufficient to fund our operations into 2029.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72"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existing or additional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current or future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current or future product candidates.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We are subject to the reporting requirements of the Securities Exchange Act of 1934, as amended, or the Exchange Act, the Sarbanes-Oxley Act of 2002, as amended, or Sarbanes-Oxley Act, and the Dodd-Frank Wall Street Reform and Consumer Protection Act, or the Dodd-Frank Act. For example, the Exchange Act requires, among other things, that we file with the Securities and Exchange Commission, or the SEC, annual, quarterly and current reports with respect to our business and financial condition. These reporting requirements continue to evolve, which has created uncertainty for public companies like us and accommodating these evolving standards may require increased legal and financial compliance costs and make some activities more time-consuming and costly.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requirements divert the attention of our management and personnel from other business concerns, they could have a material adverse effect on our business, financial condition and results of operations. It may be more difficult and more expensive for us to obtain director and officer liability insurance in the future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then, additional financial institutions have experienced similar failures and have been placed into receivership. If other banks and financial institutions enter receivership or become insolvent in the future in response to financial conditions affecting the banking system and financial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markets, then our ability to access our cash, cash equivalents and marketable securities may be threatened, which could have a material adverse effect on our business and financial condition.</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Preclinical and Clinical Development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STAT6 and IRF5 programs are in early clinical development with additional programs in preclinical development. If we are unable to advance our programs into and through the clinic for safety or efficacy reasons or commercialize our product candidates or experience significant delays in doing so, our business will be materially harmed.</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can advance and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75"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ongoing or planned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timing of IND clearances of current and future product candidates, and/or clinical trial costs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completion of all safety studies required to obtain U.S. and foreign marketing approval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novel and unproven, which makes it difficult to predict the time, cost of development and likelihood of successfully developing any products.</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utilize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94"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expertise in TPD will result in the development and marketing approval of any products. Any development problems we experience in the future related to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apply our expertise in TPD,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focus on a limited number of research programs and product candidates. We are currently focused on our immunology portfolio, consisting of our STAT6, IRF5 and IRAK4 programs, which target key signaling pathways implicated in multiple inflammatory and autoimmune diseases, as well our CDK2 program in oncology. In some instances, we may decide to discontinue our investment in programs. For example, in May 2025 we made the strategic decision to not advance KT-295 (TYK2) into further clinical development. Additionally, in June 2025, we announced our partner Sanofi’s decisions to discontinue the development of KT-474 (IRAK4) in order to prioritize the development of a second generation IRAK4 degrader, KT-485. As a result, we or our collaborators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including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For example, the preclinical and manufacturing data we submit to obtain authorization to proceed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into human clinical trials may not be accepted initially or at all by a government authority, which could result in a clinical hold on a product candidate. Clinical holds can delay clinical trial initiation and, even if successfully resolved, could occur at any time during clinical development as new data or information emerges. 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w:t>
      </w:r>
    </w:p>
    <w:p>
      <w:pPr>
        <w:spacing w:after="0" w:line="19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75" w:lineRule="exact"/>
        <w:rPr>
          <w:sz w:val="20"/>
          <w:szCs w:val="20"/>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the number, design, size, conduct or implementation of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require that we conduct additional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approve the formulation, labeling or specifications of any of our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accept data generated at our preclinical studies and clinical trial sites;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be delayed in its review processes due to staffing or other constraints;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delays in trial initiation, including due to clinical holds or site activation delays,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 for the indications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subjects, principal investigators or staff or clinical site availability.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There can be no assurance that the final topline data from our trials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Positive results from our preclinical studies of our current or future product candidates, and any positive results we may obtain from our early clinical trials of our current or future product candidates, including the preclinical results that supported IND clearance for KT-579, ongoing clinical trials of KT-621 and KT-579 and planned clinical trials of KT-485,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and/or clinical trials of our current or future product candidates, including KT-621 and KT-579, may not be replicated in subsequent preclinical studies or clinical trials. In particular, while we have conducted certain preclinical studies of KT-621 and KT-579, we do not know whether any of these product candidates will perform in our planned clinical trials as it has performed in these prior preclinical studies. For example, in preclinical studies KT-621 demonstrated full inhibition of IL-4/IL-13 pathway in all relevant human cell contexts with picomolar potency that exceeded published data for dupilumab, and equivalent or superior activity to dupilumab.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our planned or future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KT-621 for a broad set of immunology indications, with potential indications to include AD, asthma, COPD, CRSwNP, EoE, PN and others. We are developing KT-579 for immunology indications, with potential indications to include lupus, Sjögren's, IBD, RA and others.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Infectious diseases may also affect research activities and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affect on the operations of our third-party manufacturers and the supply chain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Legislative and regulatory actions have been taken that have the potential to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On December 18, 2025, for example, the National Defense Authorization Act for Fiscal Year 2026 (“NDAA”)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and from expending certain federal loan or grant funds for such equipment or services. While the BIOSECURE Act is primarily directed at U.S. government procurement and funding and has not yet been fully implemented through final regulations, there remains a continued policy interest in limiting U.S. companies’ relationships with biotechnology providers with relationships with foreign adversaries. The potential downstream adverse impacts on entities having only commercial relationships with any impacted biotechnology providers is unknown but may include supply chain disruptions or delays. Though we do not currently receive U.S. government funding, we rely on third-party service providers and may have collaborators, investors, customers, or future commercial partners that receive U.S. government funding and could be subject to BIOSECURE-related restrictions. We regularly evaluate steps to mitigate any potential impact of any future expanded or modified legislation or regulatory or administrative actions towards foreign entities providing services to U.S. based companies. Depending on the terms of any final legislation or administrative actions that may be enacted, these steps could result in additional costs and potential delays in development timelines resulting from related transition efforts.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not known and depend on various factors, such as negotiations between the U.S. and affected countries, their respective responses, potential exemptions or exclusions, and availability and cost of alternative sources of supply. Supply chain disruptions and delays could also negatively impact our cost of materials and production processes. If we are unable to obtain these materials in sufficient quantity and in a timely manner, the development, testing, and our clinical trials and any future product candidates may be delayed or infeasible, and regulatory approval or commercial launch may be delayed or not obtained, which could significantly harm our business.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 frames under which modified manufacturing processes can be used for any of our current or future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 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The U.S. Supreme Court’s decision in July 2024 to overturn established case law giving deference to regulatory agencies’ interpretations of ambiguous statutory language has introduced uncertainty regarding the extent to which FDA’s regulations, policies and decisions may become subject to increasing legal challenges, delays or changes. Our current or future product candidates could be delayed in receiving, or fail to receive, regulatory approval for many reasons, including the following:</w:t>
      </w:r>
    </w:p>
    <w:p>
      <w:pPr>
        <w:spacing w:after="0" w:line="8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is substantial uncertainty as to whether and how the current administration will seek to modify or revise the requirements and policies of the FDA and other regulatory agencies with jurisdiction over our product candidates. The impending uncertainty could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present new challenges or potential opportunities as we navigate the clinical development and approval process for our product candidates.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In December 2025 we received Fast Track Designation for KT-621 for atopic dermatitis and in April 2026 we received Fast Track Designation for KT-621 for moderate to severe asthma. We may in the future pursue Fast Track Designation for additional uses or other candidates. Even if we receive Fast Track Designation for certain current or future product candidates, we may not experience a faster development process, review or approval compared to conventional FDA procedures. Additionally,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seek approval of KT-621, KT-579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or our collaborators may seek accelerated approval of KT-621, KT-579,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must specify the conditions for any post-approval trials by the date of accelerated approval and the agency has flexibility in setting forth such conditions, which may include enrollment targets, clinical trial protocol and milestones – including the target date of trial completion. The FDA is also permitted to require, as appropriate, that such trials be underway prior to approval or within a specific time period after the date of approval for a product granted accelerated approval. Accelerated approval sponsors must submit progress reports every six months on required post-approval trials. FDORA also gives the FDA increased authority to withdraw approval of a drug or biologic granted accelerated approval on an expedited basis if the sponsor fails to conduct such studies in a timely manner, send the necessary updates to the FDA, or if such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current or future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criteria for orphan designation in the EU are similar in principle to the U.S. For more information, please see the section of our Annual Report on Form 10-K, filed with the SEC on February 26, 2026, titled “Business - Government Regulation - Government Regulation of Drugs Outside of the United States” In the European Union, orphan designation entitles a party to financial incentives such as reduction of fees or fee waivers.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approved use or indication for that time period, except in limited circumstances. The applicable period is seven years in the U.S. and ten years in the European Union.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approved use or indication. In addition, even after an orphan drug is approved, the FDA can subsequently approve the same drug for the same approved use or indication if the FDA concludes that the later drug is clinically superior in that it is shown to be safer, more effective or makes a major contribution to patient care.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If we or a regulatory agency discover problems with any of our future approved drugs, such as adverse events of unanticipated severity or frequency, or problems with the facility where such drug products are manufactured, a regulatory agency may impose restrictions on such drug products, the manufacturer or us, including requiring withdrawal of the product from the market or suspension of manufacturing. Additionally, under FDORA, sponsors of approved drugs and biologics must provide 6 months’ notice to the FDA of any changes in marketing status, or for discontinuing or interrupting supply of certain drugs, including the withdrawal of a drug, and failure to do so could result in a letter citing such failure to comply and public posting of such letter and redacted company response which could damage the company’s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reputation.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7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staffing and operations, could hinder their ability to hire and retain key leadership and other personnel, delay the review and approval of regulatory submissions, limit the development or implementation of regulatory programs,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and may continue to fluctuate as a result of these factors. In addition, government funding of the SEC and other government agencies on which our operations may rely, including those that fund research and development activities, is subject to the political process, which is inherently fluid and unpredictable. For example, the current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from federal government shutdowns like the one that occurred in October 2025, and the partial government shutdown that occurred in January and February 2026, substantial leadership departures, personnel cuts, and policy changes, may also slow the time necessary for new drugs to be reviewed and/or approved, which would harm our business. These changes have been reported by some within the pharmaceutical industry as creating instances of delays in the FDA’s responsiveness or in its ability to review IND submissions or applications, issue regulations or guidance, or implement or enforce regulatory requirements in a timely fashion or at all.</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a prolonged government shut down occurs again or if the FDA, NIH, SEC or the USPTO experiences significant decreases in funding or personnel, it could significantly impact the ability of the FDA to issues licenses needed for conduct of our clinical trials, the NIH to conduct research or provide grants, and the abilities of the FDA and the USPTO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is substantial uncertainty as to whether and how the current administration will seek to modify or revise the requirements and policies of the FDA and other regulatory agencies with jurisdiction over our product candidates and any products for which we obtain approval. Additionally, the current administration could also issue or promulgate executive orders, regulations, policies or guidance that adversely affect us or create a more challenging or costly environment to pursue the development of new therapeutic candidates or delay the review or effectiveness of required regulatory or securities filings. Also, state governments may seek to address or react to changes at the federal level with changes to their regulatory frameworks in a manner that could impact our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Foreign Regulatory Approval and Foreign Markets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79" w:lineRule="exact"/>
        <w:rPr>
          <w:sz w:val="20"/>
          <w:szCs w:val="20"/>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that obtaining regulatory approvals outside of the U.S. may take longer and be more costly than obtaining approval in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current or future product candidates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Foreign sales of our current or future product candidates could also be adversely affected by the imposition of governmental controls, political and economic instability, trade restrictions and changes in tariffs (including tariffs that have been or may in the future be imposed by the United States or other countries).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in the future choose to conduct one or more clinical trials outside the U.S., including in Europe and other geographies.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and FDA has discussed proposals to increase user fees for marketing applications containing certain foreign clinical data.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or in the delay or halt in development of such candidates.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 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Compliance with Healthcare and Other Regulations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For more information, please see the section of our Annual Report on Form 10-K, filed with the SEC on February 26, 2026, entitled, “Business - Government Regulation - Other Healthcare Laws” and the section of our Annual Report entitled, “Business - Government Regulation - Current and Future Healthcare Reform Legislation”.</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w:t>
      </w:r>
    </w:p>
    <w:p>
      <w:pPr>
        <w:spacing w:after="0" w:line="4" w:lineRule="exact"/>
        <w:rPr>
          <w:sz w:val="20"/>
          <w:szCs w:val="20"/>
          <w:color w:val="auto"/>
        </w:rPr>
      </w:pPr>
    </w:p>
    <w:p>
      <w:pPr>
        <w:jc w:val="both"/>
        <w:ind w:firstLine="74"/>
        <w:spacing w:after="0" w:line="255" w:lineRule="auto"/>
        <w:rPr>
          <w:sz w:val="20"/>
          <w:szCs w:val="20"/>
          <w:color w:val="auto"/>
        </w:rPr>
      </w:pPr>
      <w:r>
        <w:rPr>
          <w:rFonts w:ascii="Times New Roman" w:cs="Times New Roman" w:eastAsia="Times New Roman" w:hAnsi="Times New Roman"/>
          <w:sz w:val="18"/>
          <w:szCs w:val="18"/>
          <w:color w:val="auto"/>
        </w:rPr>
        <w:t>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8"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legislative reform measures may have a material adverse effect on our business and results of operations.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For more information, please see the section of our Annual Report on Form 10-K, filed with the SEC on February 26, 2026, entitled, “Business - Government Regulation - Current &amp; Future Healthcare Reform Legislation.”</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For more information, please see the section of our Annual Report on Form 10-K, filed with the SEC on February 26, 2026, entitled “Business - Government Regulation - Other Regulatory Matters - Other Healthcare Laws.”</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the Bribery Act 2010 in the U.K..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Companies developing small molecule protein degraders therapies for patients, include, but are not limited to, Arvinas, Inc., C4 Therapeutics, Inc., Nurix Therapeutics, Inc., and Foghorn Therapeutics, Inc. Further, several large pharmaceutical companies have disclosed preclinical investments in this field. In particular, several pharmaceutical companies have announced partnerships around programs targeting STAT6, including Sanofi, Johnson &amp; Johnson and Gilead.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IRF5, and CDK2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we will need to increase our insurance coverage when we begin later stage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laboratories, contract manufacturing organizations and strategic partners to help conduct or otherwise support our preclinical studies and clinical trials for our current product candidates, and we expect to rely on such third parties for our future product candidates. We do not have the ability to independently conduct clinical trials. We rely heavily on external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3" w:name="page64"/>
    <w:bookmarkEnd w:id="63"/>
    <w:p>
      <w:pPr>
        <w:jc w:val="both"/>
        <w:spacing w:after="0" w:line="253" w:lineRule="auto"/>
        <w:rPr>
          <w:sz w:val="20"/>
          <w:szCs w:val="20"/>
          <w:color w:val="auto"/>
        </w:rPr>
      </w:pPr>
      <w:r>
        <w:rPr>
          <w:rFonts w:ascii="Times New Roman" w:cs="Times New Roman" w:eastAsia="Times New Roman" w:hAnsi="Times New Roman"/>
          <w:sz w:val="18"/>
          <w:szCs w:val="18"/>
          <w:color w:val="auto"/>
        </w:rPr>
        <w:t>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public notifications of noncompliance, civil monetary penalties, adverse publicity and can also prevent the non-compliant party from receiving future grant funds from the federal government.</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the Phase 1 and 2 trials of KT-621 and Phase 1 trial of KT-579,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fail to comply with regulatory requirements, or if they need to be replaced, any clinical trials such CROs are associated with may be extended, delayed or terminated,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 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We rely on and expect to continue to rely on our suppliers to develop our current or future product candidates, and to ultimately supply our commercial drugs in quantities sufficient to meet the market demand. We do not currently have arrangements in place for a second-source supply of all drug product or drug substance.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Regional or single-source dependencies may in some cases accentuate these risks. For example, the pharmaceutical industry generally and in some instances we or our collaborators or other third parties on which we rely on depend on China-based suppliers or services providers for certain raw materials, products and services and other activities. Our ability or the ability of our collaborators or such other third parties to continue to engage these China-based suppliers or service providers for certain preclinical research programs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and clinical development programs could be restricted due to developments between the United States and China, including as a result of the escalation of tariffs or other trade restrictions.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December 18, 2025, the NDAA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and from expending certain federal loan or grant funds for such equipment or services. While the BIOSECURE Act does not identify specific companies by name in the statutory text, it reflects continued U.S. government focus on limiting reliance on biotechnology providers with relationships to foreign adversaries that may pose national security risks. The BIOSECURE Act has not yet been fully implemented through final regulations, and the scope, interpretation, and enforcement of these restrictions remain uncertain.</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BIOSECURE-related restrictions, and any future legislative, regulatory, or administrative actions expanding or modifying these restrictions, could negatively impact U.S. companies and institutions that accept U.S. funding for projects that utilize biotechnology equipment or services produced or provided by certain biotechnology providers having relationships with foreign adversaries. The potential downstream adverse impacts on entities having only commercial relationships with any impacted biotechnology providers is unknown but may include supply chain disruptions or delays. Though we do not currently receive U.S. government funding, BIOSECURE-related restrictions could indirectly affect our collaborators, customers, investors, or suppliers that receive U.S. government funding, and we are currently evaluating steps to mitigate any potential impact of any future expanded or modified legislation or regulatory or administrative actions applicable to foreign entities providing services to U.S. based companies. Depending on the terms of the final BIOSECURE Act, its implementing regulations, or any related future actions, these steps could result in additional costs and potential delays in development timelines resulting from related transition efforts. 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It may be difficult for us to assess their ability to timely meet our demand in the future based on past performance.</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 collaboration and licensing arrangement with Sanofi with respect to our IRAK4 program and Gilead with respect to our CDK2 program and we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the company in a timely manner.</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89"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color w:val="auto"/>
        </w:rPr>
        <w:t>For example, we granted our collaboration partner Gilead an exclusive option for an exclusive license with respect to our CDK2 program and Gilead exercised that option in April 2026. Future payments under our licensing arrangement with Gilead are contingent upon Gilead’s sole execution of the CDK2 program. In addition, Sanofi has significant discretion in determining the efforts and resources that it will apply to advance clinical trials of KT-</w:t>
      </w:r>
    </w:p>
    <w:p>
      <w:pPr>
        <w:spacing w:after="0" w:line="1" w:lineRule="exact"/>
        <w:rPr>
          <w:sz w:val="20"/>
          <w:szCs w:val="20"/>
          <w:color w:val="auto"/>
        </w:rPr>
      </w:pPr>
    </w:p>
    <w:p>
      <w:pPr>
        <w:ind w:right="100" w:firstLine="8"/>
        <w:spacing w:after="0" w:line="255" w:lineRule="auto"/>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TPD expertise, and our STAT6, IRAK4, IRF5, and CDK2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own patent applications and patents related to our TPD technology and our novel bifunctional degrader compounds, including claims to compositions of matter, pharmaceutical compositions, methods of use, methods of treatment, and other related methods.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TPD expertise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patent term adjustments,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the Unified Patent Court, or UPC, or in other countries or jurisdictions.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our TPD expertise, or other technologies in all countries. Filing, prosecuting and defending patents on current or future product candidates, our TPD expertise,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our TPD expertise,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current or future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Risks Related to Patent Protection</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auto"/>
        </w:rPr>
        <w:t>Risks Related to Our Trademarks, Trade Names and Trade Secrets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or impediments to building our product brand recognition.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during the trademark registration process, we may receive Office Actions from the USPTO or from comparable agencies in foreign jurisdictions refusing registration of our trademarks.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Litigation and Infringement Claims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color w:val="auto"/>
        </w:rPr>
        <w:t>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our TPD expertise,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our TPD expertise, or other technologies, are rightfully owned by their former or concurrent employer. Litigation may be necessary to defend against these claims.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or future product candidates, or from using our proprietary technologies, including our TPD expertise, unless the third-party licenses its product rights to us, which it is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TPD expertise may be impaired or delayed, which could in turn significantly harm our business. Even if we obtain a license, it may be nonexclusive, thereby giving our competitors access to the same technologies licensed to us.</w:t>
      </w:r>
    </w:p>
    <w:p>
      <w:pPr>
        <w:spacing w:after="0" w:line="20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reasonable terms, if at all. In that event, we would be unable to further develop and commercialize our current or future product candidates or technologies, which could harm our business significantly.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Employee Matters and Managing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Nello Mainolfi, Ph.D., our President and Chief Executive Officer, Jared Gollob, M.D., our Chief Medical Officer, Bruce Jacobs, our Chief Financial Officer, Brian Adams, our Chief Legal Officer, Jeremy Chadwick, our Chief Operating Officer and Noah Goodman, our Chief Business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ability to attract new personnel may be impacted by restrictions on travel, changes to immigration policy or the availability of work visas under the current administration. If we are unable to continue to attract and retain high quality personnel, our ability to pursue our growth strategy will be limited.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2026, we had 253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management’s time and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sublease our former space in Watertown, Massachusetts for occupancy now that we have moved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began occupying in February 2024. We intend to sublease our original space and are actively marketing the space to third parties. In the event that we are unable to sublease our original space on favorable terms, or at all, or if we are able to sublease our space but our subtenants fail to make lease payments to us or otherwise default on their obligations to us, we could incur unanticipated payment obligations or further impairment.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Data and Privacy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security incidents, or compromises, which could result in the disclosure of confidential or proprietary information, including personal data, damage our reputation, and subject us to significant financial and legal exposure.</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security incident, or compromise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employee error or malfeasance, industrial espionage, wire fraud and other forms of cyber fraud, the deployment of harmful malware, denial-of-service, social engineering (including successful phishing attacks) or other means to threaten data security, confidentiality, integrity and availability. These attacks and activity are also being facilitated or enhanced by evolving technologies, including artificial intelligence.</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incidents or breaches that would result in business, legal, financial or reputational harm to us, or would have a material adverse effect on our results of operations and financial condition. Attempts to disrupt or gain unauthorized access to our and our third-party vendors’ information systems from malicious third parties or insider threats may incorporate widely varying and frequently changing tactics, which may be enhanced or facilitated by artificial intelligence.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Like other companies in our industry, we and our service providers have experienced and may in the future experience cyberattacks and other attempts to disrupt or gain unauthorized access to our and our third-party vendors’ information systems. 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incidents, data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security incident or data breach.</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may be subject to a variety of privacy and data protection laws, regulations and contractual obligations, which may require us to incur substantial compliance costs, and any failure or perceived failure by us to comply with them could expose us to fines or other penalties and otherwise harm our business and operations.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be subject to data privacy and protection laws and regulations that apply to the collection, transmission, storage and use of sensitive information and personally-identifying information, which among other things, imposes certain requirements relating to the privacy, security and transmission of certain individually identifiable information. In addition, numerous other federal and state laws, including state security breach notification laws, state health information privacy laws and federal and state consumer protection laws, govern the collection, use, disclosure and security of personal information. These laws continue to change and evolve and are increasing in breadth and impact.</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example, with respect to the collection and processing of personal data relating to the EU, European Economic Area (“EEA”) and United Kingdom (“UK”), we are subject to the EU General Data Protection Regulation (EU GDPR), the UK General Data Protection Regulation (UK GDPR), as well as applicable data protection laws in effect in the Member States of the EEA and in the UK (including the UK Data Protection Act 2018) which govern the processing of personal data in connection with (a) the offering of goods or services to/the monitoring of the behavior of individuals in the UK and EEA; or (b) the activities of our establishments in the UK and any EEA Member State. The UK’s data protection regime is independent from but aligned to the EU’s data protection regime. In this Form 10-K, “GDPR” refers to both the EU GDPR and the UK GDPR, unless specified otherwise. The GDPR is wide-ranging in scope and imposes numerous requirements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service providers.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of the UK and EEA that do not ensure an adequate level of protection, including the United States in certain circumstances, unless derogation exists or a valid GDPR transfer mechanism (for example, the European Commission approved Standard Contractual Clauses (SCCs) and the UK International Data Transfer Agreement or Addendum (UK IDTA)) have been put in place, and transfer impact assessments conducted. The EU and U.S. have adopted its adequacy decision for the EU-U.S. Data Privacy Framework, or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Any inability to transfer personal data from the UK or EEA to the United States in compliance with data protection laws may impede our operations and may adversely affect our business and financial position.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UK’s data protection regime is independent from but aligned to the EU’s data protection regime. Although the UK is regarded as a third country under the EU’s GDPR, the European Commission has now issued an adequacy decision recognizing the UK as providing adequate protection under the EU GDPR and, therefore, transfers of personal data originating in the EEA to the UK remain unrestricted. In December 2025, the European Commission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(the “DUAA”) on 19 June 2025. Like the EU GDPR, the UK GDPR restricts personal data transfers outside the UK to countries not regarded by the UK as providing adequate protection. The UK Government has confirmed that personal data transfers from the UK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EEA Member States and the UK may result in fines up to €20 million (17.5 million for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violations of the GDPR. Complying with these European data protection laws may impose significant costs or otherwise require us to divert resources or implement changes to our business processes, and any actual or perceived non-compliance could result in significant penalties, claims and reputational damage.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several layers of federal and state data protection laws and regulations may apply to our business, including HIPAA, the Federal Trade Commission (FTC) Act and state consumer privacy and health data privacy laws. For example, the California Consumer Privacy Act (CCPA) is a comprehensive privacy law that creates individual privacy rights and increased privacy and security obligations on businesses handling the personal data of California residents. The CCPA requires covered businesses to provide certain disclosures to consumers about data collection, use and sharing practices, to allow California residents to opt out of certain sales and disclosures of personal information, and to opt out of certain uses of sensitive personal information, including health information. The law also created a regulatory agency in California, and that agency’s finalized and proposed regulations are continuing to change the standard of privacy protection we may be required to meet. Numerous other states have passed similar consumer privacy laws that are or will be implemented and enforced by various state regulators. Like the CCPA, these laws grant consumers rights in relation to their personal information and impose new obligations on regulated businesses, including, in some instances, broader data security requirements. These laws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more than a dozen states will make our compliance obligations more complex and costly and may increase the likelihood that we may be subject to enforcement actions or otherwise incur liability for noncompliance.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States are also putting in place laws that apply additional protections specifically to health information. For example, Washington’s My Health My Data Act, which went into effect in March 2024, requires regulated entities to obtain consent to collect health information, grants consumers certain rights, including to request deletion, and provides for robust enforcement mechanisms, including enforcement by the state attorney-general and by litigants through a private right of action for consumer claims. Connecticut and Nevada have also passed similar laws regulating consumer health data. In addition, other states have proposed or passed legislation that regulates the privacy and security of certain specific types of information. For example, a small number of states have passed laws that regulate biometric data specifically.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federal regulators are imposing new and heightened protections for health and other sensitive information that could impact our business. For example, the FTC has imposed stringent requirements on the collection and disclosure of sensitive categories of personal information, including health information, and has expanded the application of its Health Breach Notification Rule. Further, through executive and legislative action, the federal government restricts data transactions involving certain sensitive data categories – including health data, genetic data, and biospecimens – with persons affiliated with China, Russia, and other countries of concern, including through the Department of Justice’s January 8, 2025, rule on “Preventing Access to U.S. Sensitive Personal Data and Government-Related Data by Countries of Concern or Covered Persons”. The rule also prohibits covered businesses from engaging in certain investment agreements, employment agreements or vendor agreements involving such data and countries of concern, absent specified cybersecurity controls. Actual or alleged violations of these laws and regulations may be punishable by criminal and/or civil sanctions, result in exclusion from participation in federal and state programs or restrict our ability to use certain vendors, sites, investigators, or service providers in global clinical trials.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current and future data privacy laws and regulations may require us to modify our data collection or processing practices and policies, incur substantial costs and expenses in an effort to comply and increase our potential exposure to regulatory enforcement, reputational damage, and/or litigation.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artificial intelligence and machine learning could adversely affect our business and operating results.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our ongoing efforts to innovate and develop product candidates, we have integrated artificial intelligence (AI) and machine learning into virtual screening, hit validation and optimization technologies. While AI and machine learning present opportunities for enhanced productivity and innovation, they also introduce cybersecurity, data privacy, IT, intellectual property, regulatory, legal, operational, competitive, reputational and other risks that could adversely impact our business and reputation. Specifically, risks related to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laws and regulations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evolving regulatory landscape surrounding AI also poses a risk, as new laws and regulations could impose additional compliance burdens, resulting in increased operational costs to comply with U.S. and non-U.S. laws concerning the use of AI. We expect to see increasing regulation related to AI use and ethics, which may also significantly increase the burden and cost of research, development and compliance in this area. For example, the EU’s Artificial Intelligence Act (“AI Act”) entered into force on August 1, 2024, and, with some exceptions, will become fully effective in August 2026. As enacted, the AI Act imposes significant obligations on providers and deployers of high-risk AI systems and general purpose AI models and encourages providers and deployers to account for EU ethical principles when developing and using AI technology.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Likewise, in the United States, the regulatory environment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Various federal and state regulators have also issued guidance and focused enforcement efforts on the use of AI in regulated sectors, such as healthcare. The U.S. Food and Drug Administration, for example, issued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that are governed by these laws or regulations, including as informed by regulatory guidance, we will need to meet higher standards of data quality, transparency, and human oversight, as well as adhering to specific and potentially burdensome and costly ethical, accountability, and administrative requirements. We may also be subject to significant enforcement or litigation in the event of any perceived non-compliance.</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committed to implementing governance and control mechanisms to mitigate these risks, but there can be no assurance that such measures will adequately prevent or mitigate the adverse effects that the integration and use of AI may have on our business, financial condition, and results of operations. 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current or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 or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collaboration agreements, including announcements regarding our collaboration agreements with Sanofi and Gilead;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0" w:lineRule="exact"/>
        <w:rPr>
          <w:sz w:val="20"/>
          <w:szCs w:val="20"/>
          <w:color w:val="auto"/>
        </w:rPr>
      </w:pPr>
    </w:p>
    <w:p>
      <w:pPr>
        <w:spacing w:after="0" w:line="24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global economic and geopolitical conditions may have serious adverse consequences on our business, financial condition, stock price and results of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potential for significant changes in U.S. policies or regulatory environment given the current administration, military conflict, including the ongoing conflicts between the U.S. and the Middle East, Russia and Ukraine, and in the Middle East, terrorism, or other geopolitical events. Sanctions imposed by the United States and other countries in response to such conflicts, including in the Middle East and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of the stock market and the general economic downturn. 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Changes in U.S. federal policy that affect the geopolitical landscape could give rise to circumstances outside our control that could have negative impacts on our business operations. For example, in 2025, the U.S. imposed substantial tariffs on imports from its trading partners, including, without limitation, Canada, Mexico, the EU and China. In response to tariffs, other countries have implemented retaliatory tariffs on U.S. goods. While certain tariffs were subsequently suspended, modified, or temporarily reduced, we cannot predict the results of the U.S. government's trade negotiations or the outcome of ongoing legal challenges to specific tariff policies. The impact of tariffs has already been seen, and we expect will continue to be seen, in global markets. In addition, the current U.S. administration has expressed an intent to impose tariffs on pharmaceutical imports, with the stated policy objective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 The current U.S. administration has threatened to continue to broadly impose tariffs, which could lead to corresponding punitive actions by the countries with which the U.S. trades.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We are continuing to monitor global capital markets and assessing the potential impact of these factors on our business.</w:t>
      </w:r>
    </w:p>
    <w:p>
      <w:pPr>
        <w:spacing w:after="0" w:line="195" w:lineRule="exact"/>
        <w:rPr>
          <w:sz w:val="20"/>
          <w:szCs w:val="20"/>
          <w:color w:val="auto"/>
        </w:rPr>
      </w:pPr>
    </w:p>
    <w:p>
      <w:pPr>
        <w:jc w:val="both"/>
        <w:ind w:firstLine="587"/>
        <w:spacing w:after="0" w:line="254" w:lineRule="auto"/>
        <w:rPr>
          <w:sz w:val="20"/>
          <w:szCs w:val="20"/>
          <w:color w:val="auto"/>
        </w:rPr>
      </w:pPr>
      <w:r>
        <w:rPr>
          <w:rFonts w:ascii="Times New Roman" w:cs="Times New Roman" w:eastAsia="Times New Roman" w:hAnsi="Times New Roman"/>
          <w:sz w:val="18"/>
          <w:szCs w:val="18"/>
          <w:color w:val="auto"/>
        </w:rPr>
        <w:t>Additionally, severe or prolonged economic downturn or additional global financial crises could result in a variety of risks to our business, including weakened demand for any product candidates we develop or our ability to raise additional capital when needed on acceptable terms, if at all. For example, on October 1, 2025, the U.S. federal government shutdown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2026, the existing holdings of our executive officers, directors, principal stockholders and their affiliates represent beneficial ownership, in the aggregate, of approximately 26%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 The concentration of voting power among these stockholders may also have an adverse effect on the price 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approximately 15,815,253 shares of our common stock were reserved for issuance upon exercise of pre-funded warrants. Additionally, 10,891,452 shares of our common stock were reserved for issuance upon exercise of outstanding stock options and vested restricted stock units. The exercise or conversion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or settlement of restricted stock units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are obligated to register, and have filed a resale registration statement to register, approximately 31.39 million shares of our common stock pursuant to certain resale registration rights granted to entities affiliated with members of our board of directors. 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our prior sales agreement, or the Jefferies Sales Agreement, with Jefferies LLC, or Jefferies, we had the ability to offer and sell up to an aggregate amount of $300.0 million of our common stock from time to time in “at-the-market” offerings, subject to the limitations thereof. From October 31, 2024 through the date of its termination in February 2026, we did not make any sales pursuant to the Jefferies Sales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26, 2026, we entered into a Sales Agreement, or the Cowen Sales Agreement, with TD Securities (USA) LLC, or Cowen, pursuant to which we may offer and sell our common stock, subject to certain limitations in the sales agreement and compliance with applicable law, at any time throughout the term of the Cowen Sales Agreement. The number of shares that are sold by Cowen after delivering a placement notice will fluctuate based on the market price of the common stock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 Sales to, or through, Cowen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 There have not yet been any sales made pursuant to the Cowen Sales Agreement.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and non-U.S. taxation are constantly under review by persons involved in the legislative process and by the Internal Revenue Service, or IRS, the U.S. Treasury Department and other taxing authorities. For example, the One Big Beautiful Bill Act, or the OBBBA, was signed into law on July 4, 2025 and made significant changes to the U.S. federal tax law.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For example, under Section 174 of the Internal Revenue Code of 1986, as amended, or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 It cannot be predicted whether, when, in what form, or with what effective dates, new tax laws may be enacted, or regulations and rulings may be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carryforwards of $571.6 million and $607.5 million, respectively, which begin to expire in various amounts in 2037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2025, we also had federal and state research and development tax credit carryforwards of $40.0 million and $18.6 million, respectively, which begin to expire in 2032. These net operating loss and tax credit carryforwards could expire unused and be unavailable to offset future income tax liabilities. In addition, in general, under Sections 382 and 383 of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Controls and Reporting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Charter and Bylaws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p>
    <w:p>
      <w:pPr>
        <w:spacing w:after="0" w:line="68" w:lineRule="exact"/>
        <w:rPr>
          <w:sz w:val="20"/>
          <w:szCs w:val="20"/>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8" w:name="page89"/>
    <w:bookmarkEnd w:id="8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or the current administration may make substantial changes to fiscal, tax, and other federal policies that may adversely affect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the start of the current administration in 2025, there have been significant changes to U.S. trade, healthcare, immigration and government regulatory policy and additional changes are likely. For example, the U.S. government has imposed substantial tariffs on most countries throughout the world and has further threatened to continue to broadly impose tariffs, which could lead to corresponding punitive actions by the countries with which the U.S. trades. Changes to U.S. policy implemented by the U.S. Congress, the current administration or any new future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quarter ended March 31, 2026, we did not have any sales of unregistered securities.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Securities Exchange Act of 1934, as amended) or director who adopted a Rule 10b5-1 trading arrangement or non-Rule 10b5-1 trading arrangement (as such terms are defined in Item 408 of Regulation S-K) during the three months ended March 31, 2026:</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400" w:type="dxa"/>
            <w:vAlign w:val="bottom"/>
            <w:tcBorders>
              <w:top w:val="single" w:sz="8" w:color="auto"/>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 Trading</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Action Taken</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 or End</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Description of Trading</w:t>
            </w:r>
          </w:p>
        </w:tc>
      </w:tr>
      <w:tr>
        <w:trPr>
          <w:trHeight w:val="265"/>
        </w:trPr>
        <w:tc>
          <w:tcPr>
            <w:tcW w:w="2400" w:type="dxa"/>
            <w:vAlign w:val="bottom"/>
            <w:tcBorders>
              <w:left w:val="single" w:sz="8" w:color="auto"/>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Action)</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to be 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r>
      <w:tr>
        <w:trPr>
          <w:trHeight w:val="189"/>
        </w:trPr>
        <w:tc>
          <w:tcPr>
            <w:tcW w:w="24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Nello Mainolfi</w:t>
            </w:r>
          </w:p>
        </w:tc>
        <w:tc>
          <w:tcPr>
            <w:tcW w:w="16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Trading plan intended</w:t>
            </w:r>
          </w:p>
        </w:tc>
        <w:tc>
          <w:tcPr>
            <w:tcW w:w="1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Adoption (March</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December 31,</w:t>
            </w:r>
          </w:p>
        </w:tc>
        <w:tc>
          <w:tcPr>
            <w:tcW w:w="2260" w:type="dxa"/>
            <w:vAlign w:val="bottom"/>
            <w:tcBorders>
              <w:right w:val="single" w:sz="8" w:color="auto"/>
            </w:tcBorders>
          </w:tcPr>
          <w:p>
            <w:pPr>
              <w:jc w:val="right"/>
              <w:ind w:right="770"/>
              <w:spacing w:after="0" w:line="189" w:lineRule="exact"/>
              <w:rPr>
                <w:sz w:val="20"/>
                <w:szCs w:val="20"/>
                <w:color w:val="auto"/>
              </w:rPr>
            </w:pPr>
            <w:r>
              <w:rPr>
                <w:rFonts w:ascii="Times New Roman" w:cs="Times New Roman" w:eastAsia="Times New Roman" w:hAnsi="Times New Roman"/>
                <w:sz w:val="18"/>
                <w:szCs w:val="18"/>
                <w:color w:val="auto"/>
              </w:rPr>
              <w:t>220,000</w:t>
            </w:r>
          </w:p>
        </w:tc>
        <w:tc>
          <w:tcPr>
            <w:tcW w:w="2240" w:type="dxa"/>
            <w:vAlign w:val="bottom"/>
            <w:tcBorders>
              <w:right w:val="single" w:sz="8" w:color="auto"/>
            </w:tcBorders>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Exercises of vested stock</w:t>
            </w:r>
          </w:p>
        </w:tc>
      </w:tr>
      <w:tr>
        <w:trPr>
          <w:trHeight w:val="216"/>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Founder, President, Chief</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satisfy the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24, 2026)</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options and sales of shares of</w:t>
            </w:r>
          </w:p>
        </w:tc>
      </w:tr>
      <w:tr>
        <w:trPr>
          <w:trHeight w:val="218"/>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affirmative defense</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our common stock pursuant to</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conditions of</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terms of the trading plan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Exchange</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 Rule 10b5- 1(c)</w:t>
            </w:r>
          </w:p>
        </w:tc>
        <w:tc>
          <w:tcPr>
            <w:tcW w:w="13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44"/>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186"/>
        </w:trPr>
        <w:tc>
          <w:tcPr>
            <w:tcW w:w="2400" w:type="dxa"/>
            <w:vAlign w:val="bottom"/>
            <w:tcBorders>
              <w:left w:val="single" w:sz="8" w:color="auto"/>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18"/>
                <w:szCs w:val="18"/>
                <w:color w:val="auto"/>
              </w:rPr>
              <w:t>Bruce Jacobs</w:t>
            </w:r>
          </w:p>
        </w:tc>
        <w:tc>
          <w:tcPr>
            <w:tcW w:w="16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Trading plan intended</w:t>
            </w:r>
          </w:p>
        </w:tc>
        <w:tc>
          <w:tcPr>
            <w:tcW w:w="13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Adoption (March</w:t>
            </w:r>
          </w:p>
        </w:tc>
        <w:tc>
          <w:tcPr>
            <w:tcW w:w="13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March 31,</w:t>
            </w:r>
          </w:p>
        </w:tc>
        <w:tc>
          <w:tcPr>
            <w:tcW w:w="2260" w:type="dxa"/>
            <w:vAlign w:val="bottom"/>
            <w:tcBorders>
              <w:right w:val="single" w:sz="8" w:color="auto"/>
            </w:tcBorders>
          </w:tcPr>
          <w:p>
            <w:pPr>
              <w:jc w:val="right"/>
              <w:ind w:right="810"/>
              <w:spacing w:after="0" w:line="186" w:lineRule="exact"/>
              <w:rPr>
                <w:sz w:val="20"/>
                <w:szCs w:val="20"/>
                <w:color w:val="auto"/>
              </w:rPr>
            </w:pPr>
            <w:r>
              <w:rPr>
                <w:rFonts w:ascii="Times New Roman" w:cs="Times New Roman" w:eastAsia="Times New Roman" w:hAnsi="Times New Roman"/>
                <w:sz w:val="18"/>
                <w:szCs w:val="18"/>
                <w:color w:val="auto"/>
              </w:rPr>
              <w:t>77,109</w:t>
            </w:r>
          </w:p>
        </w:tc>
        <w:tc>
          <w:tcPr>
            <w:tcW w:w="2240" w:type="dxa"/>
            <w:vAlign w:val="bottom"/>
            <w:tcBorders>
              <w:right w:val="single" w:sz="8" w:color="auto"/>
            </w:tcBorders>
          </w:tcPr>
          <w:p>
            <w:pPr>
              <w:jc w:val="center"/>
              <w:ind w:right="10"/>
              <w:spacing w:after="0" w:line="186" w:lineRule="exact"/>
              <w:rPr>
                <w:sz w:val="20"/>
                <w:szCs w:val="20"/>
                <w:color w:val="auto"/>
              </w:rPr>
            </w:pPr>
            <w:r>
              <w:rPr>
                <w:rFonts w:ascii="Times New Roman" w:cs="Times New Roman" w:eastAsia="Times New Roman" w:hAnsi="Times New Roman"/>
                <w:sz w:val="18"/>
                <w:szCs w:val="18"/>
                <w:color w:val="auto"/>
              </w:rPr>
              <w:t>Exercises of vested stock</w:t>
            </w:r>
          </w:p>
        </w:tc>
      </w:tr>
      <w:tr>
        <w:trPr>
          <w:trHeight w:val="218"/>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satisfy the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23, 2026)</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options and sales of shares of</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affirmative defense</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our common stock pursuant to</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conditions of</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terms of the trading plan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Exchange</w:t>
            </w:r>
          </w:p>
        </w:tc>
        <w:tc>
          <w:tcPr>
            <w:tcW w:w="13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 Rule 10b5- 1(c)</w:t>
            </w:r>
          </w:p>
        </w:tc>
        <w:tc>
          <w:tcPr>
            <w:tcW w:w="13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above, no other officer or director adopted, modified or terminated a Rule 10b5-1 trading arrangement or non-Rule 10b5-1 trading arrangement (as such terms are defined in Item 408 of Regulation S-K)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20" w:type="dxa"/>
            <w:vAlign w:val="bottom"/>
            <w:gridSpan w:val="7"/>
            <w:vMerge w:val="restart"/>
          </w:tcPr>
          <w:p>
            <w:pPr>
              <w:ind w:left="3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10120" w:type="dxa"/>
            <w:vAlign w:val="bottom"/>
            <w:gridSpan w:val="8"/>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Amendment No. 1 to Second Amended and Restated Bylaws of Kymera Therapeutics, Inc. (Incorporated by reference to Exhibit 3.1 to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8"/>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Registrant’s Current Report on Form 8-K (File No. 001-39460) filed with the Securities and Exchange Commission on March 27, 2026).</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10120" w:type="dxa"/>
            <w:vAlign w:val="bottom"/>
            <w:gridSpan w:val="8"/>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Sales Agreement, by and between Kymera Therapeutics, Inc. and TD Securities (USA) LLC, dated February 26, 2026 (Incorporated by</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8"/>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reference to Exhibit 10.1 to the Registrant’s Current Report on Form 8-K (File No.</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8"/>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001-39460) filed with the Securities and Exchange Commission on February 26, 2026).</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2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jc w:val="both"/>
        <w:ind w:firstLine="8"/>
        <w:spacing w:after="0" w:line="266" w:lineRule="auto"/>
        <w:tabs>
          <w:tab w:leader="none" w:pos="1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Kymera Therapeutics,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5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Nello Mainolfi, Ph.D.</w:t>
            </w:r>
          </w:p>
        </w:tc>
      </w:tr>
      <w:tr>
        <w:trPr>
          <w:trHeight w:val="187"/>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tc>
      </w:tr>
      <w:tr>
        <w:trPr>
          <w:trHeight w:val="238"/>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5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Bruce Jacobs, CFA, MBA</w:t>
            </w:r>
          </w:p>
        </w:tc>
      </w:tr>
      <w:tr>
        <w:trPr>
          <w:trHeight w:val="187"/>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Bruce Jacobs, CFA, MBA</w:t>
            </w:r>
          </w:p>
        </w:tc>
      </w:tr>
      <w:tr>
        <w:trPr>
          <w:trHeight w:val="238"/>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648"/>
        </w:trPr>
        <w:tc>
          <w:tcPr>
            <w:tcW w:w="3520" w:type="dxa"/>
            <w:vAlign w:val="bottom"/>
          </w:tcPr>
          <w:p>
            <w:pPr>
              <w:spacing w:after="0"/>
              <w:rPr>
                <w:sz w:val="24"/>
                <w:szCs w:val="24"/>
                <w:color w:val="auto"/>
              </w:rPr>
            </w:pPr>
          </w:p>
        </w:tc>
        <w:tc>
          <w:tcPr>
            <w:tcW w:w="2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87</w:t>
            </w:r>
          </w:p>
        </w:tc>
        <w:tc>
          <w:tcPr>
            <w:tcW w:w="522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411"/>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CFO, MBA</w:t>
            </w:r>
          </w:p>
        </w:tc>
      </w:tr>
      <w:tr>
        <w:trPr>
          <w:trHeight w:val="187"/>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CFO, MBA</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5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5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195"/>
        </w:trPr>
        <w:tc>
          <w:tcPr>
            <w:tcW w:w="35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CFA, MBA</w:t>
            </w:r>
          </w:p>
        </w:tc>
      </w:tr>
      <w:tr>
        <w:trPr>
          <w:trHeight w:val="187"/>
        </w:trPr>
        <w:tc>
          <w:tcPr>
            <w:tcW w:w="35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CFA, MBA</w:t>
            </w:r>
          </w:p>
        </w:tc>
      </w:tr>
      <w:tr>
        <w:trPr>
          <w:trHeight w:val="216"/>
        </w:trPr>
        <w:tc>
          <w:tcPr>
            <w:tcW w:w="3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5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5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9"/>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485"/>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25" Type="http://schemas.openxmlformats.org/officeDocument/2006/relationships/hyperlink" Target="https://www.sec.gov/Archives/edgar/data/1815442/000119312526129170/d122194dex31.htm" TargetMode="External"/><Relationship Id="rId226" Type="http://schemas.openxmlformats.org/officeDocument/2006/relationships/hyperlink" Target="https://www.sec.gov/Archives/edgar/data/1815442/000119312526073561/d11404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2026-04-30T06:23:03Z</dcterms:created>
  <dcterms:modified xsi:type="dcterms:W3CDTF">2026-04-30T06:23:03Z</dcterms:modified>
</cp:coreProperties>
</file>