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0" w:lineRule="exact"/>
        <w:rPr>
          <w:sz w:val="24"/>
          <w:szCs w:val="24"/>
          <w:color w:val="auto"/>
        </w:rPr>
      </w:pPr>
    </w:p>
    <w:p>
      <w:pPr>
        <w:ind w:left="3860" w:right="1640" w:hanging="3839"/>
        <w:spacing w:after="0" w:line="352" w:lineRule="auto"/>
        <w:tabs>
          <w:tab w:leader="none" w:pos="49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2620" w:right="1620" w:hanging="2599"/>
        <w:spacing w:after="0" w:line="372" w:lineRule="auto"/>
        <w:tabs>
          <w:tab w:leader="none" w:pos="504"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7"/>
          <w:szCs w:val="17"/>
          <w:color w:val="auto"/>
          <w:highlight w:val="black"/>
        </w:rPr>
      </w:pP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001-39460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KYMERA THERAPEUTICS,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232"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240"/>
        <w:spacing w:after="0"/>
        <w:rPr>
          <w:sz w:val="20"/>
          <w:szCs w:val="20"/>
          <w:color w:val="auto"/>
        </w:rPr>
      </w:pPr>
      <w:r>
        <w:rPr>
          <w:rFonts w:ascii="Arial" w:cs="Arial" w:eastAsia="Arial" w:hAnsi="Arial"/>
          <w:sz w:val="18"/>
          <w:szCs w:val="18"/>
          <w:b w:val="1"/>
          <w:bCs w:val="1"/>
          <w:color w:val="auto"/>
        </w:rPr>
        <w:t>81-2992166</w:t>
      </w:r>
    </w:p>
    <w:p>
      <w:pPr>
        <w:spacing w:after="0" w:line="45"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2" w:lineRule="exact"/>
        <w:rPr>
          <w:sz w:val="24"/>
          <w:szCs w:val="24"/>
          <w:color w:val="auto"/>
        </w:rPr>
      </w:pPr>
    </w:p>
    <w:p>
      <w:pPr>
        <w:sectPr>
          <w:pgSz w:w="11900" w:h="16838" w:orient="portrait"/>
          <w:cols w:equalWidth="0" w:num="2">
            <w:col w:w="7140" w:space="720"/>
            <w:col w:w="3380"/>
          </w:cols>
          <w:pgMar w:left="320" w:top="692" w:right="339" w:bottom="1440" w:gutter="0" w:footer="0" w:header="0"/>
          <w:type w:val="continuous"/>
        </w:sectPr>
      </w:pPr>
    </w:p>
    <w:p>
      <w:pPr>
        <w:ind w:left="1500"/>
        <w:spacing w:after="0"/>
        <w:rPr>
          <w:sz w:val="20"/>
          <w:szCs w:val="20"/>
          <w:color w:val="auto"/>
        </w:rPr>
      </w:pPr>
      <w:r>
        <w:rPr>
          <w:rFonts w:ascii="Arial" w:cs="Arial" w:eastAsia="Arial" w:hAnsi="Arial"/>
          <w:sz w:val="18"/>
          <w:szCs w:val="18"/>
          <w:b w:val="1"/>
          <w:bCs w:val="1"/>
          <w:color w:val="auto"/>
        </w:rPr>
        <w:t>200 Arsenal Yards Blvd., Suite 230</w:t>
      </w:r>
    </w:p>
    <w:p>
      <w:pPr>
        <w:spacing w:after="0" w:line="27" w:lineRule="exact"/>
        <w:rPr>
          <w:sz w:val="24"/>
          <w:szCs w:val="24"/>
          <w:color w:val="auto"/>
        </w:rPr>
      </w:pPr>
    </w:p>
    <w:p>
      <w:pPr>
        <w:ind w:left="1760"/>
        <w:spacing w:after="0"/>
        <w:tabs>
          <w:tab w:leader="none" w:pos="8180" w:val="left"/>
        </w:tabs>
        <w:rPr>
          <w:sz w:val="20"/>
          <w:szCs w:val="20"/>
          <w:color w:val="auto"/>
        </w:rPr>
      </w:pPr>
      <w:r>
        <w:rPr>
          <w:rFonts w:ascii="Arial" w:cs="Arial" w:eastAsia="Arial" w:hAnsi="Arial"/>
          <w:sz w:val="18"/>
          <w:szCs w:val="18"/>
          <w:b w:val="1"/>
          <w:bCs w:val="1"/>
          <w:color w:val="auto"/>
        </w:rPr>
        <w:t>Watertown, Massachusetts</w:t>
      </w:r>
      <w:r>
        <w:rPr>
          <w:sz w:val="20"/>
          <w:szCs w:val="20"/>
          <w:color w:val="auto"/>
        </w:rPr>
        <w:tab/>
      </w:r>
      <w:r>
        <w:rPr>
          <w:rFonts w:ascii="Arial" w:cs="Arial" w:eastAsia="Arial" w:hAnsi="Arial"/>
          <w:sz w:val="16"/>
          <w:szCs w:val="16"/>
          <w:b w:val="1"/>
          <w:bCs w:val="1"/>
          <w:color w:val="auto"/>
        </w:rPr>
        <w:t>02472</w:t>
      </w:r>
    </w:p>
    <w:p>
      <w:pPr>
        <w:spacing w:after="0" w:line="13" w:lineRule="exact"/>
        <w:rPr>
          <w:sz w:val="24"/>
          <w:szCs w:val="24"/>
          <w:color w:val="auto"/>
        </w:rPr>
      </w:pPr>
    </w:p>
    <w:p>
      <w:pPr>
        <w:ind w:left="1620"/>
        <w:spacing w:after="0"/>
        <w:tabs>
          <w:tab w:leader="none" w:pos="808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8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(857) 285-5300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3"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8"/>
                <w:szCs w:val="18"/>
                <w:color w:val="auto"/>
              </w:rPr>
              <w:t>Common Stock, par value $0.0001 per share</w:t>
            </w:r>
          </w:p>
        </w:tc>
        <w:tc>
          <w:tcPr>
            <w:tcW w:w="14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rPr>
              <w:t>KYMR</w:t>
            </w:r>
          </w:p>
        </w:tc>
        <w:tc>
          <w:tcPr>
            <w:tcW w:w="14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c>
          <w:tcPr>
            <w:tcW w:w="0" w:type="dxa"/>
            <w:vAlign w:val="bottom"/>
          </w:tcPr>
          <w:p>
            <w:pPr>
              <w:spacing w:after="0"/>
              <w:rPr>
                <w:sz w:val="1"/>
                <w:szCs w:val="1"/>
                <w:color w:val="auto"/>
              </w:rPr>
            </w:pPr>
          </w:p>
        </w:tc>
      </w:tr>
    </w:tbl>
    <w:p>
      <w:pPr>
        <w:spacing w:after="0" w:line="84"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1"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16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40"/>
        <w:spacing w:after="0" w:line="26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28, 2023, the registrant had 55,412,304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368935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p>
      <w:pPr>
        <w:ind w:left="1343"/>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337" w:lineRule="exact"/>
        <w:rPr>
          <w:sz w:val="20"/>
          <w:szCs w:val="20"/>
          <w:color w:val="auto"/>
        </w:rPr>
      </w:pPr>
    </w:p>
    <w:p>
      <w:pPr>
        <w:ind w:left="503" w:hanging="503"/>
        <w:spacing w:after="0" w:line="277"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biopharmaceutical company with a limited operating history and have not generated any revenue to date from drug sales, and may never become profitable.</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incurred significant operating losses in recent periods and anticipate that we will incur continued losses for the foreseeable future.</w:t>
      </w:r>
    </w:p>
    <w:p>
      <w:pPr>
        <w:spacing w:after="0" w:line="140" w:lineRule="exact"/>
        <w:rPr>
          <w:rFonts w:ascii="Arial" w:cs="Arial" w:eastAsia="Arial" w:hAnsi="Arial"/>
          <w:sz w:val="16"/>
          <w:szCs w:val="16"/>
          <w:color w:val="auto"/>
        </w:rPr>
      </w:pPr>
    </w:p>
    <w:p>
      <w:pPr>
        <w:ind w:left="503" w:hanging="503"/>
        <w:spacing w:after="0" w:line="308" w:lineRule="auto"/>
        <w:tabs>
          <w:tab w:leader="none" w:pos="503"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38" w:lineRule="exact"/>
        <w:rPr>
          <w:rFonts w:ascii="Arial" w:cs="Arial" w:eastAsia="Arial" w:hAnsi="Arial"/>
          <w:sz w:val="17"/>
          <w:szCs w:val="17"/>
          <w:color w:val="auto"/>
        </w:rPr>
      </w:pPr>
    </w:p>
    <w:p>
      <w:pPr>
        <w:jc w:val="both"/>
        <w:ind w:left="503" w:hanging="503"/>
        <w:spacing w:after="0" w:line="263"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very early in our development efforts and our IRAK4, IRAKIMiD, STAT3 and MDM2 programs are still in early clinical development. If we are unable to advance them through the clinic for safety or efficacy reasons or commercialize our product candidates or experience significant delays in doing so, our business will be materially harmed.</w:t>
      </w:r>
    </w:p>
    <w:p>
      <w:pPr>
        <w:spacing w:after="0" w:line="80" w:lineRule="exact"/>
        <w:rPr>
          <w:rFonts w:ascii="Arial" w:cs="Arial" w:eastAsia="Arial" w:hAnsi="Arial"/>
          <w:sz w:val="18"/>
          <w:szCs w:val="18"/>
          <w:color w:val="auto"/>
        </w:rPr>
      </w:pPr>
    </w:p>
    <w:p>
      <w:pPr>
        <w:ind w:left="503" w:hanging="503"/>
        <w:spacing w:after="0" w:line="250" w:lineRule="auto"/>
        <w:tabs>
          <w:tab w:leader="none" w:pos="503"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approach to the discovery and development of product candidates based on our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is novel and unproven, which makes it difficult to predict the time, cost of development, and likelihood of successfully developing any products.</w:t>
      </w:r>
    </w:p>
    <w:p>
      <w:pPr>
        <w:spacing w:after="0" w:line="82" w:lineRule="exact"/>
        <w:rPr>
          <w:rFonts w:ascii="Arial" w:cs="Arial" w:eastAsia="Arial" w:hAnsi="Arial"/>
          <w:sz w:val="17"/>
          <w:szCs w:val="17"/>
          <w:color w:val="auto"/>
        </w:rPr>
      </w:pPr>
    </w:p>
    <w:p>
      <w:pPr>
        <w:ind w:left="503" w:hanging="503"/>
        <w:spacing w:after="0" w:line="277"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resulting from the coronavirus disease (COVID-19) pandemic or similar public health crises could cause a disruption to our supply chain or the development of our product candidates and adversely impact our business.</w:t>
      </w:r>
    </w:p>
    <w:p>
      <w:pPr>
        <w:spacing w:after="0" w:line="62" w:lineRule="exact"/>
        <w:rPr>
          <w:rFonts w:ascii="Arial" w:cs="Arial" w:eastAsia="Arial" w:hAnsi="Arial"/>
          <w:sz w:val="18"/>
          <w:szCs w:val="18"/>
          <w:color w:val="auto"/>
        </w:rPr>
      </w:pPr>
    </w:p>
    <w:p>
      <w:pPr>
        <w:jc w:val="both"/>
        <w:ind w:left="503" w:hanging="503"/>
        <w:spacing w:after="0" w:line="263"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75"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or enrollment of patients in clinical trials, our receipt of necessary regulatory approvals could be delayed or prevented.</w:t>
      </w:r>
    </w:p>
    <w:p>
      <w:pPr>
        <w:spacing w:after="0" w:line="62" w:lineRule="exact"/>
        <w:rPr>
          <w:rFonts w:ascii="Arial" w:cs="Arial" w:eastAsia="Arial" w:hAnsi="Arial"/>
          <w:sz w:val="18"/>
          <w:szCs w:val="18"/>
          <w:color w:val="auto"/>
        </w:rPr>
      </w:pPr>
    </w:p>
    <w:p>
      <w:pPr>
        <w:jc w:val="both"/>
        <w:ind w:left="503" w:hanging="503"/>
        <w:spacing w:after="0" w:line="263"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75" w:lineRule="exact"/>
        <w:rPr>
          <w:rFonts w:ascii="Arial" w:cs="Arial" w:eastAsia="Arial" w:hAnsi="Arial"/>
          <w:sz w:val="18"/>
          <w:szCs w:val="18"/>
          <w:color w:val="auto"/>
        </w:rPr>
      </w:pPr>
    </w:p>
    <w:p>
      <w:pPr>
        <w:ind w:left="503" w:hanging="503"/>
        <w:spacing w:after="0" w:line="277"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we receive regulatory approval for any of our current or future product candidates, we will be subject to ongoing obligations and continued regulatory review, which may result in significant additional expense.</w:t>
      </w:r>
    </w:p>
    <w:p>
      <w:pPr>
        <w:spacing w:after="0" w:line="62" w:lineRule="exact"/>
        <w:rPr>
          <w:rFonts w:ascii="Arial" w:cs="Arial" w:eastAsia="Arial" w:hAnsi="Arial"/>
          <w:sz w:val="18"/>
          <w:szCs w:val="18"/>
          <w:color w:val="auto"/>
        </w:rPr>
      </w:pPr>
    </w:p>
    <w:p>
      <w:pPr>
        <w:jc w:val="both"/>
        <w:ind w:left="503" w:hanging="503"/>
        <w:spacing w:after="0" w:line="259" w:lineRule="auto"/>
        <w:tabs>
          <w:tab w:leader="none" w:pos="503"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ongoing and planned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78" w:lineRule="exact"/>
        <w:rPr>
          <w:rFonts w:ascii="Arial" w:cs="Arial" w:eastAsia="Arial" w:hAnsi="Arial"/>
          <w:sz w:val="18"/>
          <w:szCs w:val="18"/>
          <w:color w:val="auto"/>
        </w:rPr>
      </w:pPr>
    </w:p>
    <w:p>
      <w:pPr>
        <w:jc w:val="both"/>
        <w:ind w:left="503" w:hanging="503"/>
        <w:spacing w:after="0" w:line="311" w:lineRule="auto"/>
        <w:tabs>
          <w:tab w:leader="none" w:pos="503"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14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Quarterly Report on Form 10-Q, or Quarterly Report, contains forward-looking statements which are made pursuant to the safe harbor provisions of Section 27A of the Securities Act of 1933, as amended, and Section 21E of the Securities Exchange Act of 1934, as amended.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express or implied statements about:</w:t>
      </w:r>
    </w:p>
    <w:p>
      <w:pPr>
        <w:spacing w:after="0" w:line="164" w:lineRule="exact"/>
        <w:rPr>
          <w:sz w:val="20"/>
          <w:szCs w:val="20"/>
          <w:color w:val="auto"/>
        </w:rPr>
      </w:pPr>
    </w:p>
    <w:p>
      <w:pPr>
        <w:jc w:val="both"/>
        <w:ind w:left="1020" w:hanging="503"/>
        <w:spacing w:after="0" w:line="28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and future clinical studies, including statements regarding the timing of initiation and completion of studies or trials and related preparatory work, the period during which the results of the trials will become available, and our research and development programs;</w:t>
      </w:r>
    </w:p>
    <w:p>
      <w:pPr>
        <w:spacing w:after="0" w:line="62" w:lineRule="exact"/>
        <w:rPr>
          <w:rFonts w:ascii="Arial" w:cs="Arial" w:eastAsia="Arial" w:hAnsi="Arial"/>
          <w:sz w:val="17"/>
          <w:szCs w:val="17"/>
          <w:color w:val="auto"/>
        </w:rPr>
      </w:pPr>
    </w:p>
    <w:p>
      <w:pPr>
        <w:ind w:left="1020" w:hanging="503"/>
        <w:spacing w:after="0" w:line="23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construct Pegasus</w:t>
      </w:r>
      <w:r>
        <w:rPr>
          <w:rFonts w:ascii="Arial" w:cs="Arial" w:eastAsia="Arial" w:hAnsi="Arial"/>
          <w:sz w:val="24"/>
          <w:szCs w:val="24"/>
          <w:color w:val="auto"/>
          <w:vertAlign w:val="superscript"/>
        </w:rPr>
        <w:t>TM</w:t>
      </w:r>
      <w:r>
        <w:rPr>
          <w:rFonts w:ascii="Arial" w:cs="Arial" w:eastAsia="Arial" w:hAnsi="Arial"/>
          <w:sz w:val="18"/>
          <w:szCs w:val="18"/>
          <w:color w:val="auto"/>
        </w:rPr>
        <w:t>, our drug discovery platform, and to enable a rational and effective drug discovery and development engine;</w:t>
      </w:r>
    </w:p>
    <w:p>
      <w:pPr>
        <w:spacing w:after="0" w:line="9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the success of clinical studies under our IRAK4, IRAKIMiD, STAT3 and MDM2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submit investigational new drug applications to the FDA for current and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subsequent initiation of planned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identify research priorities and apply a risk-mitigated strategy to efficiently discover and develop product candidates, including by applying learnings from one program to other programs and from one modality to our other modalities;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potential ability to manufacture our drug substances, delivery vehicles, and product candidates for preclinical use, for clinical trials and on a larger scale for commercial use, if approved;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funding for our operations necessary to complete further development and commercialization of our product candidates;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COVID-19, and any future pandemics, including mitigation efforts and economic effects, on any of the foregoing or other aspects of our business operations, including but not limited to our preclinical studies and future clinical trials;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Any forward-looking statements in this Quarterly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All of our forward-looking statements are as of the date of this Quarterly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Quarterly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Quarterly Report, even if such results, changes or circumstances make it clear that any forward-looking information will not be realized. Any public statements or disclosures by us following this Quarterly Report that modify or impact any of the forward-looking statements contained in this Quarterly Report will be deemed to modify or supersede such statements in this Quarterly Report.</w:t>
      </w:r>
    </w:p>
    <w:p>
      <w:pPr>
        <w:spacing w:after="0" w:line="18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Quarterly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260" w:type="dxa"/>
            <w:vAlign w:val="bottom"/>
            <w:gridSpan w:val="16"/>
          </w:tcPr>
          <w:p>
            <w:pPr>
              <w:spacing w:after="0" w:line="182" w:lineRule="exact"/>
              <w:rPr>
                <w:sz w:val="20"/>
                <w:szCs w:val="20"/>
                <w:color w:val="auto"/>
              </w:rPr>
            </w:pPr>
            <w:r>
              <w:rPr>
                <w:rFonts w:ascii="Arial" w:cs="Arial" w:eastAsia="Arial" w:hAnsi="Arial"/>
                <w:sz w:val="18"/>
                <w:szCs w:val="18"/>
                <w:color w:val="0000FF"/>
              </w:rPr>
              <w:t>FINANCIAL INFORMATION</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6"/>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vMerge w:val="continue"/>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6"/>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6"/>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June 30,</w:t>
            </w:r>
          </w:p>
        </w:tc>
        <w:tc>
          <w:tcPr>
            <w:tcW w:w="180" w:type="dxa"/>
            <w:vAlign w:val="bottom"/>
          </w:tcPr>
          <w:p>
            <w:pPr>
              <w:spacing w:after="0"/>
              <w:rPr>
                <w:sz w:val="13"/>
                <w:szCs w:val="13"/>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6"/>
              </w:rPr>
              <w:t>December 31,</w:t>
            </w:r>
          </w:p>
        </w:tc>
      </w:tr>
      <w:tr>
        <w:trPr>
          <w:trHeight w:val="165"/>
        </w:trPr>
        <w:tc>
          <w:tcPr>
            <w:tcW w:w="8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2023</w:t>
            </w: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2022</w:t>
            </w:r>
          </w:p>
        </w:tc>
        <w:tc>
          <w:tcPr>
            <w:tcW w:w="140" w:type="dxa"/>
            <w:vAlign w:val="bottom"/>
          </w:tcPr>
          <w:p>
            <w:pPr>
              <w:spacing w:after="0"/>
              <w:rPr>
                <w:sz w:val="14"/>
                <w:szCs w:val="14"/>
                <w:color w:val="auto"/>
              </w:rPr>
            </w:pPr>
          </w:p>
        </w:tc>
      </w:tr>
      <w:tr>
        <w:trPr>
          <w:trHeight w:val="170"/>
        </w:trPr>
        <w:tc>
          <w:tcPr>
            <w:tcW w:w="81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81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52,386</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68,395</w:t>
            </w:r>
          </w:p>
        </w:tc>
        <w:tc>
          <w:tcPr>
            <w:tcW w:w="140" w:type="dxa"/>
            <w:vAlign w:val="bottom"/>
            <w:shd w:val="clear" w:color="auto" w:fill="CFF0FC"/>
          </w:tcPr>
          <w:p>
            <w:pPr>
              <w:spacing w:after="0"/>
              <w:rPr>
                <w:sz w:val="15"/>
                <w:szCs w:val="15"/>
                <w:color w:val="auto"/>
              </w:rPr>
            </w:pPr>
          </w:p>
        </w:tc>
      </w:tr>
      <w:tr>
        <w:trPr>
          <w:trHeight w:val="175"/>
        </w:trPr>
        <w:tc>
          <w:tcPr>
            <w:tcW w:w="8140" w:type="dxa"/>
            <w:vAlign w:val="bottom"/>
          </w:tcPr>
          <w:p>
            <w:pPr>
              <w:ind w:left="200"/>
              <w:spacing w:after="0"/>
              <w:rPr>
                <w:sz w:val="20"/>
                <w:szCs w:val="20"/>
                <w:color w:val="auto"/>
              </w:rPr>
            </w:pPr>
            <w:r>
              <w:rPr>
                <w:rFonts w:ascii="Arial" w:cs="Arial" w:eastAsia="Arial" w:hAnsi="Arial"/>
                <w:sz w:val="14"/>
                <w:szCs w:val="14"/>
                <w:color w:val="auto"/>
              </w:rPr>
              <w:t>Marketable securities (Note 4)</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315,188</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338,771</w:t>
            </w:r>
          </w:p>
        </w:tc>
        <w:tc>
          <w:tcPr>
            <w:tcW w:w="140" w:type="dxa"/>
            <w:vAlign w:val="bottom"/>
          </w:tcPr>
          <w:p>
            <w:pPr>
              <w:spacing w:after="0"/>
              <w:rPr>
                <w:sz w:val="15"/>
                <w:szCs w:val="15"/>
                <w:color w:val="auto"/>
              </w:rPr>
            </w:pPr>
          </w:p>
        </w:tc>
      </w:tr>
      <w:tr>
        <w:trPr>
          <w:trHeight w:val="176"/>
        </w:trPr>
        <w:tc>
          <w:tcPr>
            <w:tcW w:w="81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Contract assets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4,122</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2,537</w:t>
            </w:r>
          </w:p>
        </w:tc>
        <w:tc>
          <w:tcPr>
            <w:tcW w:w="140" w:type="dxa"/>
            <w:vAlign w:val="bottom"/>
            <w:shd w:val="clear" w:color="auto" w:fill="CFF0FC"/>
          </w:tcPr>
          <w:p>
            <w:pPr>
              <w:spacing w:after="0"/>
              <w:rPr>
                <w:sz w:val="15"/>
                <w:szCs w:val="15"/>
                <w:color w:val="auto"/>
              </w:rPr>
            </w:pPr>
          </w:p>
        </w:tc>
      </w:tr>
      <w:tr>
        <w:trPr>
          <w:trHeight w:val="175"/>
        </w:trPr>
        <w:tc>
          <w:tcPr>
            <w:tcW w:w="814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13,706</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9,713</w:t>
            </w:r>
          </w:p>
        </w:tc>
        <w:tc>
          <w:tcPr>
            <w:tcW w:w="140" w:type="dxa"/>
            <w:vAlign w:val="bottom"/>
          </w:tcPr>
          <w:p>
            <w:pPr>
              <w:spacing w:after="0"/>
              <w:rPr>
                <w:sz w:val="15"/>
                <w:szCs w:val="15"/>
                <w:color w:val="auto"/>
              </w:rPr>
            </w:pPr>
          </w:p>
        </w:tc>
      </w:tr>
      <w:tr>
        <w:trPr>
          <w:trHeight w:val="169"/>
        </w:trPr>
        <w:tc>
          <w:tcPr>
            <w:tcW w:w="81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385,402</w:t>
            </w:r>
          </w:p>
        </w:tc>
        <w:tc>
          <w:tcPr>
            <w:tcW w:w="32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419,416</w:t>
            </w:r>
          </w:p>
        </w:tc>
        <w:tc>
          <w:tcPr>
            <w:tcW w:w="140" w:type="dxa"/>
            <w:vAlign w:val="bottom"/>
            <w:shd w:val="clear" w:color="auto" w:fill="CFF0FC"/>
          </w:tcPr>
          <w:p>
            <w:pPr>
              <w:spacing w:after="0"/>
              <w:rPr>
                <w:sz w:val="14"/>
                <w:szCs w:val="14"/>
                <w:color w:val="auto"/>
              </w:rPr>
            </w:pP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Marketable securities, non-current (Note 4)</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104,759</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152,328</w:t>
            </w:r>
          </w:p>
        </w:tc>
        <w:tc>
          <w:tcPr>
            <w:tcW w:w="140" w:type="dxa"/>
            <w:vAlign w:val="bottom"/>
          </w:tcPr>
          <w:p>
            <w:pPr>
              <w:spacing w:after="0"/>
              <w:rPr>
                <w:sz w:val="15"/>
                <w:szCs w:val="15"/>
                <w:color w:val="auto"/>
              </w:rPr>
            </w:pPr>
          </w:p>
        </w:tc>
      </w:tr>
      <w:tr>
        <w:trPr>
          <w:trHeight w:val="175"/>
        </w:trPr>
        <w:tc>
          <w:tcPr>
            <w:tcW w:w="8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Property and equipment, net (Note 6)</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27,494</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13,334</w:t>
            </w:r>
          </w:p>
        </w:tc>
        <w:tc>
          <w:tcPr>
            <w:tcW w:w="140" w:type="dxa"/>
            <w:vAlign w:val="bottom"/>
            <w:shd w:val="clear" w:color="auto" w:fill="CFF0FC"/>
          </w:tcPr>
          <w:p>
            <w:pPr>
              <w:spacing w:after="0"/>
              <w:rPr>
                <w:sz w:val="15"/>
                <w:szCs w:val="15"/>
                <w:color w:val="auto"/>
              </w:rPr>
            </w:pP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Right-of-use assets, operating leases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55,687</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8,909</w:t>
            </w:r>
          </w:p>
        </w:tc>
        <w:tc>
          <w:tcPr>
            <w:tcW w:w="140" w:type="dxa"/>
            <w:vAlign w:val="bottom"/>
          </w:tcPr>
          <w:p>
            <w:pPr>
              <w:spacing w:after="0"/>
              <w:rPr>
                <w:sz w:val="15"/>
                <w:szCs w:val="15"/>
                <w:color w:val="auto"/>
              </w:rPr>
            </w:pPr>
          </w:p>
        </w:tc>
      </w:tr>
      <w:tr>
        <w:trPr>
          <w:trHeight w:val="175"/>
        </w:trPr>
        <w:tc>
          <w:tcPr>
            <w:tcW w:w="8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non-current assets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2,802</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3,017</w:t>
            </w:r>
          </w:p>
        </w:tc>
        <w:tc>
          <w:tcPr>
            <w:tcW w:w="140" w:type="dxa"/>
            <w:vAlign w:val="bottom"/>
            <w:shd w:val="clear" w:color="auto" w:fill="CFF0FC"/>
          </w:tcPr>
          <w:p>
            <w:pPr>
              <w:spacing w:after="0"/>
              <w:rPr>
                <w:sz w:val="15"/>
                <w:szCs w:val="15"/>
                <w:color w:val="auto"/>
              </w:rPr>
            </w:pPr>
          </w:p>
        </w:tc>
      </w:tr>
      <w:tr>
        <w:trPr>
          <w:trHeight w:val="176"/>
        </w:trPr>
        <w:tc>
          <w:tcPr>
            <w:tcW w:w="81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5,801</w:t>
            </w:r>
          </w:p>
        </w:tc>
        <w:tc>
          <w:tcPr>
            <w:tcW w:w="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6,130</w:t>
            </w:r>
          </w:p>
        </w:tc>
        <w:tc>
          <w:tcPr>
            <w:tcW w:w="140" w:type="dxa"/>
            <w:vAlign w:val="bottom"/>
          </w:tcPr>
          <w:p>
            <w:pPr>
              <w:spacing w:after="0"/>
              <w:rPr>
                <w:sz w:val="15"/>
                <w:szCs w:val="15"/>
                <w:color w:val="auto"/>
              </w:rPr>
            </w:pPr>
          </w:p>
        </w:tc>
      </w:tr>
      <w:tr>
        <w:trPr>
          <w:trHeight w:val="209"/>
        </w:trPr>
        <w:tc>
          <w:tcPr>
            <w:tcW w:w="8140" w:type="dxa"/>
            <w:vAlign w:val="bottom"/>
            <w:tcBorders>
              <w:bottom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581,945</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603,134</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156"/>
        </w:trPr>
        <w:tc>
          <w:tcPr>
            <w:tcW w:w="814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8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814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3,745</w:t>
            </w:r>
          </w:p>
        </w:tc>
        <w:tc>
          <w:tcPr>
            <w:tcW w:w="3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4,335</w:t>
            </w:r>
          </w:p>
        </w:tc>
        <w:tc>
          <w:tcPr>
            <w:tcW w:w="140" w:type="dxa"/>
            <w:vAlign w:val="bottom"/>
          </w:tcPr>
          <w:p>
            <w:pPr>
              <w:spacing w:after="0"/>
              <w:rPr>
                <w:sz w:val="15"/>
                <w:szCs w:val="15"/>
                <w:color w:val="auto"/>
              </w:rPr>
            </w:pPr>
          </w:p>
        </w:tc>
      </w:tr>
      <w:tr>
        <w:trPr>
          <w:trHeight w:val="176"/>
        </w:trPr>
        <w:tc>
          <w:tcPr>
            <w:tcW w:w="81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(Note 8)</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22,490</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27,502</w:t>
            </w:r>
          </w:p>
        </w:tc>
        <w:tc>
          <w:tcPr>
            <w:tcW w:w="140" w:type="dxa"/>
            <w:vAlign w:val="bottom"/>
            <w:shd w:val="clear" w:color="auto" w:fill="CFF0FC"/>
          </w:tcPr>
          <w:p>
            <w:pPr>
              <w:spacing w:after="0"/>
              <w:rPr>
                <w:sz w:val="15"/>
                <w:szCs w:val="15"/>
                <w:color w:val="auto"/>
              </w:rPr>
            </w:pPr>
          </w:p>
        </w:tc>
      </w:tr>
      <w:tr>
        <w:trPr>
          <w:trHeight w:val="175"/>
        </w:trPr>
        <w:tc>
          <w:tcPr>
            <w:tcW w:w="814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24,302</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35,260</w:t>
            </w:r>
          </w:p>
        </w:tc>
        <w:tc>
          <w:tcPr>
            <w:tcW w:w="140" w:type="dxa"/>
            <w:vAlign w:val="bottom"/>
          </w:tcPr>
          <w:p>
            <w:pPr>
              <w:spacing w:after="0"/>
              <w:rPr>
                <w:sz w:val="15"/>
                <w:szCs w:val="15"/>
                <w:color w:val="auto"/>
              </w:rPr>
            </w:pPr>
          </w:p>
        </w:tc>
      </w:tr>
      <w:tr>
        <w:trPr>
          <w:trHeight w:val="176"/>
        </w:trPr>
        <w:tc>
          <w:tcPr>
            <w:tcW w:w="81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2,566</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2,535</w:t>
            </w:r>
          </w:p>
        </w:tc>
        <w:tc>
          <w:tcPr>
            <w:tcW w:w="140" w:type="dxa"/>
            <w:vAlign w:val="bottom"/>
            <w:shd w:val="clear" w:color="auto" w:fill="CFF0FC"/>
          </w:tcPr>
          <w:p>
            <w:pPr>
              <w:spacing w:after="0"/>
              <w:rPr>
                <w:sz w:val="15"/>
                <w:szCs w:val="15"/>
                <w:color w:val="auto"/>
              </w:rPr>
            </w:pPr>
          </w:p>
        </w:tc>
      </w:tr>
      <w:tr>
        <w:trPr>
          <w:trHeight w:val="176"/>
        </w:trPr>
        <w:tc>
          <w:tcPr>
            <w:tcW w:w="8140" w:type="dxa"/>
            <w:vAlign w:val="bottom"/>
          </w:tcPr>
          <w:p>
            <w:pPr>
              <w:ind w:left="200"/>
              <w:spacing w:after="0"/>
              <w:rPr>
                <w:sz w:val="20"/>
                <w:szCs w:val="20"/>
                <w:color w:val="auto"/>
              </w:rPr>
            </w:pPr>
            <w:r>
              <w:rPr>
                <w:rFonts w:ascii="Arial" w:cs="Arial" w:eastAsia="Arial" w:hAnsi="Arial"/>
                <w:sz w:val="14"/>
                <w:szCs w:val="14"/>
                <w:color w:val="auto"/>
              </w:rPr>
              <w:t>Finance lease liabilities</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1,408</w:t>
            </w:r>
          </w:p>
        </w:tc>
        <w:tc>
          <w:tcPr>
            <w:tcW w:w="140" w:type="dxa"/>
            <w:vAlign w:val="bottom"/>
          </w:tcPr>
          <w:p>
            <w:pPr>
              <w:spacing w:after="0"/>
              <w:rPr>
                <w:sz w:val="15"/>
                <w:szCs w:val="15"/>
                <w:color w:val="auto"/>
              </w:rPr>
            </w:pPr>
          </w:p>
        </w:tc>
      </w:tr>
      <w:tr>
        <w:trPr>
          <w:trHeight w:val="175"/>
        </w:trPr>
        <w:tc>
          <w:tcPr>
            <w:tcW w:w="8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current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268</w:t>
            </w:r>
          </w:p>
        </w:tc>
        <w:tc>
          <w:tcPr>
            <w:tcW w:w="3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814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54,602</w:t>
            </w:r>
          </w:p>
        </w:tc>
        <w:tc>
          <w:tcPr>
            <w:tcW w:w="3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71,343</w:t>
            </w:r>
          </w:p>
        </w:tc>
        <w:tc>
          <w:tcPr>
            <w:tcW w:w="140" w:type="dxa"/>
            <w:vAlign w:val="bottom"/>
          </w:tcPr>
          <w:p>
            <w:pPr>
              <w:spacing w:after="0"/>
              <w:rPr>
                <w:sz w:val="14"/>
                <w:szCs w:val="14"/>
                <w:color w:val="auto"/>
              </w:rPr>
            </w:pPr>
          </w:p>
        </w:tc>
      </w:tr>
      <w:tr>
        <w:trPr>
          <w:trHeight w:val="175"/>
        </w:trPr>
        <w:tc>
          <w:tcPr>
            <w:tcW w:w="8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Non-current liabilities</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5"/>
        </w:trPr>
        <w:tc>
          <w:tcPr>
            <w:tcW w:w="8140" w:type="dxa"/>
            <w:vAlign w:val="bottom"/>
          </w:tcPr>
          <w:p>
            <w:pPr>
              <w:ind w:left="200"/>
              <w:spacing w:after="0"/>
              <w:rPr>
                <w:sz w:val="20"/>
                <w:szCs w:val="20"/>
                <w:color w:val="auto"/>
              </w:rPr>
            </w:pPr>
            <w:r>
              <w:rPr>
                <w:rFonts w:ascii="Arial" w:cs="Arial" w:eastAsia="Arial" w:hAnsi="Arial"/>
                <w:sz w:val="14"/>
                <w:szCs w:val="14"/>
                <w:color w:val="auto"/>
              </w:rPr>
              <w:t>Deferred revenue, net of current portion</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20,421</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28,000</w:t>
            </w:r>
          </w:p>
        </w:tc>
        <w:tc>
          <w:tcPr>
            <w:tcW w:w="140" w:type="dxa"/>
            <w:vAlign w:val="bottom"/>
          </w:tcPr>
          <w:p>
            <w:pPr>
              <w:spacing w:after="0"/>
              <w:rPr>
                <w:sz w:val="15"/>
                <w:szCs w:val="15"/>
                <w:color w:val="auto"/>
              </w:rPr>
            </w:pPr>
          </w:p>
        </w:tc>
      </w:tr>
      <w:tr>
        <w:trPr>
          <w:trHeight w:val="176"/>
        </w:trPr>
        <w:tc>
          <w:tcPr>
            <w:tcW w:w="81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liabilities, net of current portion</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70,502</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12,146</w:t>
            </w:r>
          </w:p>
        </w:tc>
        <w:tc>
          <w:tcPr>
            <w:tcW w:w="140" w:type="dxa"/>
            <w:vAlign w:val="bottom"/>
            <w:shd w:val="clear" w:color="auto" w:fill="CFF0FC"/>
          </w:tcPr>
          <w:p>
            <w:pPr>
              <w:spacing w:after="0"/>
              <w:rPr>
                <w:sz w:val="15"/>
                <w:szCs w:val="15"/>
                <w:color w:val="auto"/>
              </w:rPr>
            </w:pPr>
          </w:p>
        </w:tc>
      </w:tr>
      <w:tr>
        <w:trPr>
          <w:trHeight w:val="175"/>
        </w:trPr>
        <w:tc>
          <w:tcPr>
            <w:tcW w:w="8140" w:type="dxa"/>
            <w:vAlign w:val="bottom"/>
          </w:tcPr>
          <w:p>
            <w:pPr>
              <w:ind w:left="200"/>
              <w:spacing w:after="0"/>
              <w:rPr>
                <w:sz w:val="20"/>
                <w:szCs w:val="20"/>
                <w:color w:val="auto"/>
              </w:rPr>
            </w:pPr>
            <w:r>
              <w:rPr>
                <w:rFonts w:ascii="Arial" w:cs="Arial" w:eastAsia="Arial" w:hAnsi="Arial"/>
                <w:sz w:val="14"/>
                <w:szCs w:val="14"/>
                <w:color w:val="auto"/>
              </w:rPr>
              <w:t>Finance lease liabilities, net of current portion</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762</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1,246</w:t>
            </w:r>
          </w:p>
        </w:tc>
        <w:tc>
          <w:tcPr>
            <w:tcW w:w="140" w:type="dxa"/>
            <w:vAlign w:val="bottom"/>
          </w:tcPr>
          <w:p>
            <w:pPr>
              <w:spacing w:after="0"/>
              <w:rPr>
                <w:sz w:val="15"/>
                <w:szCs w:val="15"/>
                <w:color w:val="auto"/>
              </w:rPr>
            </w:pPr>
          </w:p>
        </w:tc>
      </w:tr>
      <w:tr>
        <w:trPr>
          <w:trHeight w:val="175"/>
        </w:trPr>
        <w:tc>
          <w:tcPr>
            <w:tcW w:w="81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non-current liabilities</w:t>
            </w:r>
          </w:p>
        </w:tc>
        <w:tc>
          <w:tcPr>
            <w:tcW w:w="2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3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248</w:t>
            </w:r>
          </w:p>
        </w:tc>
        <w:tc>
          <w:tcPr>
            <w:tcW w:w="140" w:type="dxa"/>
            <w:vAlign w:val="bottom"/>
            <w:tcBorders>
              <w:bottom w:val="single" w:sz="8" w:color="CFF0FC"/>
            </w:tcBorders>
            <w:shd w:val="clear" w:color="auto" w:fill="CFF0FC"/>
          </w:tcPr>
          <w:p>
            <w:pPr>
              <w:spacing w:after="0"/>
              <w:rPr>
                <w:sz w:val="15"/>
                <w:szCs w:val="15"/>
                <w:color w:val="auto"/>
              </w:rPr>
            </w:pPr>
          </w:p>
        </w:tc>
      </w:tr>
      <w:tr>
        <w:trPr>
          <w:trHeight w:val="169"/>
        </w:trPr>
        <w:tc>
          <w:tcPr>
            <w:tcW w:w="8140" w:type="dxa"/>
            <w:vAlign w:val="bottom"/>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146,517</w:t>
            </w:r>
          </w:p>
        </w:tc>
        <w:tc>
          <w:tcPr>
            <w:tcW w:w="3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112,983</w:t>
            </w:r>
          </w:p>
        </w:tc>
        <w:tc>
          <w:tcPr>
            <w:tcW w:w="140" w:type="dxa"/>
            <w:vAlign w:val="bottom"/>
          </w:tcPr>
          <w:p>
            <w:pPr>
              <w:spacing w:after="0"/>
              <w:rPr>
                <w:sz w:val="14"/>
                <w:szCs w:val="14"/>
                <w:color w:val="auto"/>
              </w:rPr>
            </w:pPr>
          </w:p>
        </w:tc>
      </w:tr>
      <w:tr>
        <w:trPr>
          <w:trHeight w:val="175"/>
        </w:trPr>
        <w:tc>
          <w:tcPr>
            <w:tcW w:w="8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43"/>
        </w:trPr>
        <w:tc>
          <w:tcPr>
            <w:tcW w:w="8140" w:type="dxa"/>
            <w:vAlign w:val="bottom"/>
          </w:tcPr>
          <w:p>
            <w:pPr>
              <w:ind w:left="200"/>
              <w:spacing w:after="0" w:line="143" w:lineRule="exact"/>
              <w:rPr>
                <w:sz w:val="20"/>
                <w:szCs w:val="20"/>
                <w:color w:val="auto"/>
              </w:rPr>
            </w:pPr>
            <w:r>
              <w:rPr>
                <w:rFonts w:ascii="Arial" w:cs="Arial" w:eastAsia="Arial" w:hAnsi="Arial"/>
                <w:sz w:val="14"/>
                <w:szCs w:val="14"/>
                <w:color w:val="auto"/>
              </w:rPr>
              <w:t>Common stock, $0.0001 par value; 150,000,000 shares authorized at June 30, 2023 and December 31, 2022, 55,390,259 and</w:t>
            </w: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81"/>
        </w:trPr>
        <w:tc>
          <w:tcPr>
            <w:tcW w:w="8140" w:type="dxa"/>
            <w:vAlign w:val="bottom"/>
          </w:tcPr>
          <w:p>
            <w:pPr>
              <w:ind w:left="200"/>
              <w:spacing w:after="0"/>
              <w:rPr>
                <w:sz w:val="20"/>
                <w:szCs w:val="20"/>
                <w:color w:val="auto"/>
              </w:rPr>
            </w:pPr>
            <w:r>
              <w:rPr>
                <w:rFonts w:ascii="Arial" w:cs="Arial" w:eastAsia="Arial" w:hAnsi="Arial"/>
                <w:sz w:val="14"/>
                <w:szCs w:val="14"/>
                <w:color w:val="auto"/>
              </w:rPr>
              <w:t>55,039,380 shares issued and outstanding at June 30, 2023 and December 31, 2022, respectively</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5"/>
                <w:szCs w:val="15"/>
                <w:color w:val="auto"/>
              </w:rPr>
            </w:pPr>
          </w:p>
        </w:tc>
      </w:tr>
      <w:tr>
        <w:trPr>
          <w:trHeight w:val="175"/>
        </w:trPr>
        <w:tc>
          <w:tcPr>
            <w:tcW w:w="81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902,574</w:t>
            </w: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878,884</w:t>
            </w:r>
          </w:p>
        </w:tc>
        <w:tc>
          <w:tcPr>
            <w:tcW w:w="140" w:type="dxa"/>
            <w:vAlign w:val="bottom"/>
            <w:shd w:val="clear" w:color="auto" w:fill="CFF0FC"/>
          </w:tcPr>
          <w:p>
            <w:pPr>
              <w:spacing w:after="0"/>
              <w:rPr>
                <w:sz w:val="15"/>
                <w:szCs w:val="15"/>
                <w:color w:val="auto"/>
              </w:rPr>
            </w:pPr>
          </w:p>
        </w:tc>
      </w:tr>
      <w:tr>
        <w:trPr>
          <w:trHeight w:val="176"/>
        </w:trPr>
        <w:tc>
          <w:tcPr>
            <w:tcW w:w="8140" w:type="dxa"/>
            <w:vAlign w:val="bottom"/>
          </w:tcPr>
          <w:p>
            <w:pPr>
              <w:ind w:left="200"/>
              <w:spacing w:after="0"/>
              <w:rPr>
                <w:sz w:val="20"/>
                <w:szCs w:val="20"/>
                <w:color w:val="auto"/>
              </w:rPr>
            </w:pPr>
            <w:r>
              <w:rPr>
                <w:rFonts w:ascii="Arial" w:cs="Arial" w:eastAsia="Arial" w:hAnsi="Arial"/>
                <w:sz w:val="14"/>
                <w:szCs w:val="14"/>
                <w:color w:val="auto"/>
              </w:rPr>
              <w:t>Accumulated deficit</w:t>
            </w:r>
          </w:p>
        </w:tc>
        <w:tc>
          <w:tcPr>
            <w:tcW w:w="26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(463,517 )</w:t>
            </w:r>
          </w:p>
        </w:tc>
        <w:tc>
          <w:tcPr>
            <w:tcW w:w="180" w:type="dxa"/>
            <w:vAlign w:val="bottom"/>
          </w:tcPr>
          <w:p>
            <w:pPr>
              <w:spacing w:after="0"/>
              <w:rPr>
                <w:sz w:val="15"/>
                <w:szCs w:val="15"/>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(383,790 )</w:t>
            </w:r>
          </w:p>
        </w:tc>
      </w:tr>
      <w:tr>
        <w:trPr>
          <w:trHeight w:val="175"/>
        </w:trPr>
        <w:tc>
          <w:tcPr>
            <w:tcW w:w="81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(3,635 )</w:t>
            </w:r>
          </w:p>
        </w:tc>
        <w:tc>
          <w:tcPr>
            <w:tcW w:w="18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(4,949 )</w:t>
            </w:r>
          </w:p>
        </w:tc>
      </w:tr>
      <w:tr>
        <w:trPr>
          <w:trHeight w:val="169"/>
        </w:trPr>
        <w:tc>
          <w:tcPr>
            <w:tcW w:w="8140" w:type="dxa"/>
            <w:vAlign w:val="bottom"/>
            <w:tcBorders>
              <w:top w:val="single" w:sz="8" w:color="CFF0FC"/>
            </w:tcBorders>
          </w:tcPr>
          <w:p>
            <w:pPr>
              <w:ind w:left="38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435,428</w:t>
            </w:r>
          </w:p>
        </w:tc>
        <w:tc>
          <w:tcPr>
            <w:tcW w:w="32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490,151</w:t>
            </w:r>
          </w:p>
        </w:tc>
        <w:tc>
          <w:tcPr>
            <w:tcW w:w="140" w:type="dxa"/>
            <w:vAlign w:val="bottom"/>
            <w:tcBorders>
              <w:top w:val="single" w:sz="8" w:color="CFF0FC"/>
            </w:tcBorders>
          </w:tcPr>
          <w:p>
            <w:pPr>
              <w:spacing w:after="0"/>
              <w:rPr>
                <w:sz w:val="14"/>
                <w:szCs w:val="14"/>
                <w:color w:val="auto"/>
              </w:rPr>
            </w:pPr>
          </w:p>
        </w:tc>
      </w:tr>
      <w:tr>
        <w:trPr>
          <w:trHeight w:val="209"/>
        </w:trPr>
        <w:tc>
          <w:tcPr>
            <w:tcW w:w="8140" w:type="dxa"/>
            <w:vAlign w:val="bottom"/>
            <w:tcBorders>
              <w:bottom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581,945</w:t>
            </w:r>
          </w:p>
        </w:tc>
        <w:tc>
          <w:tcPr>
            <w:tcW w:w="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603,134</w:t>
            </w:r>
          </w:p>
        </w:tc>
        <w:tc>
          <w:tcPr>
            <w:tcW w:w="14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-2630805</wp:posOffset>
            </wp:positionV>
            <wp:extent cx="113157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1570" cy="13716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-1713865</wp:posOffset>
            </wp:positionV>
            <wp:extent cx="8572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-1713865</wp:posOffset>
            </wp:positionV>
            <wp:extent cx="8572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-1036320</wp:posOffset>
            </wp:positionV>
            <wp:extent cx="8572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-1036320</wp:posOffset>
            </wp:positionV>
            <wp:extent cx="85725"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-264795</wp:posOffset>
            </wp:positionV>
            <wp:extent cx="8572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-264795</wp:posOffset>
            </wp:positionV>
            <wp:extent cx="8572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Three and six months ended June 30, 2023 and 2022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for share and per share amounts)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80" w:type="dxa"/>
            <w:vAlign w:val="bottom"/>
            <w:gridSpan w:val="5"/>
          </w:tcPr>
          <w:p>
            <w:pPr>
              <w:jc w:val="right"/>
              <w:ind w:right="75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Collaboration Revenue—from related parties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16,513</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11,514</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25,979</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21,136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41,293</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77,238</w:t>
            </w:r>
          </w:p>
        </w:tc>
        <w:tc>
          <w:tcPr>
            <w:tcW w:w="140" w:type="dxa"/>
            <w:vAlign w:val="bottom"/>
            <w:shd w:val="clear" w:color="auto" w:fill="CFF0FC"/>
          </w:tcPr>
          <w:p>
            <w:pPr>
              <w:spacing w:after="0"/>
              <w:rPr>
                <w:sz w:val="21"/>
                <w:szCs w:val="2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26,694</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21,642</w:t>
            </w:r>
          </w:p>
        </w:tc>
        <w:tc>
          <w:tcPr>
            <w:tcW w:w="140" w:type="dxa"/>
            <w:vAlign w:val="bottom"/>
          </w:tcPr>
          <w:p>
            <w:pPr>
              <w:spacing w:after="0"/>
              <w:rPr>
                <w:sz w:val="21"/>
                <w:szCs w:val="21"/>
                <w:color w:val="auto"/>
              </w:rPr>
            </w:pPr>
          </w:p>
        </w:tc>
      </w:tr>
      <w:tr>
        <w:trPr>
          <w:trHeight w:val="237"/>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59,896</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52,324</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114,688</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98,880</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(43,383 )</w:t>
            </w:r>
          </w:p>
        </w:tc>
        <w:tc>
          <w:tcPr>
            <w:tcW w:w="20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(40,810 )</w:t>
            </w:r>
          </w:p>
        </w:tc>
        <w:tc>
          <w:tcPr>
            <w:tcW w:w="200" w:type="dxa"/>
            <w:vAlign w:val="bottom"/>
          </w:tcPr>
          <w:p>
            <w:pPr>
              <w:spacing w:after="0"/>
              <w:rPr>
                <w:sz w:val="20"/>
                <w:szCs w:val="20"/>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(88,709 )</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(77,744 )</w:t>
            </w:r>
          </w:p>
        </w:tc>
      </w:tr>
      <w:tr>
        <w:trPr>
          <w:trHeight w:val="249"/>
        </w:trPr>
        <w:tc>
          <w:tcPr>
            <w:tcW w:w="5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55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9,085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20"/>
                <w:szCs w:val="20"/>
                <w:color w:val="auto"/>
              </w:rPr>
            </w:pPr>
          </w:p>
        </w:tc>
      </w:tr>
      <w:tr>
        <w:trPr>
          <w:trHeight w:val="249"/>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and other expense</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(48 )</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(41 )</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(103 )</w:t>
            </w: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(81 )</w:t>
            </w:r>
          </w:p>
        </w:tc>
      </w:tr>
      <w:tr>
        <w:trPr>
          <w:trHeight w:val="237"/>
        </w:trPr>
        <w:tc>
          <w:tcPr>
            <w:tcW w:w="55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4,584</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8,982</w:t>
            </w:r>
          </w:p>
        </w:tc>
        <w:tc>
          <w:tcPr>
            <w:tcW w:w="3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Borders>
              <w:top w:val="single" w:sz="8" w:color="CFF0FC"/>
            </w:tcBorders>
          </w:tcPr>
          <w:p>
            <w:pPr>
              <w:spacing w:after="0"/>
              <w:rPr>
                <w:sz w:val="20"/>
                <w:szCs w:val="20"/>
                <w:color w:val="auto"/>
              </w:rPr>
            </w:pPr>
          </w:p>
        </w:tc>
      </w:tr>
      <w:tr>
        <w:trPr>
          <w:trHeight w:val="277"/>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(38,799</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(79,727</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(76,941</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17"/>
        </w:trPr>
        <w:tc>
          <w:tcPr>
            <w:tcW w:w="55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5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(597 )</w:t>
            </w:r>
          </w:p>
        </w:tc>
        <w:tc>
          <w:tcPr>
            <w:tcW w:w="2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(767 )</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(3,323 )</w:t>
            </w:r>
          </w:p>
        </w:tc>
      </w:tr>
      <w:tr>
        <w:trPr>
          <w:trHeight w:val="20"/>
        </w:trPr>
        <w:tc>
          <w:tcPr>
            <w:tcW w:w="55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556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(39,396 )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(41,024 )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(78,413 )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(80,264 )</w:t>
            </w: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4"/>
        </w:trPr>
        <w:tc>
          <w:tcPr>
            <w:tcW w:w="5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76"/>
        </w:trPr>
        <w:tc>
          <w:tcPr>
            <w:tcW w:w="55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(38,799</w:t>
            </w:r>
          </w:p>
        </w:tc>
        <w:tc>
          <w:tcPr>
            <w:tcW w:w="280" w:type="dxa"/>
            <w:vAlign w:val="bottom"/>
            <w:tcBorders>
              <w:top w:val="single" w:sz="8" w:color="CFF0FC"/>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(40,257</w:t>
            </w:r>
          </w:p>
        </w:tc>
        <w:tc>
          <w:tcPr>
            <w:tcW w:w="300" w:type="dxa"/>
            <w:vAlign w:val="bottom"/>
            <w:tcBorders>
              <w:top w:val="single" w:sz="8" w:color="CFF0FC"/>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(79,727</w:t>
            </w:r>
          </w:p>
        </w:tc>
        <w:tc>
          <w:tcPr>
            <w:tcW w:w="300" w:type="dxa"/>
            <w:vAlign w:val="bottom"/>
            <w:tcBorders>
              <w:top w:val="single" w:sz="8" w:color="CFF0FC"/>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(76,941</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24"/>
        </w:trPr>
        <w:tc>
          <w:tcPr>
            <w:tcW w:w="55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(0.67 )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(0.78 )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(1.37 )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(1.49 )</w:t>
            </w:r>
          </w:p>
        </w:tc>
      </w:tr>
      <w:tr>
        <w:trPr>
          <w:trHeight w:val="20"/>
        </w:trPr>
        <w:tc>
          <w:tcPr>
            <w:tcW w:w="5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3"/>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stock outstanding, basic and diluted</w:t>
            </w: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58,326,963</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51,772,440</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58,257,387</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51,712,081</w:t>
            </w:r>
          </w:p>
        </w:tc>
        <w:tc>
          <w:tcPr>
            <w:tcW w:w="14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-2811145</wp:posOffset>
            </wp:positionV>
            <wp:extent cx="8572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-2811145</wp:posOffset>
            </wp:positionV>
            <wp:extent cx="8572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-2811145</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-2811145</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-2176780</wp:posOffset>
            </wp:positionV>
            <wp:extent cx="85725"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-2176780</wp:posOffset>
            </wp:positionV>
            <wp:extent cx="8572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-2176780</wp:posOffset>
            </wp:positionV>
            <wp:extent cx="8572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-2176780</wp:posOffset>
            </wp:positionV>
            <wp:extent cx="85725"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-1551305</wp:posOffset>
            </wp:positionV>
            <wp:extent cx="857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-1551305</wp:posOffset>
            </wp:positionV>
            <wp:extent cx="857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-1551305</wp:posOffset>
            </wp:positionV>
            <wp:extent cx="857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-1551305</wp:posOffset>
            </wp:positionV>
            <wp:extent cx="857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-1224915</wp:posOffset>
            </wp:positionV>
            <wp:extent cx="278574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85745" cy="17970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-890905</wp:posOffset>
            </wp:positionV>
            <wp:extent cx="2785745" cy="711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85745" cy="71120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85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-8255</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For the three months ended June 30, 2023 and 2022</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Additional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188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2"/>
                <w:szCs w:val="12"/>
                <w:color w:val="auto"/>
              </w:rPr>
            </w:pPr>
          </w:p>
        </w:tc>
        <w:tc>
          <w:tcPr>
            <w:tcW w:w="140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Paid in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Capital</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3"/>
              </w:rPr>
              <w:t>Gain/(Loss)</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9"/>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2022</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51,692,666</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697,597</w:t>
            </w:r>
          </w:p>
        </w:tc>
        <w:tc>
          <w:tcPr>
            <w:tcW w:w="3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(265,666</w:t>
            </w:r>
          </w:p>
        </w:tc>
        <w:tc>
          <w:tcPr>
            <w:tcW w:w="3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(3,216</w:t>
            </w:r>
          </w:p>
        </w:tc>
        <w:tc>
          <w:tcPr>
            <w:tcW w:w="34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428,720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120,257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377</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restricted stock</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13,033</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tcPr>
          <w:p>
            <w:pPr>
              <w:ind w:left="20"/>
              <w:spacing w:after="0" w:line="143" w:lineRule="exact"/>
              <w:rPr>
                <w:sz w:val="20"/>
                <w:szCs w:val="20"/>
                <w:color w:val="auto"/>
              </w:rPr>
            </w:pPr>
            <w:r>
              <w:rPr>
                <w:rFonts w:ascii="Arial" w:cs="Arial" w:eastAsia="Arial" w:hAnsi="Arial"/>
                <w:sz w:val="14"/>
                <w:szCs w:val="14"/>
                <w:color w:val="auto"/>
              </w:rPr>
              <w:t>Issuance of shares under employee stock</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6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960" w:type="dxa"/>
            <w:vAlign w:val="bottom"/>
          </w:tcPr>
          <w:p>
            <w:pPr>
              <w:jc w:val="right"/>
              <w:spacing w:after="0"/>
              <w:rPr>
                <w:sz w:val="20"/>
                <w:szCs w:val="20"/>
                <w:color w:val="auto"/>
              </w:rPr>
            </w:pPr>
            <w:r>
              <w:rPr>
                <w:rFonts w:ascii="Arial" w:cs="Arial" w:eastAsia="Arial" w:hAnsi="Arial"/>
                <w:sz w:val="14"/>
                <w:szCs w:val="14"/>
                <w:color w:val="auto"/>
              </w:rPr>
              <w:t>21,093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9,622</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9,622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4"/>
                <w:szCs w:val="14"/>
                <w:color w:val="auto"/>
              </w:rPr>
              <w:t>(767 )</w:t>
            </w:r>
          </w:p>
        </w:tc>
        <w:tc>
          <w:tcPr>
            <w:tcW w:w="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(767 )</w:t>
            </w: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(40,257 )</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(40,257 )</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960" w:type="dxa"/>
            <w:vAlign w:val="bottom"/>
          </w:tcPr>
          <w:p>
            <w:pPr>
              <w:jc w:val="right"/>
              <w:spacing w:after="0"/>
              <w:rPr>
                <w:sz w:val="20"/>
                <w:szCs w:val="20"/>
                <w:color w:val="auto"/>
              </w:rPr>
            </w:pPr>
            <w:r>
              <w:rPr>
                <w:rFonts w:ascii="Arial" w:cs="Arial" w:eastAsia="Arial" w:hAnsi="Arial"/>
                <w:sz w:val="14"/>
                <w:szCs w:val="14"/>
                <w:color w:val="auto"/>
              </w:rPr>
              <w:t>51,847,049</w:t>
            </w:r>
          </w:p>
        </w:tc>
        <w:tc>
          <w:tcPr>
            <w:tcW w:w="140" w:type="dxa"/>
            <w:vAlign w:val="bottom"/>
          </w:tcPr>
          <w:p>
            <w:pPr>
              <w:spacing w:after="0"/>
              <w:rPr>
                <w:sz w:val="14"/>
                <w:szCs w:val="14"/>
                <w:color w:val="auto"/>
              </w:rPr>
            </w:pPr>
          </w:p>
        </w:tc>
        <w:tc>
          <w:tcPr>
            <w:tcW w:w="78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707,852</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08"/>
              <w:spacing w:after="0"/>
              <w:rPr>
                <w:sz w:val="20"/>
                <w:szCs w:val="20"/>
                <w:color w:val="auto"/>
              </w:rPr>
            </w:pPr>
            <w:r>
              <w:rPr>
                <w:rFonts w:ascii="Arial" w:cs="Arial" w:eastAsia="Arial" w:hAnsi="Arial"/>
                <w:sz w:val="14"/>
                <w:szCs w:val="14"/>
                <w:color w:val="auto"/>
              </w:rPr>
              <w:t>(305,923 )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08"/>
              <w:spacing w:after="0"/>
              <w:rPr>
                <w:sz w:val="20"/>
                <w:szCs w:val="20"/>
                <w:color w:val="auto"/>
              </w:rPr>
            </w:pPr>
            <w:r>
              <w:rPr>
                <w:rFonts w:ascii="Arial" w:cs="Arial" w:eastAsia="Arial" w:hAnsi="Arial"/>
                <w:sz w:val="14"/>
                <w:szCs w:val="14"/>
                <w:color w:val="auto"/>
              </w:rPr>
              <w:t>(3,983 )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397,951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gridSpan w:val="2"/>
          </w:tcPr>
          <w:p>
            <w:pPr>
              <w:spacing w:after="0"/>
              <w:rPr>
                <w:sz w:val="13"/>
                <w:szCs w:val="13"/>
                <w:color w:val="auto"/>
              </w:rPr>
            </w:pPr>
          </w:p>
        </w:tc>
        <w:tc>
          <w:tcPr>
            <w:tcW w:w="12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2023</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55,276,226</w:t>
            </w:r>
          </w:p>
        </w:tc>
        <w:tc>
          <w:tcPr>
            <w:tcW w:w="920" w:type="dxa"/>
            <w:vAlign w:val="bottom"/>
            <w:gridSpan w:val="3"/>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889,755</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(424,718 )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(3,038 )</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462,005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67,987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676</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restricted stock</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6,623</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560" w:type="dxa"/>
            <w:vAlign w:val="bottom"/>
          </w:tcPr>
          <w:p>
            <w:pPr>
              <w:ind w:left="20"/>
              <w:spacing w:after="0" w:line="143" w:lineRule="exact"/>
              <w:rPr>
                <w:sz w:val="20"/>
                <w:szCs w:val="20"/>
                <w:color w:val="auto"/>
              </w:rPr>
            </w:pPr>
            <w:r>
              <w:rPr>
                <w:rFonts w:ascii="Arial" w:cs="Arial" w:eastAsia="Arial" w:hAnsi="Arial"/>
                <w:sz w:val="14"/>
                <w:szCs w:val="14"/>
                <w:color w:val="auto"/>
              </w:rPr>
              <w:t>Issuance of shares under employee stock</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6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960" w:type="dxa"/>
            <w:vAlign w:val="bottom"/>
          </w:tcPr>
          <w:p>
            <w:pPr>
              <w:jc w:val="right"/>
              <w:spacing w:after="0"/>
              <w:rPr>
                <w:sz w:val="20"/>
                <w:szCs w:val="20"/>
                <w:color w:val="auto"/>
              </w:rPr>
            </w:pPr>
            <w:r>
              <w:rPr>
                <w:rFonts w:ascii="Arial" w:cs="Arial" w:eastAsia="Arial" w:hAnsi="Arial"/>
                <w:sz w:val="14"/>
                <w:szCs w:val="14"/>
                <w:color w:val="auto"/>
              </w:rPr>
              <w:t>39,423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962</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11,181</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11,181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4"/>
                <w:szCs w:val="14"/>
                <w:color w:val="auto"/>
              </w:rPr>
              <w:t>(597 )</w:t>
            </w:r>
          </w:p>
        </w:tc>
        <w:tc>
          <w:tcPr>
            <w:tcW w:w="8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(597 )</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(38,799 )</w:t>
            </w:r>
          </w:p>
        </w:tc>
        <w:tc>
          <w:tcPr>
            <w:tcW w:w="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8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(38,799 )</w:t>
            </w:r>
          </w:p>
        </w:tc>
        <w:tc>
          <w:tcPr>
            <w:tcW w:w="0" w:type="dxa"/>
            <w:vAlign w:val="bottom"/>
          </w:tcPr>
          <w:p>
            <w:pPr>
              <w:spacing w:after="0"/>
              <w:rPr>
                <w:sz w:val="1"/>
                <w:szCs w:val="1"/>
                <w:color w:val="auto"/>
              </w:rPr>
            </w:pPr>
          </w:p>
        </w:tc>
      </w:tr>
      <w:tr>
        <w:trPr>
          <w:trHeight w:val="20"/>
        </w:trPr>
        <w:tc>
          <w:tcPr>
            <w:tcW w:w="35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60" w:type="dxa"/>
            <w:vAlign w:val="bottom"/>
          </w:tcPr>
          <w:p>
            <w:pPr>
              <w:ind w:left="20"/>
              <w:spacing w:after="0" w:line="155" w:lineRule="exact"/>
              <w:rPr>
                <w:sz w:val="20"/>
                <w:szCs w:val="20"/>
                <w:color w:val="auto"/>
              </w:rPr>
            </w:pPr>
            <w:r>
              <w:rPr>
                <w:rFonts w:ascii="Arial" w:cs="Arial" w:eastAsia="Arial" w:hAnsi="Arial"/>
                <w:sz w:val="14"/>
                <w:szCs w:val="14"/>
                <w:color w:val="auto"/>
              </w:rPr>
              <w:t>Balance at June 30, 2023</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55,390,259</w:t>
            </w:r>
          </w:p>
        </w:tc>
        <w:tc>
          <w:tcPr>
            <w:tcW w:w="340" w:type="dxa"/>
            <w:vAlign w:val="bottom"/>
            <w:gridSpan w:val="2"/>
          </w:tcPr>
          <w:p>
            <w:pPr>
              <w:spacing w:after="0"/>
              <w:rPr>
                <w:sz w:val="14"/>
                <w:szCs w:val="14"/>
                <w:color w:val="auto"/>
              </w:rPr>
            </w:pPr>
          </w:p>
        </w:tc>
        <w:tc>
          <w:tcPr>
            <w:tcW w:w="580" w:type="dxa"/>
            <w:vAlign w:val="bottom"/>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32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902,574</w:t>
            </w:r>
          </w:p>
        </w:tc>
        <w:tc>
          <w:tcPr>
            <w:tcW w:w="34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08"/>
              <w:spacing w:after="0" w:line="155" w:lineRule="exact"/>
              <w:rPr>
                <w:sz w:val="20"/>
                <w:szCs w:val="20"/>
                <w:color w:val="auto"/>
              </w:rPr>
            </w:pPr>
            <w:r>
              <w:rPr>
                <w:rFonts w:ascii="Arial" w:cs="Arial" w:eastAsia="Arial" w:hAnsi="Arial"/>
                <w:sz w:val="14"/>
                <w:szCs w:val="14"/>
                <w:color w:val="auto"/>
              </w:rPr>
              <w:t>(463,517 )</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08"/>
              <w:spacing w:after="0" w:line="155" w:lineRule="exact"/>
              <w:rPr>
                <w:sz w:val="20"/>
                <w:szCs w:val="20"/>
                <w:color w:val="auto"/>
              </w:rPr>
            </w:pPr>
            <w:r>
              <w:rPr>
                <w:rFonts w:ascii="Arial" w:cs="Arial" w:eastAsia="Arial" w:hAnsi="Arial"/>
                <w:sz w:val="14"/>
                <w:szCs w:val="14"/>
                <w:color w:val="auto"/>
              </w:rPr>
              <w:t>(3,635 )</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435,428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2872740</wp:posOffset>
            </wp:positionH>
            <wp:positionV relativeFrom="paragraph">
              <wp:posOffset>-1302385</wp:posOffset>
            </wp:positionV>
            <wp:extent cx="85725" cy="2571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-1302385</wp:posOffset>
            </wp:positionV>
            <wp:extent cx="77470"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257175"/>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-1302385</wp:posOffset>
            </wp:positionV>
            <wp:extent cx="85725"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-1302385</wp:posOffset>
            </wp:positionV>
            <wp:extent cx="8572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6122035</wp:posOffset>
            </wp:positionH>
            <wp:positionV relativeFrom="paragraph">
              <wp:posOffset>-1302385</wp:posOffset>
            </wp:positionV>
            <wp:extent cx="8572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6979285</wp:posOffset>
            </wp:positionH>
            <wp:positionV relativeFrom="paragraph">
              <wp:posOffset>-1302385</wp:posOffset>
            </wp:positionV>
            <wp:extent cx="85725"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2872740</wp:posOffset>
            </wp:positionH>
            <wp:positionV relativeFrom="paragraph">
              <wp:posOffset>-145415</wp:posOffset>
            </wp:positionV>
            <wp:extent cx="8572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-145415</wp:posOffset>
            </wp:positionV>
            <wp:extent cx="7747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4321810</wp:posOffset>
            </wp:positionH>
            <wp:positionV relativeFrom="paragraph">
              <wp:posOffset>-145415</wp:posOffset>
            </wp:positionV>
            <wp:extent cx="8572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5179060</wp:posOffset>
            </wp:positionH>
            <wp:positionV relativeFrom="paragraph">
              <wp:posOffset>-145415</wp:posOffset>
            </wp:positionV>
            <wp:extent cx="85725"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6122035</wp:posOffset>
            </wp:positionH>
            <wp:positionV relativeFrom="paragraph">
              <wp:posOffset>-145415</wp:posOffset>
            </wp:positionV>
            <wp:extent cx="8572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6979285</wp:posOffset>
            </wp:positionH>
            <wp:positionV relativeFrom="paragraph">
              <wp:posOffset>-145415</wp:posOffset>
            </wp:positionV>
            <wp:extent cx="8572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337"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900" w:type="dxa"/>
            <w:vAlign w:val="bottom"/>
            <w:gridSpan w:val="4"/>
            <w:vMerge w:val="restart"/>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2"/>
                <w:szCs w:val="12"/>
                <w:color w:val="auto"/>
              </w:rPr>
            </w:pPr>
          </w:p>
        </w:tc>
        <w:tc>
          <w:tcPr>
            <w:tcW w:w="142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4"/>
                <w:szCs w:val="14"/>
                <w:color w:val="auto"/>
              </w:rPr>
            </w:pPr>
          </w:p>
        </w:tc>
        <w:tc>
          <w:tcPr>
            <w:tcW w:w="19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Paid in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14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69"/>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51,536,181</w:t>
            </w:r>
          </w:p>
        </w:tc>
        <w:tc>
          <w:tcPr>
            <w:tcW w:w="1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689,275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(228,982</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459,638</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262,527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restricted stock</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27,248</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740" w:type="dxa"/>
            <w:vAlign w:val="bottom"/>
          </w:tcPr>
          <w:p>
            <w:pPr>
              <w:ind w:left="20"/>
              <w:spacing w:after="0" w:line="143" w:lineRule="exact"/>
              <w:rPr>
                <w:sz w:val="20"/>
                <w:szCs w:val="20"/>
                <w:color w:val="auto"/>
              </w:rPr>
            </w:pPr>
            <w:r>
              <w:rPr>
                <w:rFonts w:ascii="Arial" w:cs="Arial" w:eastAsia="Arial" w:hAnsi="Arial"/>
                <w:sz w:val="14"/>
                <w:szCs w:val="14"/>
                <w:color w:val="auto"/>
              </w:rPr>
              <w:t>Issuance of shares under employee stock</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940" w:type="dxa"/>
            <w:vAlign w:val="bottom"/>
          </w:tcPr>
          <w:p>
            <w:pPr>
              <w:jc w:val="right"/>
              <w:spacing w:after="0"/>
              <w:rPr>
                <w:sz w:val="20"/>
                <w:szCs w:val="20"/>
                <w:color w:val="auto"/>
              </w:rPr>
            </w:pPr>
            <w:r>
              <w:rPr>
                <w:rFonts w:ascii="Arial" w:cs="Arial" w:eastAsia="Arial" w:hAnsi="Arial"/>
                <w:sz w:val="14"/>
                <w:szCs w:val="14"/>
                <w:color w:val="auto"/>
              </w:rPr>
              <w:t>21,093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17,495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17,495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rPr>
                <w:sz w:val="20"/>
                <w:szCs w:val="20"/>
                <w:color w:val="auto"/>
              </w:rPr>
            </w:pPr>
            <w:r>
              <w:rPr>
                <w:rFonts w:ascii="Arial" w:cs="Arial" w:eastAsia="Arial" w:hAnsi="Arial"/>
                <w:sz w:val="14"/>
                <w:szCs w:val="14"/>
                <w:color w:val="auto"/>
              </w:rPr>
              <w:t>Unrealized loss on marketable securities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(3,323 )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(3,323 )</w:t>
            </w: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(76,941 )</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(76,941 )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tcPr>
          <w:p>
            <w:pPr>
              <w:ind w:left="20"/>
              <w:spacing w:after="0" w:line="155" w:lineRule="exact"/>
              <w:rPr>
                <w:sz w:val="20"/>
                <w:szCs w:val="20"/>
                <w:color w:val="auto"/>
              </w:rPr>
            </w:pPr>
            <w:r>
              <w:rPr>
                <w:rFonts w:ascii="Arial" w:cs="Arial" w:eastAsia="Arial" w:hAnsi="Arial"/>
                <w:sz w:val="14"/>
                <w:szCs w:val="14"/>
                <w:color w:val="auto"/>
              </w:rPr>
              <w:t>Balance at June 30, 2022</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51,847,049</w:t>
            </w:r>
          </w:p>
        </w:tc>
        <w:tc>
          <w:tcPr>
            <w:tcW w:w="140" w:type="dxa"/>
            <w:vAlign w:val="bottom"/>
          </w:tcPr>
          <w:p>
            <w:pPr>
              <w:spacing w:after="0"/>
              <w:rPr>
                <w:sz w:val="14"/>
                <w:szCs w:val="14"/>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5</w:t>
            </w:r>
          </w:p>
        </w:tc>
        <w:tc>
          <w:tcPr>
            <w:tcW w:w="280" w:type="dxa"/>
            <w:vAlign w:val="bottom"/>
            <w:gridSpan w:val="2"/>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707,852</w:t>
            </w:r>
          </w:p>
        </w:tc>
        <w:tc>
          <w:tcPr>
            <w:tcW w:w="280" w:type="dxa"/>
            <w:vAlign w:val="bottom"/>
            <w:gridSpan w:val="2"/>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(305,923 )</w:t>
            </w:r>
          </w:p>
        </w:tc>
        <w:tc>
          <w:tcPr>
            <w:tcW w:w="16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(3,983 )</w:t>
            </w:r>
          </w:p>
        </w:tc>
        <w:tc>
          <w:tcPr>
            <w:tcW w:w="16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397,951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1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2022</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55,039,380</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878,884</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(383,790 )</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(4,949 )</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490,151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940" w:type="dxa"/>
            <w:vAlign w:val="bottom"/>
          </w:tcPr>
          <w:p>
            <w:pPr>
              <w:jc w:val="right"/>
              <w:spacing w:after="0"/>
              <w:rPr>
                <w:sz w:val="20"/>
                <w:szCs w:val="20"/>
                <w:color w:val="auto"/>
              </w:rPr>
            </w:pPr>
            <w:r>
              <w:rPr>
                <w:rFonts w:ascii="Arial" w:cs="Arial" w:eastAsia="Arial" w:hAnsi="Arial"/>
                <w:sz w:val="14"/>
                <w:szCs w:val="14"/>
                <w:color w:val="auto"/>
              </w:rPr>
              <w:t>276,692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2,163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Vesting restricted stock</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34,764</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740" w:type="dxa"/>
            <w:vAlign w:val="bottom"/>
          </w:tcPr>
          <w:p>
            <w:pPr>
              <w:ind w:left="20"/>
              <w:spacing w:after="0" w:line="143" w:lineRule="exact"/>
              <w:rPr>
                <w:sz w:val="20"/>
                <w:szCs w:val="20"/>
                <w:color w:val="auto"/>
              </w:rPr>
            </w:pPr>
            <w:r>
              <w:rPr>
                <w:rFonts w:ascii="Arial" w:cs="Arial" w:eastAsia="Arial" w:hAnsi="Arial"/>
                <w:sz w:val="14"/>
                <w:szCs w:val="14"/>
                <w:color w:val="auto"/>
              </w:rPr>
              <w:t>Issuance of shares under employee stock</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40" w:type="dxa"/>
            <w:vAlign w:val="bottom"/>
          </w:tcPr>
          <w:p>
            <w:pPr>
              <w:ind w:left="20"/>
              <w:spacing w:after="0"/>
              <w:rPr>
                <w:sz w:val="20"/>
                <w:szCs w:val="20"/>
                <w:color w:val="auto"/>
              </w:rPr>
            </w:pPr>
            <w:r>
              <w:rPr>
                <w:rFonts w:ascii="Arial" w:cs="Arial" w:eastAsia="Arial" w:hAnsi="Arial"/>
                <w:sz w:val="14"/>
                <w:szCs w:val="14"/>
                <w:color w:val="auto"/>
              </w:rPr>
              <w:t>purchase plan</w:t>
            </w:r>
          </w:p>
        </w:tc>
        <w:tc>
          <w:tcPr>
            <w:tcW w:w="940" w:type="dxa"/>
            <w:vAlign w:val="bottom"/>
          </w:tcPr>
          <w:p>
            <w:pPr>
              <w:jc w:val="right"/>
              <w:spacing w:after="0"/>
              <w:rPr>
                <w:sz w:val="20"/>
                <w:szCs w:val="20"/>
                <w:color w:val="auto"/>
              </w:rPr>
            </w:pPr>
            <w:r>
              <w:rPr>
                <w:rFonts w:ascii="Arial" w:cs="Arial" w:eastAsia="Arial" w:hAnsi="Arial"/>
                <w:sz w:val="14"/>
                <w:szCs w:val="14"/>
                <w:color w:val="auto"/>
              </w:rPr>
              <w:t>39,423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20,565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42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20,565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140" w:type="dxa"/>
            <w:vAlign w:val="bottom"/>
            <w:shd w:val="clear" w:color="auto" w:fill="DEEBF7"/>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(79,727 )</w:t>
            </w:r>
          </w:p>
        </w:tc>
        <w:tc>
          <w:tcPr>
            <w:tcW w:w="160" w:type="dxa"/>
            <w:vAlign w:val="bottom"/>
            <w:shd w:val="clear" w:color="auto" w:fill="DEEBF7"/>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DEEBF7"/>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(79,727 )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DEEBF7"/>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DEEBF7"/>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DEEBF7"/>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DEEBF7"/>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tcPr>
          <w:p>
            <w:pPr>
              <w:ind w:left="20"/>
              <w:spacing w:after="0" w:line="155" w:lineRule="exact"/>
              <w:rPr>
                <w:sz w:val="20"/>
                <w:szCs w:val="20"/>
                <w:color w:val="auto"/>
              </w:rPr>
            </w:pPr>
            <w:r>
              <w:rPr>
                <w:rFonts w:ascii="Arial" w:cs="Arial" w:eastAsia="Arial" w:hAnsi="Arial"/>
                <w:sz w:val="14"/>
                <w:szCs w:val="14"/>
                <w:color w:val="auto"/>
              </w:rPr>
              <w:t>Balance at June 30, 2023</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55,390,259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902,574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(463,517 )</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(3,635 )</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435,428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-1285240</wp:posOffset>
            </wp:positionV>
            <wp:extent cx="85725"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-1285240</wp:posOffset>
            </wp:positionV>
            <wp:extent cx="85725"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-1285240</wp:posOffset>
            </wp:positionV>
            <wp:extent cx="85725"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-1285240</wp:posOffset>
            </wp:positionV>
            <wp:extent cx="85725" cy="2571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-1285240</wp:posOffset>
            </wp:positionV>
            <wp:extent cx="76835"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25717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-1285240</wp:posOffset>
            </wp:positionV>
            <wp:extent cx="85725"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25717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-144780</wp:posOffset>
            </wp:positionV>
            <wp:extent cx="85725"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-144780</wp:posOffset>
            </wp:positionV>
            <wp:extent cx="85725"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-144780</wp:posOffset>
            </wp:positionV>
            <wp:extent cx="8572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-144780</wp:posOffset>
            </wp:positionV>
            <wp:extent cx="85725"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-144780</wp:posOffset>
            </wp:positionV>
            <wp:extent cx="7683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-144780</wp:posOffset>
            </wp:positionV>
            <wp:extent cx="85725"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KYMERA THERAPEUTICS,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7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5"/>
                <w:szCs w:val="15"/>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1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8"/>
              <w:spacing w:after="0"/>
              <w:rPr>
                <w:sz w:val="20"/>
                <w:szCs w:val="20"/>
                <w:color w:val="auto"/>
              </w:rPr>
            </w:pPr>
            <w:r>
              <w:rPr>
                <w:rFonts w:ascii="Arial" w:cs="Arial" w:eastAsia="Arial" w:hAnsi="Arial"/>
                <w:sz w:val="16"/>
                <w:szCs w:val="16"/>
                <w:color w:val="auto"/>
              </w:rPr>
              <w:t>(79,727 )</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(76,941 )</w:t>
            </w:r>
          </w:p>
        </w:tc>
      </w:tr>
      <w:tr>
        <w:trPr>
          <w:trHeight w:val="239"/>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14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20,565</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17,495</w:t>
            </w:r>
          </w:p>
        </w:tc>
        <w:tc>
          <w:tcPr>
            <w:tcW w:w="140" w:type="dxa"/>
            <w:vAlign w:val="bottom"/>
          </w:tcPr>
          <w:p>
            <w:pPr>
              <w:spacing w:after="0"/>
              <w:rPr>
                <w:sz w:val="19"/>
                <w:szCs w:val="19"/>
                <w:color w:val="auto"/>
              </w:rPr>
            </w:pPr>
          </w:p>
        </w:tc>
      </w:tr>
      <w:tr>
        <w:trPr>
          <w:trHeight w:val="239"/>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1,779</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1,392</w:t>
            </w:r>
          </w:p>
        </w:tc>
        <w:tc>
          <w:tcPr>
            <w:tcW w:w="140" w:type="dxa"/>
            <w:vAlign w:val="bottom"/>
            <w:shd w:val="clear" w:color="auto" w:fill="CFF0FC"/>
          </w:tcPr>
          <w:p>
            <w:pPr>
              <w:spacing w:after="0"/>
              <w:rPr>
                <w:sz w:val="20"/>
                <w:szCs w:val="20"/>
                <w:color w:val="auto"/>
              </w:rPr>
            </w:pPr>
          </w:p>
        </w:tc>
      </w:tr>
      <w:tr>
        <w:trPr>
          <w:trHeight w:val="220"/>
        </w:trPr>
        <w:tc>
          <w:tcPr>
            <w:tcW w:w="7140" w:type="dxa"/>
            <w:vAlign w:val="bottom"/>
          </w:tcPr>
          <w:p>
            <w:pPr>
              <w:ind w:left="200"/>
              <w:spacing w:after="0"/>
              <w:rPr>
                <w:sz w:val="20"/>
                <w:szCs w:val="20"/>
                <w:color w:val="auto"/>
              </w:rPr>
            </w:pPr>
            <w:r>
              <w:rPr>
                <w:rFonts w:ascii="Arial" w:cs="Arial" w:eastAsia="Arial" w:hAnsi="Arial"/>
                <w:sz w:val="16"/>
                <w:szCs w:val="16"/>
                <w:color w:val="auto"/>
              </w:rPr>
              <w:t>Premiums and discounts on available-for-sale marketable securities</w:t>
            </w:r>
          </w:p>
        </w:tc>
        <w:tc>
          <w:tcPr>
            <w:tcW w:w="280" w:type="dxa"/>
            <w:vAlign w:val="bottom"/>
          </w:tcPr>
          <w:p>
            <w:pPr>
              <w:spacing w:after="0"/>
              <w:rPr>
                <w:sz w:val="19"/>
                <w:szCs w:val="19"/>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6"/>
                <w:szCs w:val="16"/>
                <w:color w:val="auto"/>
              </w:rPr>
              <w:t>(2,743 )</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1,852</w:t>
            </w:r>
          </w:p>
        </w:tc>
        <w:tc>
          <w:tcPr>
            <w:tcW w:w="140" w:type="dxa"/>
            <w:vAlign w:val="bottom"/>
          </w:tcPr>
          <w:p>
            <w:pPr>
              <w:spacing w:after="0"/>
              <w:rPr>
                <w:sz w:val="19"/>
                <w:szCs w:val="19"/>
                <w:color w:val="auto"/>
              </w:rPr>
            </w:pPr>
          </w:p>
        </w:tc>
      </w:tr>
      <w:tr>
        <w:trPr>
          <w:trHeight w:val="239"/>
        </w:trPr>
        <w:tc>
          <w:tcPr>
            <w:tcW w:w="71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14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9"/>
                <w:szCs w:val="19"/>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6"/>
                <w:szCs w:val="16"/>
                <w:color w:val="auto"/>
              </w:rPr>
              <w:t>(3,994 )</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630</w:t>
            </w:r>
          </w:p>
        </w:tc>
        <w:tc>
          <w:tcPr>
            <w:tcW w:w="140" w:type="dxa"/>
            <w:vAlign w:val="bottom"/>
          </w:tcPr>
          <w:p>
            <w:pPr>
              <w:spacing w:after="0"/>
              <w:rPr>
                <w:sz w:val="19"/>
                <w:szCs w:val="19"/>
                <w:color w:val="auto"/>
              </w:rPr>
            </w:pPr>
          </w:p>
        </w:tc>
      </w:tr>
      <w:tr>
        <w:trPr>
          <w:trHeight w:val="239"/>
        </w:trPr>
        <w:tc>
          <w:tcPr>
            <w:tcW w:w="7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Contract asset</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(1,585 )</w:t>
            </w: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(2,234 )</w:t>
            </w:r>
          </w:p>
        </w:tc>
      </w:tr>
      <w:tr>
        <w:trPr>
          <w:trHeight w:val="220"/>
        </w:trPr>
        <w:tc>
          <w:tcPr>
            <w:tcW w:w="71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9"/>
                <w:szCs w:val="19"/>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6"/>
                <w:szCs w:val="16"/>
                <w:color w:val="auto"/>
              </w:rPr>
              <w:t>(513 )</w:t>
            </w:r>
          </w:p>
        </w:tc>
        <w:tc>
          <w:tcPr>
            <w:tcW w:w="5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(1,847 )</w:t>
            </w:r>
          </w:p>
        </w:tc>
      </w:tr>
      <w:tr>
        <w:trPr>
          <w:trHeight w:val="239"/>
        </w:trPr>
        <w:tc>
          <w:tcPr>
            <w:tcW w:w="7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(6,252 )</w:t>
            </w: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(1,720 )</w:t>
            </w:r>
          </w:p>
        </w:tc>
      </w:tr>
      <w:tr>
        <w:trPr>
          <w:trHeight w:val="220"/>
        </w:trPr>
        <w:tc>
          <w:tcPr>
            <w:tcW w:w="714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9"/>
                <w:szCs w:val="19"/>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6"/>
                <w:szCs w:val="16"/>
                <w:color w:val="auto"/>
              </w:rPr>
              <w:t>(18,537 )</w:t>
            </w:r>
          </w:p>
        </w:tc>
        <w:tc>
          <w:tcPr>
            <w:tcW w:w="5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(17,503 )</w:t>
            </w:r>
          </w:p>
        </w:tc>
      </w:tr>
      <w:tr>
        <w:trPr>
          <w:trHeight w:val="239"/>
        </w:trPr>
        <w:tc>
          <w:tcPr>
            <w:tcW w:w="7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2,055</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140" w:type="dxa"/>
            <w:vAlign w:val="bottom"/>
            <w:shd w:val="clear" w:color="auto" w:fill="CFF0FC"/>
          </w:tcPr>
          <w:p>
            <w:pPr>
              <w:spacing w:after="0"/>
              <w:rPr>
                <w:sz w:val="20"/>
                <w:szCs w:val="20"/>
                <w:color w:val="auto"/>
              </w:rPr>
            </w:pPr>
          </w:p>
        </w:tc>
      </w:tr>
      <w:tr>
        <w:trPr>
          <w:trHeight w:val="220"/>
        </w:trPr>
        <w:tc>
          <w:tcPr>
            <w:tcW w:w="7140" w:type="dxa"/>
            <w:vAlign w:val="bottom"/>
          </w:tcPr>
          <w:p>
            <w:pPr>
              <w:ind w:left="380"/>
              <w:spacing w:after="0"/>
              <w:rPr>
                <w:sz w:val="20"/>
                <w:szCs w:val="20"/>
                <w:color w:val="auto"/>
              </w:rPr>
            </w:pPr>
            <w:r>
              <w:rPr>
                <w:rFonts w:ascii="Arial" w:cs="Arial" w:eastAsia="Arial" w:hAnsi="Arial"/>
                <w:sz w:val="16"/>
                <w:szCs w:val="16"/>
                <w:color w:val="auto"/>
              </w:rPr>
              <w:t>Operating lease liabilities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9,554</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(479 )</w:t>
            </w:r>
          </w:p>
        </w:tc>
      </w:tr>
      <w:tr>
        <w:trPr>
          <w:trHeight w:val="236"/>
        </w:trPr>
        <w:tc>
          <w:tcPr>
            <w:tcW w:w="71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assets and liabilities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(170 )</w:t>
            </w:r>
          </w:p>
        </w:tc>
      </w:tr>
      <w:tr>
        <w:trPr>
          <w:trHeight w:val="20"/>
        </w:trPr>
        <w:tc>
          <w:tcPr>
            <w:tcW w:w="7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8"/>
              <w:spacing w:after="0"/>
              <w:rPr>
                <w:sz w:val="20"/>
                <w:szCs w:val="20"/>
                <w:color w:val="auto"/>
              </w:rPr>
            </w:pPr>
            <w:r>
              <w:rPr>
                <w:rFonts w:ascii="Arial" w:cs="Arial" w:eastAsia="Arial" w:hAnsi="Arial"/>
                <w:sz w:val="16"/>
                <w:szCs w:val="16"/>
                <w:color w:val="auto"/>
              </w:rPr>
              <w:t>(79,224 )</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(79,280 )</w:t>
            </w:r>
          </w:p>
        </w:tc>
      </w:tr>
      <w:tr>
        <w:trPr>
          <w:trHeight w:val="226"/>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20"/>
        </w:trPr>
        <w:tc>
          <w:tcPr>
            <w:tcW w:w="7140" w:type="dxa"/>
            <w:vAlign w:val="bottom"/>
          </w:tcPr>
          <w:p>
            <w:pPr>
              <w:ind w:left="20"/>
              <w:spacing w:after="0"/>
              <w:rPr>
                <w:sz w:val="20"/>
                <w:szCs w:val="20"/>
                <w:color w:val="auto"/>
              </w:rPr>
            </w:pPr>
            <w:r>
              <w:rPr>
                <w:rFonts w:ascii="Arial" w:cs="Arial" w:eastAsia="Arial" w:hAnsi="Arial"/>
                <w:sz w:val="16"/>
                <w:szCs w:val="16"/>
                <w:color w:val="auto"/>
              </w:rPr>
              <w:t>Purchase of property and equipment, net</w:t>
            </w:r>
          </w:p>
        </w:tc>
        <w:tc>
          <w:tcPr>
            <w:tcW w:w="280" w:type="dxa"/>
            <w:vAlign w:val="bottom"/>
          </w:tcPr>
          <w:p>
            <w:pPr>
              <w:spacing w:after="0"/>
              <w:rPr>
                <w:sz w:val="19"/>
                <w:szCs w:val="19"/>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6"/>
                <w:szCs w:val="16"/>
                <w:color w:val="auto"/>
              </w:rPr>
              <w:t>(14,777 )</w:t>
            </w:r>
          </w:p>
        </w:tc>
        <w:tc>
          <w:tcPr>
            <w:tcW w:w="5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(1,217 )</w:t>
            </w:r>
          </w:p>
        </w:tc>
      </w:tr>
      <w:tr>
        <w:trPr>
          <w:trHeight w:val="239"/>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investments</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(114,477 )</w:t>
            </w: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(144,827 )</w:t>
            </w:r>
          </w:p>
        </w:tc>
      </w:tr>
      <w:tr>
        <w:trPr>
          <w:trHeight w:val="227"/>
        </w:trPr>
        <w:tc>
          <w:tcPr>
            <w:tcW w:w="7140" w:type="dxa"/>
            <w:vAlign w:val="bottom"/>
          </w:tcPr>
          <w:p>
            <w:pPr>
              <w:ind w:left="20"/>
              <w:spacing w:after="0"/>
              <w:rPr>
                <w:sz w:val="20"/>
                <w:szCs w:val="20"/>
                <w:color w:val="auto"/>
              </w:rPr>
            </w:pPr>
            <w:r>
              <w:rPr>
                <w:rFonts w:ascii="Arial" w:cs="Arial" w:eastAsia="Arial" w:hAnsi="Arial"/>
                <w:sz w:val="16"/>
                <w:szCs w:val="16"/>
                <w:color w:val="auto"/>
              </w:rPr>
              <w:t>Maturities of investments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189,677</w:t>
            </w:r>
          </w:p>
        </w:tc>
        <w:tc>
          <w:tcPr>
            <w:tcW w:w="3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253,710</w:t>
            </w:r>
          </w:p>
        </w:tc>
        <w:tc>
          <w:tcPr>
            <w:tcW w:w="140" w:type="dxa"/>
            <w:vAlign w:val="bottom"/>
          </w:tcPr>
          <w:p>
            <w:pPr>
              <w:spacing w:after="0"/>
              <w:rPr>
                <w:sz w:val="19"/>
                <w:szCs w:val="19"/>
                <w:color w:val="auto"/>
              </w:rPr>
            </w:pPr>
          </w:p>
        </w:tc>
      </w:tr>
      <w:tr>
        <w:trPr>
          <w:trHeight w:val="223"/>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60,423</w:t>
            </w:r>
          </w:p>
        </w:tc>
        <w:tc>
          <w:tcPr>
            <w:tcW w:w="3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107,666</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16"/>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9"/>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stock option exercises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2,163</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w:t>
            </w:r>
          </w:p>
        </w:tc>
        <w:tc>
          <w:tcPr>
            <w:tcW w:w="140" w:type="dxa"/>
            <w:vAlign w:val="bottom"/>
            <w:shd w:val="clear" w:color="auto" w:fill="CFF0FC"/>
          </w:tcPr>
          <w:p>
            <w:pPr>
              <w:spacing w:after="0"/>
              <w:rPr>
                <w:sz w:val="20"/>
                <w:szCs w:val="20"/>
                <w:color w:val="auto"/>
              </w:rPr>
            </w:pPr>
          </w:p>
        </w:tc>
      </w:tr>
      <w:tr>
        <w:trPr>
          <w:trHeight w:val="220"/>
        </w:trPr>
        <w:tc>
          <w:tcPr>
            <w:tcW w:w="7140" w:type="dxa"/>
            <w:vAlign w:val="bottom"/>
          </w:tcPr>
          <w:p>
            <w:pPr>
              <w:ind w:left="20"/>
              <w:spacing w:after="0"/>
              <w:rPr>
                <w:sz w:val="20"/>
                <w:szCs w:val="20"/>
                <w:color w:val="auto"/>
              </w:rPr>
            </w:pPr>
            <w:r>
              <w:rPr>
                <w:rFonts w:ascii="Arial" w:cs="Arial" w:eastAsia="Arial" w:hAnsi="Arial"/>
                <w:sz w:val="16"/>
                <w:szCs w:val="16"/>
                <w:color w:val="auto"/>
              </w:rPr>
              <w:t>Proceeds from employee stock purchase plan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962</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w:t>
            </w:r>
          </w:p>
        </w:tc>
        <w:tc>
          <w:tcPr>
            <w:tcW w:w="140" w:type="dxa"/>
            <w:vAlign w:val="bottom"/>
          </w:tcPr>
          <w:p>
            <w:pPr>
              <w:spacing w:after="0"/>
              <w:rPr>
                <w:sz w:val="19"/>
                <w:szCs w:val="19"/>
                <w:color w:val="auto"/>
              </w:rPr>
            </w:pPr>
          </w:p>
        </w:tc>
      </w:tr>
      <w:tr>
        <w:trPr>
          <w:trHeight w:val="233"/>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Payments on finance leases</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(661 )</w:t>
            </w:r>
          </w:p>
        </w:tc>
        <w:tc>
          <w:tcPr>
            <w:tcW w:w="5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(533 )</w:t>
            </w:r>
          </w:p>
        </w:tc>
      </w:tr>
      <w:tr>
        <w:trPr>
          <w:trHeight w:val="227"/>
        </w:trPr>
        <w:tc>
          <w:tcPr>
            <w:tcW w:w="714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2,464</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140" w:type="dxa"/>
            <w:vAlign w:val="bottom"/>
          </w:tcPr>
          <w:p>
            <w:pPr>
              <w:spacing w:after="0"/>
              <w:rPr>
                <w:sz w:val="19"/>
                <w:szCs w:val="19"/>
                <w:color w:val="auto"/>
              </w:rPr>
            </w:pPr>
          </w:p>
        </w:tc>
      </w:tr>
      <w:tr>
        <w:trPr>
          <w:trHeight w:val="226"/>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8"/>
              <w:spacing w:after="0"/>
              <w:rPr>
                <w:sz w:val="20"/>
                <w:szCs w:val="20"/>
                <w:color w:val="auto"/>
              </w:rPr>
            </w:pPr>
            <w:r>
              <w:rPr>
                <w:rFonts w:ascii="Arial" w:cs="Arial" w:eastAsia="Arial" w:hAnsi="Arial"/>
                <w:sz w:val="16"/>
                <w:szCs w:val="16"/>
                <w:color w:val="auto"/>
              </w:rPr>
              <w:t>(16,337 )</w:t>
            </w:r>
          </w:p>
        </w:tc>
        <w:tc>
          <w:tcPr>
            <w:tcW w:w="5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28,935</w:t>
            </w:r>
          </w:p>
        </w:tc>
        <w:tc>
          <w:tcPr>
            <w:tcW w:w="140" w:type="dxa"/>
            <w:vAlign w:val="bottom"/>
            <w:shd w:val="clear" w:color="auto" w:fill="CFF0FC"/>
          </w:tcPr>
          <w:p>
            <w:pPr>
              <w:spacing w:after="0"/>
              <w:rPr>
                <w:sz w:val="19"/>
                <w:szCs w:val="19"/>
                <w:color w:val="auto"/>
              </w:rPr>
            </w:pPr>
          </w:p>
        </w:tc>
      </w:tr>
      <w:tr>
        <w:trPr>
          <w:trHeight w:val="227"/>
        </w:trPr>
        <w:tc>
          <w:tcPr>
            <w:tcW w:w="71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74,524</w:t>
            </w:r>
          </w:p>
        </w:tc>
        <w:tc>
          <w:tcPr>
            <w:tcW w:w="3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54,092</w:t>
            </w:r>
          </w:p>
        </w:tc>
        <w:tc>
          <w:tcPr>
            <w:tcW w:w="140" w:type="dxa"/>
            <w:vAlign w:val="bottom"/>
          </w:tcPr>
          <w:p>
            <w:pPr>
              <w:spacing w:after="0"/>
              <w:rPr>
                <w:sz w:val="19"/>
                <w:szCs w:val="19"/>
                <w:color w:val="auto"/>
              </w:rPr>
            </w:pPr>
          </w:p>
        </w:tc>
      </w:tr>
      <w:tr>
        <w:trPr>
          <w:trHeight w:val="223"/>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58,187</w:t>
            </w:r>
          </w:p>
        </w:tc>
        <w:tc>
          <w:tcPr>
            <w:tcW w:w="3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83,027</w:t>
            </w:r>
          </w:p>
        </w:tc>
        <w:tc>
          <w:tcPr>
            <w:tcW w:w="140" w:type="dxa"/>
            <w:vAlign w:val="bottom"/>
            <w:tcBorders>
              <w:bottom w:val="single" w:sz="8" w:color="CFF0FC"/>
            </w:tcBorders>
            <w:shd w:val="clear" w:color="auto" w:fill="CFF0FC"/>
          </w:tcPr>
          <w:p>
            <w:pPr>
              <w:spacing w:after="0"/>
              <w:rPr>
                <w:sz w:val="19"/>
                <w:szCs w:val="19"/>
                <w:color w:val="auto"/>
              </w:rPr>
            </w:pPr>
          </w:p>
        </w:tc>
      </w:tr>
      <w:tr>
        <w:trPr>
          <w:trHeight w:val="216"/>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9"/>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48,833</w:t>
            </w: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20"/>
        </w:trPr>
        <w:tc>
          <w:tcPr>
            <w:tcW w:w="71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78</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9"/>
                <w:szCs w:val="19"/>
                <w:color w:val="auto"/>
              </w:rPr>
            </w:pPr>
          </w:p>
        </w:tc>
      </w:tr>
      <w:tr>
        <w:trPr>
          <w:trHeight w:val="239"/>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20"/>
        </w:trPr>
        <w:tc>
          <w:tcPr>
            <w:tcW w:w="7140" w:type="dxa"/>
            <w:vAlign w:val="bottom"/>
          </w:tcPr>
          <w:p>
            <w:pPr>
              <w:ind w:left="20"/>
              <w:spacing w:after="0"/>
              <w:rPr>
                <w:sz w:val="20"/>
                <w:szCs w:val="20"/>
                <w:color w:val="auto"/>
              </w:rPr>
            </w:pPr>
            <w:r>
              <w:rPr>
                <w:rFonts w:ascii="Arial" w:cs="Arial" w:eastAsia="Arial" w:hAnsi="Arial"/>
                <w:sz w:val="16"/>
                <w:szCs w:val="16"/>
                <w:color w:val="auto"/>
              </w:rPr>
              <w:t>Property and equipment purchases included in accounts payable and accrued expenses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1,061</w:t>
            </w:r>
          </w:p>
        </w:tc>
        <w:tc>
          <w:tcPr>
            <w:tcW w:w="3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745</w:t>
            </w:r>
          </w:p>
        </w:tc>
        <w:tc>
          <w:tcPr>
            <w:tcW w:w="140" w:type="dxa"/>
            <w:vAlign w:val="bottom"/>
          </w:tcPr>
          <w:p>
            <w:pPr>
              <w:spacing w:after="0"/>
              <w:rPr>
                <w:sz w:val="19"/>
                <w:szCs w:val="19"/>
                <w:color w:val="auto"/>
              </w:rPr>
            </w:pPr>
          </w:p>
        </w:tc>
      </w:tr>
      <w:tr>
        <w:trPr>
          <w:trHeight w:val="239"/>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property and equipment through finance lease</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FF0FC"/>
          </w:tcPr>
          <w:p>
            <w:pPr>
              <w:jc w:val="right"/>
              <w:ind w:right="268"/>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340</w:t>
            </w:r>
          </w:p>
        </w:tc>
        <w:tc>
          <w:tcPr>
            <w:tcW w:w="14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-2982595</wp:posOffset>
            </wp:positionV>
            <wp:extent cx="8572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-2982595</wp:posOffset>
            </wp:positionV>
            <wp:extent cx="8572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-2082165</wp:posOffset>
            </wp:positionV>
            <wp:extent cx="85725"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-2082165</wp:posOffset>
            </wp:positionV>
            <wp:extent cx="8572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-1503680</wp:posOffset>
            </wp:positionV>
            <wp:extent cx="1830070" cy="16497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30070" cy="164973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June 30,</w:t>
            </w: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spacing w:after="0"/>
              <w:rPr>
                <w:sz w:val="14"/>
                <w:szCs w:val="14"/>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52,386</w:t>
            </w:r>
          </w:p>
        </w:tc>
        <w:tc>
          <w:tcPr>
            <w:tcW w:w="720" w:type="dxa"/>
            <w:vAlign w:val="bottom"/>
            <w:gridSpan w:val="2"/>
            <w:shd w:val="clear" w:color="auto" w:fill="CFF0FC"/>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76,914</w:t>
            </w:r>
          </w:p>
        </w:tc>
        <w:tc>
          <w:tcPr>
            <w:tcW w:w="140" w:type="dxa"/>
            <w:vAlign w:val="bottom"/>
            <w:shd w:val="clear" w:color="auto" w:fill="CFF0FC"/>
          </w:tcPr>
          <w:p>
            <w:pPr>
              <w:spacing w:after="0"/>
              <w:rPr>
                <w:sz w:val="19"/>
                <w:szCs w:val="19"/>
                <w:color w:val="auto"/>
              </w:rPr>
            </w:pPr>
          </w:p>
        </w:tc>
      </w:tr>
      <w:tr>
        <w:trPr>
          <w:trHeight w:val="227"/>
        </w:trPr>
        <w:tc>
          <w:tcPr>
            <w:tcW w:w="76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w:t>
            </w: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6,113</w:t>
            </w:r>
          </w:p>
        </w:tc>
        <w:tc>
          <w:tcPr>
            <w:tcW w:w="140" w:type="dxa"/>
            <w:vAlign w:val="bottom"/>
          </w:tcPr>
          <w:p>
            <w:pPr>
              <w:spacing w:after="0"/>
              <w:rPr>
                <w:sz w:val="19"/>
                <w:szCs w:val="19"/>
                <w:color w:val="auto"/>
              </w:rPr>
            </w:pPr>
          </w:p>
        </w:tc>
      </w:tr>
      <w:tr>
        <w:trPr>
          <w:trHeight w:val="26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040" w:type="dxa"/>
            <w:vAlign w:val="bottom"/>
            <w:tcBorders>
              <w:bottom w:val="single" w:sz="8" w:color="auto"/>
            </w:tcBorders>
            <w:shd w:val="clear" w:color="auto" w:fill="CFF0FC"/>
          </w:tcPr>
          <w:p>
            <w:pPr>
              <w:jc w:val="right"/>
              <w:ind w:right="86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58,187</w:t>
            </w:r>
          </w:p>
        </w:tc>
        <w:tc>
          <w:tcPr>
            <w:tcW w:w="34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83,027</w:t>
            </w:r>
          </w:p>
        </w:tc>
        <w:tc>
          <w:tcPr>
            <w:tcW w:w="14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KYMERA THERAPEUTICS, INC.</w:t>
      </w:r>
    </w:p>
    <w:p>
      <w:pPr>
        <w:spacing w:after="0" w:line="22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12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Kymera Therapeutics, Inc., together with its subsidiary Kymera Securities Corporation, is referred to on a consolidated basis as the “Company”. The Company is a biopharmaceutical company focused on discovering and developing small molecule therapeutics that selectively degrade disease-causing proteins by harnessing the body’s own natural cellular process, a method known as targeted protein degradation. The Company has devoted its efforts principally to research and development since formation. The Company has not yet completed product development, filed for or obtained regulatory approvals for any products, nor verified the market acceptance and demand for such products. As a result, the Company is subject to a number of risks common to emerging companies in the biotech industry. Principal among these risks are the uncertainties of the product discovery and development process, dependence on key individuals, development of the same or similar technological innovations by the Company’s competitors, protection of proprietary technology, compliance with government regulations and approval requirements, the Company’s ability to access capital and uncertainty of market acceptance of products.</w:t>
      </w:r>
    </w:p>
    <w:p>
      <w:pPr>
        <w:spacing w:after="0" w:line="18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has historical net losses and anticipates that it will continue to incur losses for the foreseeable future and had an accumulated deficit of $463.5 million as of June 30, 2023. The Company has funded these losses principally through issuance of preferred stock, convertible notes, common stock, including its initial public offering and concurrent private placement completed in August 2020 (“IPO”), follow-on offering and concurrent private placement completed in July 2021 (“Follow-on Offering”), August 2022 Private Investment in Public Equity (“PIPE”) offering, and from cash proceeds received in connection with the Company’s collaboration agreements with Vertex Pharmaceuticals Incorporated (“Vertex”) and Genzyme Corporation (“Sanofi”) (see Note 5). The Company expects to continue to incur operating losses and negative cash flows until such time as it generates a level of revenue that is sufficient to support its cost structure.</w:t>
      </w:r>
    </w:p>
    <w:p>
      <w:pPr>
        <w:spacing w:after="0" w:line="19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June 30, 2023, the Company had cash, cash equivalents and marketable securities of $472.3 million. The Company believes these cash, cash equivalents and marketable securities will be sufficient to fund its operations and capital expenditure requirements through at least twelve months from the issuance of these condensed consolidated financial statements.</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expects to finance the future research and development costs of its product portfolio with its existing cash, cash equivalents and marketable securities, or through strategic financing opportunities that could include, but are not limited to future offerings of its equity, collaboration agreements, or the incurrence of debt. However, there is no guarantee that any of these strategic or financing opportunities will be executed or realized on favorable terms, if at all, and some could be dilutive to existing stockholders. If the Company fails to obtain additional future capital, it may be unable to complete its planned preclinical studies and clinical trials.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August 20, 2020, the Company’s registration statement on Form S-1 relating to its initial public offering of its common stock was declared effective by the Securities and Exchange Commission (“SEC”). In the IPO, which closed on August 25, 2020, the Company issued and sold 9,987,520 shares of common stock, including full exercise of the underwriters’ over-allotment option to purchase an additional 1,302,720 shares, at a public offering price of $20.00 per share and the aggregate gross proceeds before deducting underwriting discounts and commissions, and other estimated offering expenses payable by the Company, were approximately $199.8 million. Concurrent with the IPO, the Company issued and sold 676,354 shares of common stock at $20.00 per share in a private placement to Vertex and the aggregate proceeds were $13.5 million.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On July 6, 2021, the Company completed a follow-on offering of its common stock and issued and sold 5,468,250 shares of common stock, including full exercise of the underwriters’ over-allotment option to purchase an additional 713,250 shares, at a public offering price of $47.00 per share. The aggregate gross proceeds before deducting underwriting discounts and commissions, and other estimated offering expenses payable by the Company were approximately $257.0 million. Concurrent with the follow-on offering, the Company issued and sold 49,928 shares of common stock at $47.00 per share in a private placement to Vertex and the aggregate proceeds were $2.3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520"/>
        <w:spacing w:after="0"/>
        <w:rPr>
          <w:sz w:val="20"/>
          <w:szCs w:val="20"/>
          <w:color w:val="auto"/>
        </w:rPr>
      </w:pPr>
      <w:r>
        <w:rPr>
          <w:rFonts w:ascii="Arial" w:cs="Arial" w:eastAsia="Arial" w:hAnsi="Arial"/>
          <w:sz w:val="18"/>
          <w:szCs w:val="18"/>
          <w:b w:val="1"/>
          <w:bCs w:val="1"/>
          <w:i w:val="1"/>
          <w:iCs w:val="1"/>
          <w:color w:val="auto"/>
        </w:rPr>
        <w:t>Private Investment in Public Equity “PIPE” offering</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On August 18, 2022, the Company and certain accredited investors entered into a securities purchase agreement pursuant to which the Company agreed to sell and issue to such investors in a private placement (i) an aggregate of 2,769,228 shares of the Company’s common stock at a purchase price of $26.00 per share, and (ii) 3,000,000 pre-funded warrants to purchase common stock, at a purchase price of $25.9999 per Pre-Funded Warrant. The Pre-Funded Warrants will have an exercise price of $0.0001 per share of common stock. The offering closed on August 22, 2022, resulting in net proceeds of $149.8 million after offering expenses.</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As the pre-funded warrants are indexed to the Company’s common stock (and otherwise meet the requirements to be classified in equity), the Company recorded the consideration received from the issuance of the pre-funded warrants as additional paid-in capital on the Company’s consolidated balance sheets. The pre-funded warrants are exercisable at any time. The holders of Pre-Funded Warrants may not exercise the warrant if the holder, together with its affiliates, would beneficially own more than 4.99% of the number of shares of the Common Stock outstanding immediately after giving effect to such exercise. The holders of Pre-Funded Warrants may increase or decrease such percentages not in excess of 19.99% by providing at least 61 days’ prior notice to the Company.</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six months ended June 30, 2023, no pre-funded warrants were exercised. As of June 30, 2023, there were 3,000,000 pre-funded warrants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application of certain significant accounting policies as described in this note, and elsewhere in the accompanying condensed consolidated financial statements and notes.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subsidiary Kymera Securities Corporation. All intercompany transactions and balances have been eliminated in consolidation.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condensed consolidated financial statements should be read in conjunction with the Company’s audited consolidated financial statements and the notes thereto for the year ended December 31, 2022 included in the Company’s Annual Report on Form 10-K, filed with the SEC on February 23, 2023.</w:t>
      </w:r>
    </w:p>
    <w:p>
      <w:pPr>
        <w:spacing w:after="0" w:line="168" w:lineRule="exact"/>
        <w:rPr>
          <w:sz w:val="20"/>
          <w:szCs w:val="20"/>
          <w:color w:val="auto"/>
        </w:rPr>
      </w:pPr>
    </w:p>
    <w:p>
      <w:pPr>
        <w:jc w:val="both"/>
        <w:ind w:firstLine="576"/>
        <w:spacing w:after="0" w:line="275"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consolidated financial statements as of and for the year ended December 31, 2022, and, in the opinion of management, reflect all adjustments necessary, all of which were normal and recurring, for the fair statement of the Company’s financial position as of June 30, 2023, the results of operations for the three and six months ended June 30, 2023 and 2022, and cash flows for the six months ended June 30, 2023 and 2022. The results for the three and six months ended June 30, 2023 are not necessarily indicative of the results for the year ended December 31, 2023 or for any future period.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significant accounting policies used in preparation of these condensed consolidated financial statements for the three and six months ended June 30, 2023 are consistent with those discussed in Note 2 to the consolidated financial statements in the 2022 Annual Report on Form 10-K.</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indicates the level of the fair value hierarchy utilized to determine such fair values as of June 30, 2023 and December 31, 2022 (in thousands):</w:t>
      </w:r>
    </w:p>
    <w:p>
      <w:pPr>
        <w:spacing w:after="0" w:line="205"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June 30, 2023:</w:t>
      </w:r>
    </w:p>
    <w:p>
      <w:pPr>
        <w:spacing w:after="0" w:line="8"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1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237"/>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50,450</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50,450</w:t>
            </w:r>
          </w:p>
        </w:tc>
        <w:tc>
          <w:tcPr>
            <w:tcW w:w="120" w:type="dxa"/>
            <w:vAlign w:val="bottom"/>
            <w:shd w:val="clear" w:color="auto" w:fill="CFF0FC"/>
          </w:tcPr>
          <w:p>
            <w:pPr>
              <w:spacing w:after="0"/>
              <w:rPr>
                <w:sz w:val="21"/>
                <w:szCs w:val="2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Marketable securities, 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42,810</w:t>
            </w:r>
          </w:p>
        </w:tc>
        <w:tc>
          <w:tcPr>
            <w:tcW w:w="120" w:type="dxa"/>
            <w:vAlign w:val="bottom"/>
            <w:shd w:val="clear" w:color="auto" w:fill="CFF0FC"/>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131,410</w:t>
            </w:r>
          </w:p>
        </w:tc>
        <w:tc>
          <w:tcPr>
            <w:tcW w:w="120" w:type="dxa"/>
            <w:vAlign w:val="bottom"/>
          </w:tcPr>
          <w:p>
            <w:pPr>
              <w:spacing w:after="0"/>
              <w:rPr>
                <w:sz w:val="20"/>
                <w:szCs w:val="20"/>
                <w:color w:val="auto"/>
              </w:rPr>
            </w:pPr>
          </w:p>
        </w:tc>
      </w:tr>
      <w:tr>
        <w:trPr>
          <w:trHeight w:val="249"/>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140,968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140,968</w:t>
            </w:r>
          </w:p>
        </w:tc>
        <w:tc>
          <w:tcPr>
            <w:tcW w:w="120" w:type="dxa"/>
            <w:vAlign w:val="bottom"/>
            <w:shd w:val="clear" w:color="auto" w:fill="CFF0FC"/>
          </w:tcPr>
          <w:p>
            <w:pPr>
              <w:spacing w:after="0"/>
              <w:rPr>
                <w:sz w:val="21"/>
                <w:szCs w:val="21"/>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72,801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72,801</w:t>
            </w:r>
          </w:p>
        </w:tc>
        <w:tc>
          <w:tcPr>
            <w:tcW w:w="120" w:type="dxa"/>
            <w:vAlign w:val="bottom"/>
          </w:tcPr>
          <w:p>
            <w:pPr>
              <w:spacing w:after="0"/>
              <w:rPr>
                <w:sz w:val="20"/>
                <w:szCs w:val="20"/>
                <w:color w:val="auto"/>
              </w:rPr>
            </w:pPr>
          </w:p>
        </w:tc>
      </w:tr>
      <w:tr>
        <w:trPr>
          <w:trHeight w:val="249"/>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31,958</w:t>
            </w:r>
          </w:p>
        </w:tc>
        <w:tc>
          <w:tcPr>
            <w:tcW w:w="120" w:type="dxa"/>
            <w:vAlign w:val="bottom"/>
            <w:shd w:val="clear" w:color="auto" w:fill="CFF0FC"/>
          </w:tcPr>
          <w:p>
            <w:pPr>
              <w:spacing w:after="0"/>
              <w:rPr>
                <w:sz w:val="21"/>
                <w:szCs w:val="21"/>
                <w:color w:val="auto"/>
              </w:rPr>
            </w:pP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120" w:type="dxa"/>
            <w:vAlign w:val="bottom"/>
          </w:tcPr>
          <w:p>
            <w:pPr>
              <w:spacing w:after="0"/>
              <w:rPr>
                <w:sz w:val="21"/>
                <w:szCs w:val="21"/>
                <w:color w:val="auto"/>
              </w:rPr>
            </w:pPr>
          </w:p>
        </w:tc>
      </w:tr>
      <w:tr>
        <w:trPr>
          <w:trHeight w:val="277"/>
        </w:trPr>
        <w:tc>
          <w:tcPr>
            <w:tcW w:w="51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99,061</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377,137</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476,198</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-25400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Fair Value Measurements at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5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50,551</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1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50,551</w:t>
            </w:r>
          </w:p>
        </w:tc>
        <w:tc>
          <w:tcPr>
            <w:tcW w:w="12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Marketable securities, 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74,045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74,045</w:t>
            </w:r>
          </w:p>
        </w:tc>
        <w:tc>
          <w:tcPr>
            <w:tcW w:w="120" w:type="dxa"/>
            <w:vAlign w:val="bottom"/>
            <w:shd w:val="clear" w:color="auto" w:fill="CFF0FC"/>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120,467</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120,467</w:t>
            </w:r>
          </w:p>
        </w:tc>
        <w:tc>
          <w:tcPr>
            <w:tcW w:w="120" w:type="dxa"/>
            <w:vAlign w:val="bottom"/>
          </w:tcPr>
          <w:p>
            <w:pPr>
              <w:spacing w:after="0"/>
              <w:rPr>
                <w:sz w:val="20"/>
                <w:szCs w:val="20"/>
                <w:color w:val="auto"/>
              </w:rPr>
            </w:pP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144,259</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144,259</w:t>
            </w:r>
          </w:p>
        </w:tc>
        <w:tc>
          <w:tcPr>
            <w:tcW w:w="120" w:type="dxa"/>
            <w:vAlign w:val="bottom"/>
            <w:shd w:val="clear" w:color="auto" w:fill="CFF0FC"/>
          </w:tcPr>
          <w:p>
            <w:pPr>
              <w:spacing w:after="0"/>
              <w:rPr>
                <w:sz w:val="21"/>
                <w:szCs w:val="2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Marketable securities, non-current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19,804</w:t>
            </w:r>
          </w:p>
        </w:tc>
        <w:tc>
          <w:tcPr>
            <w:tcW w:w="120" w:type="dxa"/>
            <w:vAlign w:val="bottom"/>
            <w:shd w:val="clear" w:color="auto" w:fill="CFF0FC"/>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US government agencies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58,653</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58,653</w:t>
            </w:r>
          </w:p>
        </w:tc>
        <w:tc>
          <w:tcPr>
            <w:tcW w:w="120" w:type="dxa"/>
            <w:vAlign w:val="bottom"/>
          </w:tcPr>
          <w:p>
            <w:pPr>
              <w:spacing w:after="0"/>
              <w:rPr>
                <w:sz w:val="20"/>
                <w:szCs w:val="20"/>
                <w:color w:val="auto"/>
              </w:rPr>
            </w:pP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73,871</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73,871</w:t>
            </w:r>
          </w:p>
        </w:tc>
        <w:tc>
          <w:tcPr>
            <w:tcW w:w="120" w:type="dxa"/>
            <w:vAlign w:val="bottom"/>
            <w:shd w:val="clear" w:color="auto" w:fill="CFF0FC"/>
          </w:tcPr>
          <w:p>
            <w:pPr>
              <w:spacing w:after="0"/>
              <w:rPr>
                <w:sz w:val="21"/>
                <w:szCs w:val="21"/>
                <w:color w:val="auto"/>
              </w:rPr>
            </w:pPr>
          </w:p>
        </w:tc>
      </w:tr>
      <w:tr>
        <w:trPr>
          <w:trHeight w:val="263"/>
        </w:trPr>
        <w:tc>
          <w:tcPr>
            <w:tcW w:w="504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120" w:type="dxa"/>
            <w:vAlign w:val="bottom"/>
          </w:tcPr>
          <w:p>
            <w:pPr>
              <w:spacing w:after="0"/>
              <w:rPr>
                <w:sz w:val="22"/>
                <w:szCs w:val="22"/>
                <w:color w:val="auto"/>
              </w:rPr>
            </w:pPr>
          </w:p>
        </w:tc>
      </w:tr>
      <w:tr>
        <w:trPr>
          <w:trHeight w:val="270"/>
        </w:trPr>
        <w:tc>
          <w:tcPr>
            <w:tcW w:w="504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CFF0FC"/>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150,530</w:t>
            </w:r>
          </w:p>
        </w:tc>
        <w:tc>
          <w:tcPr>
            <w:tcW w:w="260" w:type="dxa"/>
            <w:vAlign w:val="bottom"/>
            <w:tcBorders>
              <w:top w:val="single" w:sz="8" w:color="CFF0FC"/>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397,250</w:t>
            </w:r>
          </w:p>
        </w:tc>
        <w:tc>
          <w:tcPr>
            <w:tcW w:w="260" w:type="dxa"/>
            <w:vAlign w:val="bottom"/>
            <w:tcBorders>
              <w:top w:val="single" w:sz="8" w:color="CFF0FC"/>
              <w:bottom w:val="single" w:sz="8" w:color="CFF0FC"/>
            </w:tcBorders>
            <w:shd w:val="clear" w:color="auto" w:fill="CFF0FC"/>
          </w:tcPr>
          <w:p>
            <w:pPr>
              <w:spacing w:after="0"/>
              <w:rPr>
                <w:sz w:val="23"/>
                <w:szCs w:val="23"/>
                <w:color w:val="auto"/>
              </w:rPr>
            </w:pPr>
          </w:p>
        </w:tc>
        <w:tc>
          <w:tcPr>
            <w:tcW w:w="800" w:type="dxa"/>
            <w:vAlign w:val="bottom"/>
            <w:tcBorders>
              <w:top w:val="single" w:sz="8" w:color="CFF0FC"/>
              <w:bottom w:val="single" w:sz="8" w:color="auto"/>
            </w:tcBorders>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CFF0FC"/>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bottom w:val="single" w:sz="8" w:color="CFF0FC"/>
            </w:tcBorders>
            <w:shd w:val="clear" w:color="auto" w:fill="CFF0FC"/>
          </w:tcPr>
          <w:p>
            <w:pPr>
              <w:spacing w:after="0"/>
              <w:rPr>
                <w:sz w:val="23"/>
                <w:szCs w:val="23"/>
                <w:color w:val="auto"/>
              </w:rPr>
            </w:pPr>
          </w:p>
        </w:tc>
        <w:tc>
          <w:tcPr>
            <w:tcW w:w="240" w:type="dxa"/>
            <w:vAlign w:val="bottom"/>
            <w:tcBorders>
              <w:top w:val="single" w:sz="8" w:color="CFF0FC"/>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547,780</w:t>
            </w:r>
          </w:p>
        </w:tc>
        <w:tc>
          <w:tcPr>
            <w:tcW w:w="120" w:type="dxa"/>
            <w:vAlign w:val="bottom"/>
            <w:tcBorders>
              <w:top w:val="single" w:sz="8" w:color="CFF0FC"/>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-24765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six months ended June 30, 2023 and the year ended December 31, 2022, there were no transfers in or out of Level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tables summarize the available-for-sale debt securities held at June 30, 2023 and December 31, 2022 (in thousands):</w:t>
      </w: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321"/>
              <w:spacing w:after="0"/>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4"/>
                <w:szCs w:val="14"/>
                <w:color w:val="auto"/>
              </w:rPr>
            </w:pPr>
          </w:p>
        </w:tc>
        <w:tc>
          <w:tcPr>
            <w:tcW w:w="820" w:type="dxa"/>
            <w:vAlign w:val="bottom"/>
          </w:tcPr>
          <w:p>
            <w:pPr>
              <w:jc w:val="center"/>
              <w:ind w:right="156"/>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r>
      <w:tr>
        <w:trPr>
          <w:trHeight w:val="185"/>
        </w:trPr>
        <w:tc>
          <w:tcPr>
            <w:tcW w:w="50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32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82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380"/>
              <w:spacing w:after="0"/>
              <w:rPr>
                <w:sz w:val="20"/>
                <w:szCs w:val="20"/>
                <w:color w:val="auto"/>
              </w:rPr>
            </w:pPr>
            <w:r>
              <w:rPr>
                <w:rFonts w:ascii="Arial" w:cs="Arial" w:eastAsia="Arial" w:hAnsi="Arial"/>
                <w:sz w:val="18"/>
                <w:szCs w:val="18"/>
                <w:color w:val="auto"/>
                <w:w w:val="90"/>
              </w:rPr>
              <w:t>43,330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1"/>
              <w:spacing w:after="0"/>
              <w:rPr>
                <w:sz w:val="20"/>
                <w:szCs w:val="20"/>
                <w:color w:val="auto"/>
              </w:rPr>
            </w:pPr>
            <w:r>
              <w:rPr>
                <w:rFonts w:ascii="Arial" w:cs="Arial" w:eastAsia="Arial" w:hAnsi="Arial"/>
                <w:sz w:val="18"/>
                <w:szCs w:val="18"/>
                <w:color w:val="auto"/>
              </w:rPr>
              <w:t>(520 )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42,810</w:t>
            </w:r>
          </w:p>
        </w:tc>
        <w:tc>
          <w:tcPr>
            <w:tcW w:w="120" w:type="dxa"/>
            <w:vAlign w:val="bottom"/>
          </w:tcPr>
          <w:p>
            <w:pPr>
              <w:spacing w:after="0"/>
              <w:rPr>
                <w:sz w:val="20"/>
                <w:szCs w:val="20"/>
                <w:color w:val="auto"/>
              </w:rPr>
            </w:pP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ind w:left="300"/>
              <w:spacing w:after="0"/>
              <w:rPr>
                <w:sz w:val="20"/>
                <w:szCs w:val="20"/>
                <w:color w:val="auto"/>
              </w:rPr>
            </w:pPr>
            <w:r>
              <w:rPr>
                <w:rFonts w:ascii="Arial" w:cs="Arial" w:eastAsia="Arial" w:hAnsi="Arial"/>
                <w:sz w:val="18"/>
                <w:szCs w:val="18"/>
                <w:color w:val="auto"/>
                <w:w w:val="89"/>
              </w:rPr>
              <w:t>206,060</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(1,852 )</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204,211</w:t>
            </w:r>
          </w:p>
        </w:tc>
        <w:tc>
          <w:tcPr>
            <w:tcW w:w="120" w:type="dxa"/>
            <w:vAlign w:val="bottom"/>
            <w:shd w:val="clear" w:color="auto" w:fill="CFF0FC"/>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w w:val="89"/>
              </w:rPr>
              <w:t>174,196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121"/>
              <w:spacing w:after="0"/>
              <w:rPr>
                <w:sz w:val="20"/>
                <w:szCs w:val="20"/>
                <w:color w:val="auto"/>
              </w:rPr>
            </w:pPr>
            <w:r>
              <w:rPr>
                <w:rFonts w:ascii="Arial" w:cs="Arial" w:eastAsia="Arial" w:hAnsi="Arial"/>
                <w:sz w:val="18"/>
                <w:szCs w:val="18"/>
                <w:color w:val="auto"/>
              </w:rPr>
              <w:t>(1,271 )</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172,926</w:t>
            </w:r>
          </w:p>
        </w:tc>
        <w:tc>
          <w:tcPr>
            <w:tcW w:w="120" w:type="dxa"/>
            <w:vAlign w:val="bottom"/>
          </w:tcPr>
          <w:p>
            <w:pPr>
              <w:spacing w:after="0"/>
              <w:rPr>
                <w:sz w:val="21"/>
                <w:szCs w:val="21"/>
                <w:color w:val="auto"/>
              </w:rPr>
            </w:pPr>
          </w:p>
        </w:tc>
      </w:tr>
      <w:tr>
        <w:trPr>
          <w:trHeight w:val="277"/>
        </w:trPr>
        <w:tc>
          <w:tcPr>
            <w:tcW w:w="50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9"/>
              </w:rPr>
              <w:t>423,586</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419,947</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390"/>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76"/>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24"/>
                <w:szCs w:val="24"/>
                <w:color w:val="auto"/>
              </w:rPr>
            </w:pPr>
          </w:p>
        </w:tc>
        <w:tc>
          <w:tcPr>
            <w:tcW w:w="820" w:type="dxa"/>
            <w:vAlign w:val="bottom"/>
          </w:tcPr>
          <w:p>
            <w:pPr>
              <w:jc w:val="center"/>
              <w:ind w:right="136"/>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24"/>
                <w:szCs w:val="24"/>
                <w:color w:val="auto"/>
              </w:rPr>
            </w:pPr>
          </w:p>
        </w:tc>
      </w:tr>
      <w:tr>
        <w:trPr>
          <w:trHeight w:val="185"/>
        </w:trPr>
        <w:tc>
          <w:tcPr>
            <w:tcW w:w="50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9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3"/>
          </w:tcPr>
          <w:p>
            <w:pPr>
              <w:jc w:val="center"/>
              <w:ind w:right="321"/>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82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380"/>
              <w:spacing w:after="0"/>
              <w:rPr>
                <w:sz w:val="20"/>
                <w:szCs w:val="20"/>
                <w:color w:val="auto"/>
              </w:rPr>
            </w:pPr>
            <w:r>
              <w:rPr>
                <w:rFonts w:ascii="Arial" w:cs="Arial" w:eastAsia="Arial" w:hAnsi="Arial"/>
                <w:sz w:val="18"/>
                <w:szCs w:val="18"/>
                <w:color w:val="auto"/>
                <w:w w:val="90"/>
              </w:rPr>
              <w:t>94,958</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0"/>
                <w:szCs w:val="20"/>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21"/>
              <w:spacing w:after="0"/>
              <w:rPr>
                <w:sz w:val="20"/>
                <w:szCs w:val="20"/>
                <w:color w:val="auto"/>
              </w:rPr>
            </w:pPr>
            <w:r>
              <w:rPr>
                <w:rFonts w:ascii="Arial" w:cs="Arial" w:eastAsia="Arial" w:hAnsi="Arial"/>
                <w:sz w:val="18"/>
                <w:szCs w:val="18"/>
                <w:color w:val="auto"/>
              </w:rPr>
              <w:t>(1,111 )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93,850</w:t>
            </w:r>
          </w:p>
        </w:tc>
        <w:tc>
          <w:tcPr>
            <w:tcW w:w="120" w:type="dxa"/>
            <w:vAlign w:val="bottom"/>
          </w:tcPr>
          <w:p>
            <w:pPr>
              <w:spacing w:after="0"/>
              <w:rPr>
                <w:sz w:val="20"/>
                <w:szCs w:val="20"/>
                <w:color w:val="auto"/>
              </w:rPr>
            </w:pP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2"/>
              </w:rPr>
              <w:t>180,967</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(1,873 )</w:t>
            </w: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179,119</w:t>
            </w:r>
          </w:p>
        </w:tc>
        <w:tc>
          <w:tcPr>
            <w:tcW w:w="120" w:type="dxa"/>
            <w:vAlign w:val="bottom"/>
            <w:shd w:val="clear" w:color="auto" w:fill="CFF0FC"/>
          </w:tcPr>
          <w:p>
            <w:pPr>
              <w:spacing w:after="0"/>
              <w:rPr>
                <w:sz w:val="21"/>
                <w:szCs w:val="2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21"/>
                <w:szCs w:val="21"/>
                <w:color w:val="auto"/>
              </w:rPr>
            </w:pPr>
          </w:p>
        </w:tc>
        <w:tc>
          <w:tcPr>
            <w:tcW w:w="900" w:type="dxa"/>
            <w:vAlign w:val="bottom"/>
          </w:tcPr>
          <w:p>
            <w:pPr>
              <w:ind w:left="300"/>
              <w:spacing w:after="0"/>
              <w:rPr>
                <w:sz w:val="20"/>
                <w:szCs w:val="20"/>
                <w:color w:val="auto"/>
              </w:rPr>
            </w:pPr>
            <w:r>
              <w:rPr>
                <w:rFonts w:ascii="Arial" w:cs="Arial" w:eastAsia="Arial" w:hAnsi="Arial"/>
                <w:sz w:val="18"/>
                <w:szCs w:val="18"/>
                <w:color w:val="auto"/>
                <w:w w:val="89"/>
              </w:rPr>
              <w:t>220,119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121"/>
              <w:spacing w:after="0"/>
              <w:rPr>
                <w:sz w:val="20"/>
                <w:szCs w:val="20"/>
                <w:color w:val="auto"/>
              </w:rPr>
            </w:pPr>
            <w:r>
              <w:rPr>
                <w:rFonts w:ascii="Arial" w:cs="Arial" w:eastAsia="Arial" w:hAnsi="Arial"/>
                <w:sz w:val="18"/>
                <w:szCs w:val="18"/>
                <w:color w:val="auto"/>
              </w:rPr>
              <w:t>(2,014 )</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218,130</w:t>
            </w:r>
          </w:p>
        </w:tc>
        <w:tc>
          <w:tcPr>
            <w:tcW w:w="120" w:type="dxa"/>
            <w:vAlign w:val="bottom"/>
          </w:tcPr>
          <w:p>
            <w:pPr>
              <w:spacing w:after="0"/>
              <w:rPr>
                <w:sz w:val="21"/>
                <w:szCs w:val="21"/>
                <w:color w:val="auto"/>
              </w:rPr>
            </w:pPr>
          </w:p>
        </w:tc>
      </w:tr>
      <w:tr>
        <w:trPr>
          <w:trHeight w:val="276"/>
        </w:trPr>
        <w:tc>
          <w:tcPr>
            <w:tcW w:w="50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92"/>
              </w:rPr>
              <w:t>496,044</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(4,998</w:t>
            </w:r>
          </w:p>
        </w:tc>
        <w:tc>
          <w:tcPr>
            <w:tcW w:w="280" w:type="dxa"/>
            <w:vAlign w:val="bottom"/>
            <w:tcBorders>
              <w:bottom w:val="single" w:sz="8" w:color="CFF0FC"/>
            </w:tcBorders>
            <w:gridSpan w:val="2"/>
            <w:shd w:val="clear" w:color="auto" w:fill="CFF0FC"/>
          </w:tcPr>
          <w:p>
            <w:pPr>
              <w:jc w:val="right"/>
              <w:ind w:right="121"/>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491,099</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-1216660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-1199515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-1216660</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-1199515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-1216660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-1199515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-1216660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-1199515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As of June 30, 2023, the Company held 154 securities that had been in an unrealized loss position for less than 12 months with an aggregate fair value of $326.7 million. As of December 31, 2022, the Company held 149 securities that had been in an unrealized loss position for less than 12 months with an aggregate fair value of $330.9 million. As of June 30, 2023, the Company held 27 securities that had been in an unrealized loss position for greater than 12 months with an aggregate fair value of $71.4 million. As of December 31, 2022, the Company held 36 securities that had been in an unrealized loss position for greater than 12 months with an aggregate fair value of $115.0 million.</w:t>
      </w:r>
    </w:p>
    <w:p>
      <w:pPr>
        <w:spacing w:after="0" w:line="24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As of June 30, 2023 the Company had 138 securities with a fair value of $315.2 million with a contractual maturity of less than 12 months and 49 securities with a fair value of $104.8 million with a contractual maturity of greater than 12 months. As of December 31, 2022 the Company had 118 securities with a fair value of $338.8 million with a contractual maturity of less than 12 months and 81 securities with a fair value of $152.3 million with a contractual maturity of greater than 12 months. There were no sales of marketable securities during the six months ending June 30, 2023 and 2022.</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Company is required to determine whether a decline in the fair value below the amortized cost basis of available-for-sale securities is due to credit-related factors. At each reporting date, the Company performs an evaluation of impairment to determine if any unrealized losses are the result of credit losses. Impairment is assessed at the individual security level. Factors considered in determining whether a loss resulted from a credit loss or other factors include the Company’s intent and ability to hold the investment until the recovery of its amortized cost basis, the extent to which the fair value is less than the amortized cost basis, the length of time and extent to which fair value has been less than the cost basis, the financial condition of the issuer, any historical failure of the issuer to make scheduled interest or principal payments, any changes to the rating of the security by a rating agency, any adverse legal or regulatory events affecting the issuer or issuer’s industry, and any significant deterioration in economic conditions.</w:t>
      </w:r>
    </w:p>
    <w:p>
      <w:pPr>
        <w:spacing w:after="0" w:line="23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Unrealized losses on available-for-sale securities presented in the previous table have not been recognized in the condensed consolidated statements of operations because the securities are high credit quality, investment grade securities that the Company does not intend to sell and will not be required to sell prior to their anticipated recovery, and the decline in fair value is attributable to factors other than credit losses. Based on its evaluation, the Company determined it does not have any credit losses related to its available-for-sale securities as of June 30, 2023 and December 31, 2022.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Sanofi Collaboration Arrangement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Terms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July 7, 2020, the Company entered into a collaboration agreement, or the Sanofi Agreement, with Sanofi, to co-develop drug candidates directed to two biological targets. Under the Sanofi Agreement, the Company granted to Sanofi a worldwide exclusive license to develop, manufacture and commercialize certain lead compounds generated during the collaboration directed against IRAK4, or Collaboration Target 1, and one additional undisclosed target in an undisclosed field of use, or Collaboration Target 2. Such license is exercisable on a collaboration target-by-collaboration target basis only after specified milestones. For compounds directed against IRAK4, the field of use includes diagnosis, treatment, cure, mitigation or prevention of any diseases, disorders or conditions, excluding oncology and immuno-oncology.</w:t>
      </w:r>
    </w:p>
    <w:p>
      <w:pPr>
        <w:spacing w:after="0" w:line="178"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Pursuant to the Sanofi Agreement, the Company is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4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pursuant to the Sanofi Agreement, Sanofi will grant to the Company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the Company exercises the Opt-In Right, Sanofi will grant to the Company an exclusive option, applicable to each collaboration target, which upon exercise will allow the Company to conduct certain co-promotion activities in the field in the United States.</w:t>
      </w:r>
    </w:p>
    <w:p>
      <w:pPr>
        <w:spacing w:after="0" w:line="21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Sanofi Agreement, unless earlier terminated, will expire on a product-by-product basis on the date of expiration of all payment obligations under the Sanofi Agreement with respect to such product. The Company or Sanofi may terminate the agreement upon the other party’s material breach or insolvency or for certain patent challenges. In addition, Sanofi may terminate the Sanofi Agreement for convenience or for a material safety event upon advance prior written notice, and the Company may terminate the Sanofi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7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consideration for the exclusive licenses granted to Sanofi under the Sanofi Agreement, Sanofi paid to the Company an upfront payment of $150.0 million. The Company will also be reimbursed for certain research activities for a certain backup degrader under the IRAK4 program as well as contract manufacturing costs for the lead 474 program, unless certain criteria are not met for an initial IRAK4 degrader. In addition to the upfront payment and the reimbursements, the Company is eligible to receive certain development milestone payments of up to $1.48 billion in the aggregate, of which more than $1.0 billion relates to the IRAK4 program, upon the achievement of certain developmental or regulatory events. The Company will be eligible to receive certain commercial milestone payments up to $700.0 million in the aggregate, of which $400.0 million relates to the IRAK4 program, which are payable upon the achievement of certain net sales thresholds. The Company will be eligible to receive tiered royalties for each program on net sales ranging from the high-single digits to high teens, subject to low-single digits upward adjustments in certain circumstances.</w:t>
      </w:r>
    </w:p>
    <w:p>
      <w:pPr>
        <w:spacing w:after="0" w:line="17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Additionally with respect to Sanofi, on December 2, 2022, Sanofi provided the Company with written notice of its intention to advance the collaboration target 1 candidate, KT-474, into Phase 2 clinical trials. The Company is entitled to receive milestone payments upon the dosing of the first Phase 2 patient(s) per indication up to a specified number of indications as further set forth in the Amended Sanofi Agreement.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 Company analyzed the discovery and pre-clinical research activities as well as the exclusive license grants under the Sanofi Agreement and concluded that the arrangement was indicative of a vendor-customer relationship and would be accounted for under ASC 606.</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509"/>
        <w:spacing w:after="0" w:line="259" w:lineRule="auto"/>
        <w:rPr>
          <w:sz w:val="20"/>
          <w:szCs w:val="20"/>
          <w:color w:val="auto"/>
        </w:rPr>
      </w:pPr>
      <w:r>
        <w:rPr>
          <w:rFonts w:ascii="Arial" w:cs="Arial" w:eastAsia="Arial" w:hAnsi="Arial"/>
          <w:sz w:val="18"/>
          <w:szCs w:val="18"/>
          <w:color w:val="auto"/>
        </w:rPr>
        <w:t>The Company identified the following material promises under the arrangement: (1) research services for Collaboration Target 1, (2) research license for Collaboration Target 1, (3) exclusive license for Collaboration Target 1, (4) research services for Collaboration Target 2, (5) research license for Collaboration Target 2, (6) exclusive license for Collaboration Target 2, (7) option to extend the research term, and (8) optional research services during the development period.</w:t>
      </w:r>
    </w:p>
    <w:p>
      <w:pPr>
        <w:spacing w:after="0" w:line="1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determined that Collaboration Targets 1 and 2 are distinct from each other. The research associated with degraders directed to each target is at different stages and the licensed field, should development activities be successful, are different from each other. As such, all promises associated with each target are considered distinct from promises associated with the other target.</w:t>
      </w:r>
    </w:p>
    <w:p>
      <w:pPr>
        <w:spacing w:after="0" w:line="18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research and development services for each collaboration target were determined not to be distinct from the research license and the exclusive license and have been combined into a single performance obligation for each collaboration target. That is, two performance obligations were identified, the combined research services, research license and exclusive license for Collaboration Target 1 and the combined research services, research license and exclusive license for Collaboration Target 2. The exclusive license for each target is not distinct from the pre-clinical and clinical research and development services under the Sanofi Agreement, primarily due to the highly specialized nature of the research and novel technology involved with developing protein degraders – the pre-clinical activities and studies and first phase 1 clinical trial could not be conducted by another party in the manner required.</w:t>
      </w:r>
    </w:p>
    <w:p>
      <w:pPr>
        <w:spacing w:after="0" w:line="16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option to extend the research term and optional research services during the development period were evaluated as material rights. The fees associated with each option are at or above the standalone selling price. As such, the underlying options are not performance obligations and fees associated with each option are excluded from the transaction price until the underlying option is exercised.</w:t>
      </w:r>
    </w:p>
    <w:p>
      <w:pPr>
        <w:spacing w:after="0" w:line="1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determined the total transaction price to be $150.0 million, which consists solely of the upfront payment. All milestone payments and option payments are constrained as the achievement of such milestones are contingent upon the success of the underlying research and development activities and are generally outside the control of the Company. The reimbursement of costs for the IRAK4 backup degrader is also treated as constrained variable consideration as the criteria for reimbursement may not always be met, under which circumstances the Company would be responsible for the costs related to the backup degrader. Upon becoming unconstrained, the reimbursement consideration will be added to the transaction price and allocated to Collaboration Target 1.</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allocated the upfront payment to each performance obligation based on the relative standalone selling price, as follows:</w:t>
      </w:r>
    </w:p>
    <w:p>
      <w:pPr>
        <w:spacing w:after="0" w:line="11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Collaboration Target 1: $120.0 million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Collaboration Target 2: $30.0 million</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determined the allocation of the $150.0 million transaction price between Collaboration Target 1 and Collaboration Target 2 based on the value of the research and development for the programs from projected research and development costs for each collaboration target plus a developer’s profit and the total potential milestones for each collaboration target.</w:t>
      </w:r>
    </w:p>
    <w:p>
      <w:pPr>
        <w:spacing w:after="0" w:line="184"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The Company recognizes revenue associated with each performance obligation as the research and development services are provided using an input method, according to costs incurred as related to the research and development activities for each individual program and the costs expected to be incurred in the future to satisfy that individual performance obligation. The transfer of control occurs over this time period and, in management’s judgment, is the best measure of progress towards satisfying each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 Reimbursement consideration added to the transaction price will be recognized as revenue on the same pattern as Collaboration Target 1, with a cumulative catch-up upon becoming unconstrained. The performance obligations have not been fully satisfied as of June 30, 2023. In the three months ended June 30, 2023, the Company recognized $9.9 million in revenue under the Sanofi Agreement, of which $8.8 million was associated with Collaboration Target 1 and $1.1 million was associated with Collaboration Target 2. In the six months ended June 30, 2023, the Company recognized $17.6 million in revenue under the Sanofi Agreement, of which $15.9 million was associated with Collaboration Target 1 and $1.7 million was associated with Collaboration Target 2. In the three months ended June 30, 2022, the Company recognized $8.4 million in revenue under the Sanofi Agreement, of which $5.8 million was associated with Collaboration Target 1 and $2.6 million was associated with Collaboration Target 2. In the six months ended June 30, 2022, the Company recognized $15.0 million in revenue under the Sanofi Agreement, of which $10.0 million was associated with Collaboration Target 1 and $5.0 million was associated with Collaboration Target 2. Of the $17.6 million of revenue recognized in the six months ended June 30, 2023, $12.5 million was recognized from amounts that were recorded in deferred revenue as of December 31, 2022. The aggregate amount of the transaction price allocated to the Company’s unsatisfied performance obligations and recorded in deferred revenue at June 30, 2023 and December 31, 2022 is $44.7 million and $54.9 million, respectively. During the six months ended June 30, 2023, the Company received $5.9 million in cost reimbursement payments. No milestone or royalty payments have been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received under the Sanofi Agreement. As of June 30, 2023, the Company recorded a contract asset for unbilled accounts receivable of $4.1 million related to reimbursable research and development costs under the Sanofi Agreement for activities performed during the second quarter of 2023. As of June 30, 2023, the Company did not have any amounts recorded in accounts receivable under the Sanofi Agreement. The Company will recognize the deferred revenue related to the research and development services based on a cost input method, as described, over the remaining research term, which is a maximum of 2.5 years as of June 30, 2023.</w:t>
      </w:r>
    </w:p>
    <w:p>
      <w:pPr>
        <w:spacing w:after="0" w:line="8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Any consideration related to performance-based milestones will be recognized when the risk of probable reversal is resolved, at which point the Company shall adjust the transaction price determined for the agreement accordingly and recognize revenue on a cumulative-catch up basis, reallocating the revised arrangement consideration to the performance obligations. Any consideration related to sales milestone payments and royalties will be recognized when the related milestone events or sales occur and therefore are recognized at the later of when the related sales occur or the relevant performance obligation is satisfied. As part of its evaluation of constraining the milestones, the Company considered numerous factors, including the fact that the achievement of the research and development milestones are contingent upon the results of the underlying research and development activities and are thus outside of the control of the Company.</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Vertex Agreement</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On May 9, 2019 (the “Effective Date”), the Company entered into a collaboration agreement (the “Vertex Agreement”) with Vertex to advance small molecule protein degraders against up to six targets. Under the Vertex Agreement, Vertex had the exclusive option to license the rights to the product candidates developed for the designated targets at which point Vertex would control development and commercialization. Pursuant to the Vertex Agreement, the Company was only responsible for discovery and preclinical research on the targets, and Vertex was responsible for development, manufacturing, and commercialization of the product candidates after it exercises its option to license. The initial research term of the collaboration was four (4) years, extendable for an additional one (1) year period upon mutual agreement by the parties and payment by Vertex of certain per-target fees.</w:t>
      </w:r>
    </w:p>
    <w:p>
      <w:pPr>
        <w:spacing w:after="0" w:line="16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 xml:space="preserve">The Company was eligible to receive up to $170.0 million in payments per target, including development, regulatory and commercial milestones as well as option exercise payments. In addition, Vertex </w:t>
      </w:r>
      <w:r>
        <w:rPr>
          <w:rFonts w:ascii="Arial" w:cs="Arial" w:eastAsia="Arial" w:hAnsi="Arial"/>
          <w:sz w:val="18"/>
          <w:szCs w:val="18"/>
          <w:color w:val="auto"/>
          <w:strike w:val="1"/>
        </w:rPr>
        <w:t>i</w:t>
      </w:r>
      <w:r>
        <w:rPr>
          <w:rFonts w:ascii="Arial" w:cs="Arial" w:eastAsia="Arial" w:hAnsi="Arial"/>
          <w:sz w:val="18"/>
          <w:szCs w:val="18"/>
          <w:color w:val="auto"/>
        </w:rPr>
        <w:t>was obligated to pay the Company tiered royalties on future net sales on any products that may result from the Vertex Agreement. None of the payments under the Vertex Agreement are refundable. The Company may also perform follow-on research for an optioned target upon Vertex’s request and at Vertex’s expense.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term of the Vertex Agreement began on the Effective Date and expired upon the completion of the initial research term on May 9, 2023.</w:t>
      </w:r>
    </w:p>
    <w:p>
      <w:pPr>
        <w:spacing w:after="0" w:line="23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Vertex provided the Company with a non-refundable upfront payment of $50.0 million and purchased 3,059,695 shares of the Company’s Series B-1 Convertible Preferred Stock (the “Series B-1 Preferred Stock”) at $6.54 a share, pursuant to a separate, but simultaneously executed Share Purchase Agreement. The shares were purchased at a premium of $5.9 million, which was included in the transaction price and will be recognized as revenue over the period of performance. As a result of this purchase, Vertex was considered a related party. As of June 30, 2023, Vertex is no longer considered a related party.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analyzed the joint research activities required under the Vertex Agreement and concluded that the arrangement was indicative of a vendor-customer relationship and would be accounted for under ASC 606.</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identified the following material promises under the arrangement: (1) the non-exclusive, royalty-free research license; (2) the research and development services to be performed on up to six targets; and (3) the option to license each of the targets for development, manufacturing, and commercialization efforts. The research and development services were determined not to be distinct from the research and development license and have been combined into a single performance obligation. The Company determined that the option to license the targets in the future was not priced at a discount, and that the option exercise fee for each target is at or above the standalone selling price for research at this stage of development; as such, the options and the underlying licenses are excluded from the performance obligation and the option exercise fees are excluded from the transaction price until the underlying option is exercised.</w:t>
      </w:r>
    </w:p>
    <w:p>
      <w:pPr>
        <w:spacing w:after="0" w:line="19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part of its evaluation of constraining the research and development milestones, the Company considered numerous factors, including the fact that the achievement of the research and development milestones is contingent upon the results of the underlying research and development activities and is thus outside of the control of the Company.</w:t>
      </w:r>
    </w:p>
    <w:p>
      <w:pPr>
        <w:spacing w:after="0" w:line="184"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8"/>
          <w:szCs w:val="18"/>
          <w:color w:val="auto"/>
        </w:rPr>
        <w:t>At the commencement of the arrangement, two units of accounting were identified: the issuance of 3,059,695 shares of the Series B-1 Preferred Stock and the research activities the Company will perform over the Research Term. The Company determined the total transaction price to be $55.9 million, which consists of $5.9 million attributed to the premium from the shares of Series B-1 Preferred Stock sold to Vertex and the $50.0 million upfront payment. To determine the fair value of the Series B-1 Preferred Stock issued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Vertex, the Company performed a valuation of the shares of the Company’s common and preferred stock, which took into consideration recent financings, and the Company’s recent development and future exit strategies, as well as a discount for lack of marketability.</w:t>
      </w:r>
    </w:p>
    <w:p>
      <w:pPr>
        <w:spacing w:after="0" w:line="170" w:lineRule="exact"/>
        <w:rPr>
          <w:sz w:val="20"/>
          <w:szCs w:val="20"/>
          <w:color w:val="auto"/>
        </w:rPr>
      </w:pPr>
    </w:p>
    <w:p>
      <w:pPr>
        <w:jc w:val="both"/>
        <w:ind w:firstLine="515"/>
        <w:spacing w:after="0" w:line="269" w:lineRule="auto"/>
        <w:rPr>
          <w:sz w:val="20"/>
          <w:szCs w:val="20"/>
          <w:color w:val="auto"/>
        </w:rPr>
      </w:pPr>
      <w:r>
        <w:rPr>
          <w:rFonts w:ascii="Arial" w:cs="Arial" w:eastAsia="Arial" w:hAnsi="Arial"/>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Vertex collaboration agreement expired upon completion of the initial research term in May of 2023. Accordingly, the Company fully satisfied its performance obligation and recognized all remaining deferred revenue associated with the Vertex collaboration in during the three-month period ended June 30, 2023. During the three months ended June 30, 2023 and 2022, the Company recognized $6.6 million and $3.1 million, respectively, and during the six months ended June 30, 2023 and 2022, the Company recognized $8.4 million and $6.1 million, respectively, under the Vertex Agreement. All $8.4 million of revenue recognized in the six months ended June 30, 2023 was recognized from amounts that were recorded in deferred revenue as of December 31, 2022. There were no unsatisfied performance obligations as of June 30, 2023. The aggregate amount of the transaction price allocated to the Company’s unsatisfied performance obligation and recorded in deferred revenue December 31, 2022 is $0 and $8.4 million, respectively.</w:t>
      </w:r>
    </w:p>
    <w:p>
      <w:pPr>
        <w:spacing w:after="0" w:line="18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presents the changes in accounts receivable, contract assets and contract liabilities for the six months ended June 30,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Balance at</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76"/>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Additions</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Deductions</w:t>
            </w:r>
          </w:p>
        </w:tc>
        <w:tc>
          <w:tcPr>
            <w:tcW w:w="240" w:type="dxa"/>
            <w:vAlign w:val="bottom"/>
          </w:tcPr>
          <w:p>
            <w:pPr>
              <w:spacing w:after="0"/>
              <w:rPr>
                <w:sz w:val="12"/>
                <w:szCs w:val="12"/>
                <w:color w:val="auto"/>
              </w:rPr>
            </w:pPr>
          </w:p>
        </w:tc>
        <w:tc>
          <w:tcPr>
            <w:tcW w:w="11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and contract assets:</w:t>
            </w:r>
          </w:p>
        </w:tc>
        <w:tc>
          <w:tcPr>
            <w:tcW w:w="180" w:type="dxa"/>
            <w:vAlign w:val="bottom"/>
            <w:tcBorders>
              <w:top w:val="single" w:sz="8" w:color="auto"/>
            </w:tcBorders>
            <w:shd w:val="clear" w:color="auto" w:fill="CFF0FC"/>
          </w:tcPr>
          <w:p>
            <w:pPr>
              <w:spacing w:after="0"/>
              <w:rPr>
                <w:sz w:val="20"/>
                <w:szCs w:val="20"/>
                <w:color w:val="auto"/>
              </w:rPr>
            </w:pPr>
          </w:p>
        </w:tc>
        <w:tc>
          <w:tcPr>
            <w:tcW w:w="1180" w:type="dxa"/>
            <w:vAlign w:val="bottom"/>
            <w:tcBorders>
              <w:top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Billed receivables - Sanofi</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5,857</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(5,857 )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Unbilled receivables - Sanofi</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w:t>
            </w: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(5,857 )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Total accounts receivable and contract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2,537</w:t>
            </w:r>
          </w:p>
        </w:tc>
        <w:tc>
          <w:tcPr>
            <w:tcW w:w="4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13,299</w:t>
            </w:r>
          </w:p>
        </w:tc>
        <w:tc>
          <w:tcPr>
            <w:tcW w:w="4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 xml:space="preserve">(11,714 </w:t>
            </w:r>
            <w:r>
              <w:rPr>
                <w:rFonts w:ascii="Arial" w:cs="Arial" w:eastAsia="Arial" w:hAnsi="Arial"/>
                <w:sz w:val="18"/>
                <w:szCs w:val="18"/>
                <w:color w:val="auto"/>
                <w:highlight w:val="white"/>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Deferred revenue - Vertex</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8,399</w:t>
            </w:r>
          </w:p>
        </w:tc>
        <w:tc>
          <w:tcPr>
            <w:tcW w:w="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(8,399 )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 - Sanofi</w:t>
            </w:r>
          </w:p>
        </w:tc>
        <w:tc>
          <w:tcPr>
            <w:tcW w:w="1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54,861</w:t>
            </w: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7,442</w:t>
            </w:r>
          </w:p>
        </w:tc>
        <w:tc>
          <w:tcPr>
            <w:tcW w:w="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(17,580 )</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Total contract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63,260</w:t>
            </w:r>
          </w:p>
        </w:tc>
        <w:tc>
          <w:tcPr>
            <w:tcW w:w="4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7,442</w:t>
            </w:r>
          </w:p>
        </w:tc>
        <w:tc>
          <w:tcPr>
            <w:tcW w:w="4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 xml:space="preserve">(25,979 </w:t>
            </w:r>
            <w:r>
              <w:rPr>
                <w:rFonts w:ascii="Arial" w:cs="Arial" w:eastAsia="Arial" w:hAnsi="Arial"/>
                <w:sz w:val="18"/>
                <w:szCs w:val="18"/>
                <w:color w:val="auto"/>
                <w:highlight w:val="white"/>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44,723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-839470</wp:posOffset>
            </wp:positionV>
            <wp:extent cx="85725"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-839470</wp:posOffset>
            </wp:positionV>
            <wp:extent cx="85725"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-839470</wp:posOffset>
            </wp:positionV>
            <wp:extent cx="85725"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-187960</wp:posOffset>
            </wp:positionV>
            <wp:extent cx="8572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-187960</wp:posOffset>
            </wp:positionV>
            <wp:extent cx="85725"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consists of the following as of June 30, 2023 and December 31, 2022 (in thousands):</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Lab and office equipment under finance right-of-use asset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FF0FC"/>
          </w:tcPr>
          <w:p>
            <w:pPr>
              <w:spacing w:after="0"/>
              <w:rPr>
                <w:sz w:val="20"/>
                <w:szCs w:val="20"/>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Lab equipment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Furniture &amp; fixtures</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0"/>
                <w:szCs w:val="20"/>
                <w:color w:val="auto"/>
              </w:rPr>
            </w:pP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Assets not yet in service</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16,365</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0"/>
                <w:szCs w:val="20"/>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36,185</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20,227</w:t>
            </w:r>
          </w:p>
        </w:tc>
        <w:tc>
          <w:tcPr>
            <w:tcW w:w="10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(8,691 )</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(6,893 )</w:t>
            </w: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27,494</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Depreciation expense for the three months ended June 30, 2023 and 2022 was $0.9 million and $0.7 million, respectively. Depreciation expense for the six months ended June 30, 2023 and 2022 was $1.8 million and $1.4 million, respectively.</w:t>
      </w:r>
    </w:p>
    <w:p>
      <w:pPr>
        <w:spacing w:after="0" w:line="170" w:lineRule="exact"/>
        <w:rPr>
          <w:sz w:val="20"/>
          <w:szCs w:val="20"/>
          <w:color w:val="auto"/>
        </w:rPr>
      </w:pPr>
    </w:p>
    <w:p>
      <w:pPr>
        <w:ind w:right="320" w:firstLine="450"/>
        <w:spacing w:after="0" w:line="342" w:lineRule="auto"/>
        <w:rPr>
          <w:sz w:val="20"/>
          <w:szCs w:val="20"/>
          <w:color w:val="auto"/>
        </w:rPr>
      </w:pPr>
      <w:r>
        <w:rPr>
          <w:rFonts w:ascii="Arial" w:cs="Arial" w:eastAsia="Arial" w:hAnsi="Arial"/>
          <w:sz w:val="16"/>
          <w:szCs w:val="16"/>
          <w:color w:val="auto"/>
        </w:rPr>
        <w:t>Included in property and equipment is lab and office equipment right-of-use assets under finance leases with a cost basis of $5.5 million and $5.5 million and accumulated amortization expense of $3.4 million and $2.7 million as of June 30, 2023 and December 31, 2022, respectively.</w:t>
      </w:r>
    </w:p>
    <w:p>
      <w:pPr>
        <w:spacing w:after="0" w:line="12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Amortization expense related to right-of-use assets during the three months ended June 30, 2023 and 2022 was $0.4 million and $0.3 million, respectively. Amortization expense related to right-of-use assets during the six months ended June 30, 2023 and 2022 was $0.7 million and $0.6 million,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October 2019, the Company entered into a noncancelable facility lease agreement (the “the 2019 Lease”) for 34,522 square feet of research and development and office space in Watertown, Massachusetts. The term of the 2019 Lease is 120 months and expires on March 31, 2030. The 2019 Lease has an option to be extended for an additional five years. The lease is not reasonably certain to be extended and as such the additional term is not included in the measurement of the lease. The 2019 Lease includes a rent escalation clause, and rent expense is being recorded on a straight-line basis. In accordance with the lease agreement, the Company is required to maintain a security deposit and provided a letter of credit to the landlord, which is recorded in restricted cash as of June 30, 2023 and December 31, 2022. The letter of credit totaled $1.3 million and $1.6 million as of June 30, 2023 and December 31, 2022, respectively.</w:t>
      </w:r>
    </w:p>
    <w:p>
      <w:pPr>
        <w:spacing w:after="0" w:line="19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In December 2021, the Company entered into a noncancelable lease (the “2021 Lease”) for 100,624 square feet of office and laboratory space in Watertown, Massachusetts, which the Company expects to begin occupying in November 2023. The 2021 Lease is subject to base rent of $0.8 million per month beginning two months after the commencement date, plus the Company’s ratable share of taxes, maintenance and other operating expenses. Base rent is subject to a 3% annual increase over the lease term of approximately 134 months following the commencement date. The Company also has two consecutive options to extend the term of the lease for five years each at then-market rates. The 2021 Lease also includes a tenant improvement allowance of approximately $20.1 million. In connection with the signing of the 2021 Lease, the Company issued a letter of credit for $4.5 million which is classified as restricted cash as of June 30, 2023 and December 31, 2022. The Company also paid first month’s rent of $0.8 million upon execution of the 2021 Lease in December 2021 which is classified as other current assets and other non-current assets as of June 30, 2023 and December 31, 2022, respectively.</w:t>
      </w:r>
    </w:p>
    <w:p>
      <w:pPr>
        <w:spacing w:after="0" w:line="16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The 2021 Lease required the landlord to build-out the base building prior to the construction of the Company’s premises. The Company concluded the accounting commencement date occurred when the landlord completed the build-out of the base building and control passed to the Company, which occurred in early January 2023. The Company assessed the classification of the 2021 Lease at the accounting commencement date and concluded the lease should be accounted for as an operating lease. The Company recorded an operating lease liability of $48.9 million, measured as the present value of the remaining lease payments discounted using the incremental borrowing rate as of the accounting commencement date. The Company recorded an operating lease right-of-use asset of $48.9 million, measured as the present value of the remaining lease payments, net of the tenant incentives.</w:t>
      </w:r>
    </w:p>
    <w:p>
      <w:pPr>
        <w:spacing w:after="0" w:line="16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Company concluded the improvements paid for by the landlord in connection with the tenant improvement allowance represent lessee assets and therefore recorded $7.9 million of leasehold improvements in property and equipment. The Company recorded an additional $5.2 million of leasehold improvements in excess of the tenant improvement allowance, all of which were not placed in service as of June 30, 2023.</w:t>
      </w:r>
    </w:p>
    <w:p>
      <w:pPr>
        <w:spacing w:after="0" w:line="200" w:lineRule="exact"/>
        <w:rPr>
          <w:sz w:val="20"/>
          <w:szCs w:val="20"/>
          <w:color w:val="auto"/>
        </w:rPr>
      </w:pPr>
    </w:p>
    <w:p>
      <w:pPr>
        <w:spacing w:after="0" w:line="3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finance lease obligations consist of certain property and equipment financed through finance leases.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lease costs for the three and six months ended June 30, 2023 and 2022, were as follows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760" w:type="dxa"/>
            <w:vAlign w:val="bottom"/>
            <w:tcBorders>
              <w:top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2,521</w:t>
            </w:r>
          </w:p>
        </w:tc>
        <w:tc>
          <w:tcPr>
            <w:tcW w:w="300" w:type="dxa"/>
            <w:vAlign w:val="bottom"/>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5,042</w:t>
            </w:r>
          </w:p>
        </w:tc>
        <w:tc>
          <w:tcPr>
            <w:tcW w:w="30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Finance lease costs: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18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9"/>
              </w:rPr>
              <w:t>Amortization of right-to-use assets, finance leases</w:t>
            </w:r>
          </w:p>
        </w:tc>
        <w:tc>
          <w:tcPr>
            <w:tcW w:w="7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30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Interest expense for finance lease liabilities</w:t>
            </w:r>
          </w:p>
        </w:tc>
        <w:tc>
          <w:tcPr>
            <w:tcW w:w="7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Variable lease costs</w:t>
            </w:r>
          </w:p>
        </w:tc>
        <w:tc>
          <w:tcPr>
            <w:tcW w:w="76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lease costs</w:t>
            </w:r>
          </w:p>
        </w:tc>
        <w:tc>
          <w:tcPr>
            <w:tcW w:w="760" w:type="dxa"/>
            <w:vAlign w:val="bottom"/>
          </w:tcPr>
          <w:p>
            <w:pPr>
              <w:jc w:val="right"/>
              <w:ind w:right="579"/>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3,155</w:t>
            </w:r>
          </w:p>
        </w:tc>
        <w:tc>
          <w:tcPr>
            <w:tcW w:w="10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1,087</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6,317</w:t>
            </w:r>
          </w:p>
        </w:tc>
        <w:tc>
          <w:tcPr>
            <w:tcW w:w="7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jc w:val="right"/>
              <w:ind w:right="173"/>
              <w:spacing w:after="0"/>
              <w:rPr>
                <w:sz w:val="20"/>
                <w:szCs w:val="20"/>
                <w:color w:val="auto"/>
              </w:rPr>
            </w:pPr>
            <w:r>
              <w:rPr>
                <w:rFonts w:ascii="Arial" w:cs="Arial" w:eastAsia="Arial" w:hAnsi="Arial"/>
                <w:sz w:val="18"/>
                <w:szCs w:val="18"/>
                <w:color w:val="auto"/>
                <w:w w:val="89"/>
              </w:rPr>
              <w:t>14</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-685165</wp:posOffset>
            </wp:positionV>
            <wp:extent cx="7747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-685165</wp:posOffset>
            </wp:positionV>
            <wp:extent cx="7747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-685165</wp:posOffset>
            </wp:positionV>
            <wp:extent cx="857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-685165</wp:posOffset>
            </wp:positionV>
            <wp:extent cx="7747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firstLine="509"/>
        <w:spacing w:after="0" w:line="277" w:lineRule="auto"/>
        <w:rPr>
          <w:sz w:val="20"/>
          <w:szCs w:val="20"/>
          <w:color w:val="auto"/>
        </w:rPr>
      </w:pPr>
      <w:r>
        <w:rPr>
          <w:rFonts w:ascii="Arial" w:cs="Arial" w:eastAsia="Arial" w:hAnsi="Arial"/>
          <w:sz w:val="18"/>
          <w:szCs w:val="18"/>
          <w:color w:val="auto"/>
        </w:rPr>
        <w:t>Supplemental cash flow information relating to the Company’s leases for the six months ended June 30, 2023 and 2022, were as follows (in thousands):</w:t>
      </w:r>
    </w:p>
    <w:p>
      <w:pPr>
        <w:spacing w:after="0" w:line="229"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7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0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4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lease liabilities:</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20" w:type="dxa"/>
            <w:vAlign w:val="bottom"/>
          </w:tcPr>
          <w:p>
            <w:pPr>
              <w:ind w:left="180"/>
              <w:spacing w:after="0"/>
              <w:rPr>
                <w:sz w:val="20"/>
                <w:szCs w:val="20"/>
                <w:color w:val="auto"/>
              </w:rPr>
            </w:pPr>
            <w:r>
              <w:rPr>
                <w:rFonts w:ascii="Arial" w:cs="Arial" w:eastAsia="Arial" w:hAnsi="Arial"/>
                <w:sz w:val="18"/>
                <w:szCs w:val="18"/>
                <w:color w:val="auto"/>
              </w:rPr>
              <w:t>Operating cash flows used in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1,320</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0"/>
                <w:szCs w:val="20"/>
                <w:color w:val="auto"/>
              </w:rPr>
            </w:pPr>
          </w:p>
        </w:tc>
      </w:tr>
      <w:tr>
        <w:trPr>
          <w:trHeight w:val="249"/>
        </w:trPr>
        <w:tc>
          <w:tcPr>
            <w:tcW w:w="4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cash flows used in finance leases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FF0FC"/>
          </w:tcPr>
          <w:p>
            <w:pPr>
              <w:spacing w:after="0"/>
              <w:rPr>
                <w:sz w:val="21"/>
                <w:szCs w:val="21"/>
                <w:color w:val="auto"/>
              </w:rPr>
            </w:pPr>
          </w:p>
        </w:tc>
      </w:tr>
      <w:tr>
        <w:trPr>
          <w:trHeight w:val="230"/>
        </w:trPr>
        <w:tc>
          <w:tcPr>
            <w:tcW w:w="4720" w:type="dxa"/>
            <w:vAlign w:val="bottom"/>
          </w:tcPr>
          <w:p>
            <w:pPr>
              <w:ind w:left="180"/>
              <w:spacing w:after="0"/>
              <w:rPr>
                <w:sz w:val="20"/>
                <w:szCs w:val="20"/>
                <w:color w:val="auto"/>
              </w:rPr>
            </w:pPr>
            <w:r>
              <w:rPr>
                <w:rFonts w:ascii="Arial" w:cs="Arial" w:eastAsia="Arial" w:hAnsi="Arial"/>
                <w:sz w:val="18"/>
                <w:szCs w:val="18"/>
                <w:color w:val="auto"/>
              </w:rPr>
              <w:t>Financing cash flows used in finance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Weighted average remaining lease terms and discount rates as of June 30, 2023 and 2022 were as follows: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160" w:type="dxa"/>
            <w:vAlign w:val="bottom"/>
            <w:gridSpan w:val="3"/>
          </w:tcPr>
          <w:p>
            <w:pPr>
              <w:jc w:val="center"/>
              <w:ind w:left="858"/>
              <w:spacing w:after="0"/>
              <w:rPr>
                <w:sz w:val="20"/>
                <w:szCs w:val="20"/>
                <w:color w:val="auto"/>
              </w:rPr>
            </w:pPr>
            <w:r>
              <w:rPr>
                <w:rFonts w:ascii="Arial" w:cs="Arial" w:eastAsia="Arial" w:hAnsi="Arial"/>
                <w:sz w:val="14"/>
                <w:szCs w:val="14"/>
                <w:b w:val="1"/>
                <w:bCs w:val="1"/>
                <w:color w:val="auto"/>
                <w:w w:val="93"/>
              </w:rPr>
              <w:t>Six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466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58"/>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Remaining lease term:</w:t>
            </w: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2160" w:type="dxa"/>
            <w:vAlign w:val="bottom"/>
            <w:gridSpan w:val="3"/>
          </w:tcPr>
          <w:p>
            <w:pPr>
              <w:jc w:val="right"/>
              <w:ind w:right="820"/>
              <w:spacing w:after="0"/>
              <w:rPr>
                <w:sz w:val="20"/>
                <w:szCs w:val="20"/>
                <w:color w:val="auto"/>
              </w:rPr>
            </w:pPr>
            <w:r>
              <w:rPr>
                <w:rFonts w:ascii="Arial" w:cs="Arial" w:eastAsia="Arial" w:hAnsi="Arial"/>
                <w:sz w:val="18"/>
                <w:szCs w:val="18"/>
                <w:color w:val="auto"/>
              </w:rPr>
              <w:t>10.61 years</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w w:val="99"/>
              </w:rPr>
              <w:t>7.84 years</w:t>
            </w:r>
          </w:p>
        </w:tc>
        <w:tc>
          <w:tcPr>
            <w:tcW w:w="60" w:type="dxa"/>
            <w:vAlign w:val="bottom"/>
          </w:tcPr>
          <w:p>
            <w:pPr>
              <w:spacing w:after="0"/>
              <w:rPr>
                <w:sz w:val="20"/>
                <w:szCs w:val="20"/>
                <w:color w:val="auto"/>
              </w:rPr>
            </w:pPr>
          </w:p>
        </w:tc>
      </w:tr>
      <w:tr>
        <w:trPr>
          <w:trHeight w:val="256"/>
        </w:trPr>
        <w:tc>
          <w:tcPr>
            <w:tcW w:w="4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Finance lease</w:t>
            </w:r>
          </w:p>
        </w:tc>
        <w:tc>
          <w:tcPr>
            <w:tcW w:w="2160" w:type="dxa"/>
            <w:vAlign w:val="bottom"/>
            <w:gridSpan w:val="3"/>
            <w:shd w:val="clear" w:color="auto" w:fill="CFF0FC"/>
          </w:tcPr>
          <w:p>
            <w:pPr>
              <w:jc w:val="right"/>
              <w:ind w:right="820"/>
              <w:spacing w:after="0"/>
              <w:rPr>
                <w:sz w:val="20"/>
                <w:szCs w:val="20"/>
                <w:color w:val="auto"/>
              </w:rPr>
            </w:pPr>
            <w:r>
              <w:rPr>
                <w:rFonts w:ascii="Arial" w:cs="Arial" w:eastAsia="Arial" w:hAnsi="Arial"/>
                <w:sz w:val="18"/>
                <w:szCs w:val="18"/>
                <w:color w:val="auto"/>
              </w:rPr>
              <w:t>2.21 years</w:t>
            </w:r>
          </w:p>
        </w:tc>
        <w:tc>
          <w:tcPr>
            <w:tcW w:w="10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9"/>
              </w:rPr>
              <w:t>1.79 years</w:t>
            </w:r>
          </w:p>
        </w:tc>
        <w:tc>
          <w:tcPr>
            <w:tcW w:w="60" w:type="dxa"/>
            <w:vAlign w:val="bottom"/>
          </w:tcPr>
          <w:p>
            <w:pPr>
              <w:spacing w:after="0"/>
              <w:rPr>
                <w:sz w:val="22"/>
                <w:szCs w:val="22"/>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Discount Rate:</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466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8.82 %</w:t>
            </w:r>
          </w:p>
        </w:tc>
        <w:tc>
          <w:tcPr>
            <w:tcW w:w="5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10.50 %</w:t>
            </w: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Finance lease</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8.50 %</w:t>
            </w:r>
          </w:p>
        </w:tc>
        <w:tc>
          <w:tcPr>
            <w:tcW w:w="5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-299720</wp:posOffset>
            </wp:positionV>
            <wp:extent cx="498919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undiscounted future lease payments for operating and finance leases as of June 30, 2023, were as follows (in thousands):</w:t>
      </w:r>
    </w:p>
    <w:p>
      <w:pPr>
        <w:spacing w:after="0" w:line="24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Finance</w:t>
            </w:r>
          </w:p>
        </w:tc>
      </w:tr>
      <w:tr>
        <w:trPr>
          <w:trHeight w:val="171"/>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4"/>
                <w:szCs w:val="14"/>
                <w:color w:val="auto"/>
              </w:rPr>
            </w:pPr>
          </w:p>
        </w:tc>
        <w:tc>
          <w:tcPr>
            <w:tcW w:w="1400" w:type="dxa"/>
            <w:vAlign w:val="bottom"/>
            <w:gridSpan w:val="2"/>
          </w:tcPr>
          <w:p>
            <w:pPr>
              <w:jc w:val="right"/>
              <w:ind w:right="650"/>
              <w:spacing w:after="0"/>
              <w:rPr>
                <w:sz w:val="20"/>
                <w:szCs w:val="20"/>
                <w:color w:val="auto"/>
              </w:rPr>
            </w:pPr>
            <w:r>
              <w:rPr>
                <w:rFonts w:ascii="Arial" w:cs="Arial" w:eastAsia="Arial" w:hAnsi="Arial"/>
                <w:sz w:val="14"/>
                <w:szCs w:val="14"/>
                <w:b w:val="1"/>
                <w:bCs w:val="1"/>
                <w:color w:val="auto"/>
              </w:rPr>
              <w:t>Leases</w:t>
            </w:r>
          </w:p>
        </w:tc>
        <w:tc>
          <w:tcPr>
            <w:tcW w:w="3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Leases</w:t>
            </w:r>
          </w:p>
        </w:tc>
      </w:tr>
      <w:tr>
        <w:trPr>
          <w:trHeight w:val="27"/>
        </w:trPr>
        <w:tc>
          <w:tcPr>
            <w:tcW w:w="680" w:type="dxa"/>
            <w:vAlign w:val="bottom"/>
            <w:shd w:val="clear" w:color="auto" w:fill="000000"/>
          </w:tcPr>
          <w:p>
            <w:pPr>
              <w:spacing w:after="0"/>
              <w:rPr>
                <w:sz w:val="2"/>
                <w:szCs w:val="2"/>
                <w:color w:val="auto"/>
              </w:rPr>
            </w:pPr>
          </w:p>
        </w:tc>
        <w:tc>
          <w:tcPr>
            <w:tcW w:w="39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2023 (excluding the first and second quarters)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FF0FC"/>
          </w:tcPr>
          <w:p>
            <w:pPr>
              <w:spacing w:after="0"/>
              <w:rPr>
                <w:sz w:val="21"/>
                <w:szCs w:val="21"/>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2024</w:t>
            </w: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11,496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0"/>
                <w:szCs w:val="20"/>
                <w:color w:val="auto"/>
              </w:rPr>
            </w:pPr>
          </w:p>
        </w:tc>
      </w:tr>
      <w:tr>
        <w:trPr>
          <w:trHeight w:val="249"/>
        </w:trPr>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21"/>
                <w:szCs w:val="21"/>
                <w:color w:val="auto"/>
              </w:rPr>
            </w:pPr>
          </w:p>
        </w:tc>
      </w:t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2026</w:t>
            </w:r>
          </w:p>
        </w:tc>
        <w:tc>
          <w:tcPr>
            <w:tcW w:w="3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12,506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r>
      <w:tr>
        <w:trPr>
          <w:trHeight w:val="249"/>
        </w:trPr>
        <w:tc>
          <w:tcPr>
            <w:tcW w:w="6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3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21"/>
                <w:szCs w:val="2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85,142</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123,549</w:t>
            </w:r>
          </w:p>
        </w:tc>
        <w:tc>
          <w:tcPr>
            <w:tcW w:w="2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FF0FC"/>
          </w:tcPr>
          <w:p>
            <w:pPr>
              <w:spacing w:after="0"/>
              <w:rPr>
                <w:sz w:val="21"/>
                <w:szCs w:val="21"/>
                <w:color w:val="auto"/>
              </w:rPr>
            </w:pPr>
          </w:p>
        </w:tc>
      </w:tr>
      <w:tr>
        <w:trPr>
          <w:trHeight w:val="237"/>
        </w:trPr>
        <w:tc>
          <w:tcPr>
            <w:tcW w:w="4660" w:type="dxa"/>
            <w:vAlign w:val="bottom"/>
            <w:gridSpan w:val="2"/>
          </w:tcPr>
          <w:p>
            <w:pPr>
              <w:spacing w:after="0"/>
              <w:rPr>
                <w:sz w:val="20"/>
                <w:szCs w:val="20"/>
                <w:color w:val="auto"/>
              </w:rPr>
            </w:pPr>
            <w:r>
              <w:rPr>
                <w:rFonts w:ascii="Arial" w:cs="Arial" w:eastAsia="Arial" w:hAnsi="Arial"/>
                <w:sz w:val="18"/>
                <w:szCs w:val="18"/>
                <w:color w:val="auto"/>
              </w:rPr>
              <w:t>Less amounts representing interest or imputed interest</w:t>
            </w:r>
          </w:p>
        </w:tc>
        <w:tc>
          <w:tcPr>
            <w:tcW w:w="260" w:type="dxa"/>
            <w:vAlign w:val="bottom"/>
          </w:tcPr>
          <w:p>
            <w:pPr>
              <w:spacing w:after="0"/>
              <w:rPr>
                <w:sz w:val="20"/>
                <w:szCs w:val="20"/>
                <w:color w:val="auto"/>
              </w:rPr>
            </w:pP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(50,481 )</w:t>
            </w:r>
          </w:p>
        </w:tc>
        <w:tc>
          <w:tcPr>
            <w:tcW w:w="3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(186 )</w:t>
            </w:r>
          </w:p>
        </w:tc>
      </w:tr>
      <w:tr>
        <w:trPr>
          <w:trHeight w:val="243"/>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73,068</w:t>
            </w:r>
          </w:p>
        </w:tc>
        <w:tc>
          <w:tcPr>
            <w:tcW w:w="24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FF0FC"/>
          </w:tcPr>
          <w:p>
            <w:pPr>
              <w:spacing w:after="0"/>
              <w:rPr>
                <w:sz w:val="21"/>
                <w:szCs w:val="21"/>
                <w:color w:val="auto"/>
              </w:rPr>
            </w:pPr>
          </w:p>
        </w:tc>
      </w:tr>
    </w:tbl>
    <w:p>
      <w:pPr>
        <w:spacing w:after="0" w:line="20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undiscounted future lease payments in 2023 includes approximately $12.0 million of future reimbursements related to landlord funded tenant improvements in connection with the 2021 Lease.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consist of the following as of June 30, 2023 and December 31, 2022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5"/>
        </w:trPr>
        <w:tc>
          <w:tcPr>
            <w:tcW w:w="17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6"/>
        </w:trPr>
        <w:tc>
          <w:tcPr>
            <w:tcW w:w="1700" w:type="dxa"/>
            <w:vAlign w:val="bottom"/>
          </w:tcPr>
          <w:p>
            <w:pPr>
              <w:spacing w:after="0"/>
              <w:rPr>
                <w:sz w:val="20"/>
                <w:szCs w:val="20"/>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12,153</w:t>
            </w: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16,975</w:t>
            </w:r>
          </w:p>
        </w:tc>
        <w:tc>
          <w:tcPr>
            <w:tcW w:w="1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Payroll and payroll-related</w:t>
            </w: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4,951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8,149</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49"/>
        </w:trPr>
        <w:tc>
          <w:tcPr>
            <w:tcW w:w="1700" w:type="dxa"/>
            <w:vAlign w:val="bottom"/>
          </w:tcPr>
          <w:p>
            <w:pPr>
              <w:spacing w:after="0"/>
              <w:rPr>
                <w:sz w:val="21"/>
                <w:szCs w:val="21"/>
                <w:color w:val="auto"/>
              </w:rPr>
            </w:pPr>
          </w:p>
        </w:tc>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3,269</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6"/>
        </w:trPr>
        <w:tc>
          <w:tcPr>
            <w:tcW w:w="1700" w:type="dxa"/>
            <w:vAlign w:val="bottom"/>
          </w:tcPr>
          <w:p>
            <w:pPr>
              <w:spacing w:after="0"/>
              <w:rPr>
                <w:sz w:val="20"/>
                <w:szCs w:val="20"/>
                <w:color w:val="auto"/>
              </w:rPr>
            </w:pPr>
          </w:p>
        </w:tc>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expenses</w:t>
            </w:r>
          </w:p>
        </w:tc>
        <w:tc>
          <w:tcPr>
            <w:tcW w:w="1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22,490</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27,502</w:t>
            </w:r>
          </w:p>
        </w:tc>
        <w:tc>
          <w:tcPr>
            <w:tcW w:w="10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891"/>
        </w:trPr>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-659130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-659130</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left="520" w:right="8000" w:hanging="512"/>
        <w:spacing w:after="0" w:line="425" w:lineRule="auto"/>
        <w:tabs>
          <w:tab w:leader="none" w:pos="191"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Commitments and Contingencies </w:t>
      </w:r>
      <w:r>
        <w:rPr>
          <w:rFonts w:ascii="Arial" w:cs="Arial" w:eastAsia="Arial" w:hAnsi="Arial"/>
          <w:sz w:val="16"/>
          <w:szCs w:val="16"/>
          <w:b w:val="1"/>
          <w:bCs w:val="1"/>
          <w:i w:val="1"/>
          <w:iCs w:val="1"/>
          <w:color w:val="auto"/>
        </w:rPr>
        <w:t>Legal Proceedings</w:t>
      </w:r>
    </w:p>
    <w:p>
      <w:pPr>
        <w:jc w:val="both"/>
        <w:ind w:firstLine="509"/>
        <w:spacing w:after="0" w:line="311"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legal proceedings.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Indemnification Arrangements</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As permitted under Delaware law, the Company has agreements whereby it indemnifies its investors, employees, officers, and directors (collectively, the “Indemnified Parties”) for certain events or occurrences while the Indemnified Parties are, or were serving, at its request in such capacity. The term of the indemnification period is for the Indemnified Parties’ lifetime. The Company believes the estimated fair value of these indemnification agreements is minimal. The Company enters into standard indemnification agreements in the ordinary course of business. Pursuant to these agreements, the Company indemnifies, holds harmless, and agrees to reimburse the indemnified party for losses suffered or incurred by the indemnified party, generally the Company’s business partners or customers, in connection with any U.S. patent or any copyright or other intellectual property infringement claim by any third party with respect to the Company’s products. The maximum potential amount of future payments the Company could be required to make under these indemnification agreements is unlimited. The Company is not aware of any claims under indemnification arrangements, and it has not accrued any liabilities related to such obligations as of June 30, 2023 or December 31, 2022.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2018 Stock Option and Grant Plan</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November 2018, the Company adopted, and its stockholders approved, the 2018 Stock Option and Grant Plan (the “2018 Plan”), which provides for the granting of stock options and other equity-based awards at the discretion of the Board of Directors or any subcommittee of the Board of Directors to the Company’s employees, officers, directors, and independent contractors. No further grants will be made under the 2018 Plan. However, the 2018 Plan will continue to govern outstanding equity awards granted thereunder. To the extent outstanding options granted under the 2018 Plan are cancelled, forfeited or otherwise terminated without being exercised and would otherwise have been returned to the share reserve under the 2018 Plan, the number of shares underlying such awards will be available for future grant under the 2020 Stock Option and Incentive Plan.</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August 2020, the Company and its stockholders approved the 2020 Stock Option and Incentive Plan (the “2020 Plan”), which became effective on August 20, 2020. The 2020 Plan replaced the 2018 Plan as the Company’s Board of Directors has determined not to make additional awards under the 2018 Plan following the closing of the Company’s IPO. The 2020 Plan allows the Company to make equity-based and cash-based incentive awards to its officers, employees, directors and consultants. The Company has initially reserved 4,457,370 shares of its common stock for the issuance of awards under the 2020 Plan, which includes the shares of common stock remaining available for issuance under its 2018 Plan as of the business day immediately prior to the effective date of the registration statement. The 2020 Plan provides that the number of shares reserved and available for issuance will automatically increase on January 1, 2021 and each January 1 thereafter, by 4% of the Company’s outstanding number of shares of common stock on the immediately preceding December 31, or such lesser number of shares as determined by the Company’s compensation committee. These limits are subject to adjustment in the event of a stock split, stock dividend or other change in the Company’s capitalization. As of June 30, 2023, there were an aggregate of 3,831,967 shares remaining available for future grants.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August 2020, the Company and its stockholders approved the 2020 Employee Stock Purchase Plan (the “2020 ESPP”), which became effective August 20, 2020. The 2020 ESPP initially reserves and authorizes the issuance of up to a total of 445,653 shares of common stock to participating employees. The 2020 ESPP provides that the number of shares reserved and available for issuance will automatically increase on January 1, 2021 and each January 1 thereafter through January 1, 2030, by the lesser of (i) 438,898 shares of common stock, (ii) 1% of the Company’s outstanding number of shares of common stock on the immediately preceding December 31 or (iii) such lesser number of shares of common stock as determined by the administrator of the 2020 ESPP. The number of shares reserved under the 2020 ESPP is subject to adjustment in the event of a stock split, stock dividend or other change in the Company’s capitalization. As of June 30, 2023, there were an aggregate 1,607,727 shares remaining available for future grants.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 summary of stock option activity under the 2020 Plan during the six months ended June 30, 2023 is as follows (in thousands except share and per share data):</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7"/>
              </w:rPr>
              <w:t>Strike</w:t>
            </w: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2"/>
                <w:szCs w:val="12"/>
                <w:color w:val="auto"/>
              </w:rPr>
            </w:pPr>
          </w:p>
        </w:tc>
        <w:tc>
          <w:tcPr>
            <w:tcW w:w="102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6"/>
              </w:rPr>
              <w:t>Price per</w:t>
            </w:r>
          </w:p>
        </w:tc>
        <w:tc>
          <w:tcPr>
            <w:tcW w:w="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5"/>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Option</w:t>
            </w:r>
          </w:p>
        </w:tc>
        <w:tc>
          <w:tcPr>
            <w:tcW w:w="2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6,757,289</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w:t>
            </w:r>
          </w:p>
        </w:tc>
        <w:tc>
          <w:tcPr>
            <w:tcW w:w="15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4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55,934</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spacing w:after="0"/>
              <w:rPr>
                <w:sz w:val="20"/>
                <w:szCs w:val="20"/>
                <w:color w:val="auto"/>
              </w:rPr>
            </w:pPr>
            <w:r>
              <w:rPr>
                <w:rFonts w:ascii="Arial" w:cs="Arial" w:eastAsia="Arial" w:hAnsi="Arial"/>
                <w:sz w:val="18"/>
                <w:szCs w:val="18"/>
                <w:color w:val="auto"/>
              </w:rPr>
              <w:t>2,396,715</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30.86</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(276,692 )</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1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(502,705 )</w:t>
            </w: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41.23</w:t>
            </w: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2023</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8,374,607</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15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4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44,991</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Exercisable at June 30, 2023</w:t>
            </w:r>
          </w:p>
        </w:tc>
        <w:tc>
          <w:tcPr>
            <w:tcW w:w="1280" w:type="dxa"/>
            <w:vAlign w:val="bottom"/>
          </w:tcPr>
          <w:p>
            <w:pPr>
              <w:jc w:val="right"/>
              <w:spacing w:after="0"/>
              <w:rPr>
                <w:sz w:val="20"/>
                <w:szCs w:val="20"/>
                <w:color w:val="auto"/>
              </w:rPr>
            </w:pPr>
            <w:r>
              <w:rPr>
                <w:rFonts w:ascii="Arial" w:cs="Arial" w:eastAsia="Arial" w:hAnsi="Arial"/>
                <w:sz w:val="18"/>
                <w:szCs w:val="18"/>
                <w:color w:val="auto"/>
              </w:rPr>
              <w:t>4,208,968</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24.45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-796925</wp:posOffset>
            </wp:positionV>
            <wp:extent cx="7747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-796925</wp:posOffset>
            </wp:positionV>
            <wp:extent cx="7683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-329565</wp:posOffset>
            </wp:positionV>
            <wp:extent cx="2974340" cy="3384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974340" cy="338455"/>
                    </a:xfrm>
                    <a:prstGeom prst="rect">
                      <a:avLst/>
                    </a:prstGeom>
                    <a:noFill/>
                  </pic:spPr>
                </pic:pic>
              </a:graphicData>
            </a:graphic>
          </wp:anchor>
        </w:drawing>
      </w:r>
    </w:p>
    <w:p>
      <w:pPr>
        <w:spacing w:after="0" w:line="2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intrinsic value of stock options exercised during the three months ended June 30, 2023 and 2022 was $1.4 million and $2.4 million, respectively. The intrinsic value of stock options exercised during the six months ended June 30, 2023 and 2022 was $6.9 million and $8.7 million, respectively.</w:t>
      </w:r>
    </w:p>
    <w:p>
      <w:pPr>
        <w:spacing w:after="0" w:line="211"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The weighted-average fair value of options granted during the three months ended June 30, 2023 and 2022 was $17.50 and $13.48, respectively. The weighted-average fair value of options granted during the six months ended June 30, 2023 and 2022 was $18.45 and $21.08, respectively.</w:t>
      </w:r>
    </w:p>
    <w:p>
      <w:pPr>
        <w:spacing w:after="0" w:line="12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30, 2023, the total unrecognized stock-based compensation expense for unvested stock options was $75.2 million, with a weighted average recognition period of 2.3 years.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outlines our equity-based compensation expense for stock options for the three and six months ended June 30, 2023 and 2022:</w:t>
      </w:r>
    </w:p>
    <w:p>
      <w:pPr>
        <w:spacing w:after="0" w:line="29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5"/>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r>
      <w:tr>
        <w:trPr>
          <w:trHeight w:val="185"/>
        </w:trPr>
        <w:tc>
          <w:tcPr>
            <w:tcW w:w="4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4,346</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9,160</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8,035</w:t>
            </w:r>
          </w:p>
        </w:tc>
        <w:tc>
          <w:tcPr>
            <w:tcW w:w="120" w:type="dxa"/>
            <w:vAlign w:val="bottom"/>
            <w:shd w:val="clear" w:color="auto" w:fill="CFF0FC"/>
          </w:tcPr>
          <w:p>
            <w:pPr>
              <w:spacing w:after="0"/>
              <w:rPr>
                <w:sz w:val="20"/>
                <w:szCs w:val="20"/>
                <w:color w:val="auto"/>
              </w:rPr>
            </w:pPr>
          </w:p>
        </w:tc>
      </w:tr>
      <w:tr>
        <w:trPr>
          <w:trHeight w:val="237"/>
        </w:trPr>
        <w:tc>
          <w:tcPr>
            <w:tcW w:w="4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9,459</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120" w:type="dxa"/>
            <w:vAlign w:val="bottom"/>
          </w:tcPr>
          <w:p>
            <w:pPr>
              <w:spacing w:after="0"/>
              <w:rPr>
                <w:sz w:val="20"/>
                <w:szCs w:val="20"/>
                <w:color w:val="auto"/>
              </w:rPr>
            </w:pPr>
          </w:p>
        </w:tc>
      </w:tr>
      <w:tr>
        <w:trPr>
          <w:trHeight w:val="237"/>
        </w:trPr>
        <w:tc>
          <w:tcPr>
            <w:tcW w:w="4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equity-based compensation</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10,086</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9,072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18,619</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16,673</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-8255</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768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774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9"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 weighted-average assumptions that the Company used in the Black-Scholes option pricing model to determine the grant date fair value of stock options granted to employees and non-employees for the three and six months ended June 30, 2023 and 2022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3"/>
          </w:tcPr>
          <w:p>
            <w:pPr>
              <w:jc w:val="center"/>
              <w:ind w:left="798"/>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85"/>
        </w:trPr>
        <w:tc>
          <w:tcPr>
            <w:tcW w:w="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1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43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474"/>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2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4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26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40" w:type="dxa"/>
            <w:vAlign w:val="bottom"/>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0"/>
        </w:trPr>
        <w:tc>
          <w:tcPr>
            <w:tcW w:w="58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62 %</w:t>
            </w:r>
          </w:p>
        </w:tc>
        <w:tc>
          <w:tcPr>
            <w:tcW w:w="9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62 %</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62 %</w:t>
            </w:r>
          </w:p>
        </w:tc>
        <w:tc>
          <w:tcPr>
            <w:tcW w:w="500" w:type="dxa"/>
            <w:vAlign w:val="bottom"/>
          </w:tcPr>
          <w:p>
            <w:pPr>
              <w:spacing w:after="0"/>
              <w:rPr>
                <w:sz w:val="20"/>
                <w:szCs w:val="20"/>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62 %</w:t>
            </w:r>
          </w:p>
        </w:tc>
      </w:tr>
      <w:tr>
        <w:trPr>
          <w:trHeight w:val="242"/>
        </w:trPr>
        <w:tc>
          <w:tcPr>
            <w:tcW w:w="58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3.71 %</w:t>
            </w:r>
          </w:p>
        </w:tc>
        <w:tc>
          <w:tcPr>
            <w:tcW w:w="9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3.00 %</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4.06 %</w:t>
            </w:r>
          </w:p>
        </w:tc>
        <w:tc>
          <w:tcPr>
            <w:tcW w:w="500" w:type="dxa"/>
            <w:vAlign w:val="bottom"/>
          </w:tcPr>
          <w:p>
            <w:pPr>
              <w:spacing w:after="0"/>
              <w:rPr>
                <w:sz w:val="21"/>
                <w:szCs w:val="21"/>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1.87 %</w:t>
            </w:r>
          </w:p>
        </w:tc>
      </w:tr>
      <w:tr>
        <w:trPr>
          <w:trHeight w:val="243"/>
        </w:trPr>
        <w:tc>
          <w:tcPr>
            <w:tcW w:w="580" w:type="dxa"/>
            <w:vAlign w:val="bottom"/>
          </w:tcPr>
          <w:p>
            <w:pPr>
              <w:spacing w:after="0"/>
              <w:rPr>
                <w:sz w:val="21"/>
                <w:szCs w:val="21"/>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0.00 %</w:t>
            </w:r>
          </w:p>
        </w:tc>
        <w:tc>
          <w:tcPr>
            <w:tcW w:w="98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0.00 %</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0.00 %</w:t>
            </w:r>
          </w:p>
        </w:tc>
        <w:tc>
          <w:tcPr>
            <w:tcW w:w="500" w:type="dxa"/>
            <w:vAlign w:val="bottom"/>
          </w:tcPr>
          <w:p>
            <w:pPr>
              <w:spacing w:after="0"/>
              <w:rPr>
                <w:sz w:val="21"/>
                <w:szCs w:val="21"/>
                <w:color w:val="auto"/>
              </w:rPr>
            </w:pPr>
          </w:p>
        </w:tc>
        <w:tc>
          <w:tcPr>
            <w:tcW w:w="1560" w:type="dxa"/>
            <w:vAlign w:val="bottom"/>
            <w:gridSpan w:val="3"/>
          </w:tcPr>
          <w:p>
            <w:pPr>
              <w:jc w:val="right"/>
              <w:ind w:right="520"/>
              <w:spacing w:after="0"/>
              <w:rPr>
                <w:sz w:val="20"/>
                <w:szCs w:val="20"/>
                <w:color w:val="auto"/>
              </w:rPr>
            </w:pPr>
            <w:r>
              <w:rPr>
                <w:rFonts w:ascii="Arial" w:cs="Arial" w:eastAsia="Arial" w:hAnsi="Arial"/>
                <w:sz w:val="18"/>
                <w:szCs w:val="18"/>
                <w:color w:val="auto"/>
              </w:rPr>
              <w:t>0.00 %</w:t>
            </w:r>
          </w:p>
        </w:tc>
      </w:tr>
      <w:tr>
        <w:trPr>
          <w:trHeight w:val="661"/>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8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-796925</wp:posOffset>
            </wp:positionV>
            <wp:extent cx="641223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has granted shares of restricted stock units with service-based and performance-based vesting conditions. A summary of restricted stock activity during the six months ended June 30, 2023 is as follows: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Grant Date</w:t>
            </w:r>
          </w:p>
        </w:tc>
        <w:tc>
          <w:tcPr>
            <w:tcW w:w="100" w:type="dxa"/>
            <w:vAlign w:val="bottom"/>
          </w:tcPr>
          <w:p>
            <w:pPr>
              <w:spacing w:after="0"/>
              <w:rPr>
                <w:sz w:val="14"/>
                <w:szCs w:val="14"/>
                <w:color w:val="auto"/>
              </w:rPr>
            </w:pPr>
          </w:p>
        </w:tc>
      </w:tr>
      <w:tr>
        <w:trPr>
          <w:trHeight w:val="148"/>
        </w:trPr>
        <w:tc>
          <w:tcPr>
            <w:tcW w:w="52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Units</w:t>
            </w:r>
          </w:p>
        </w:tc>
        <w:tc>
          <w:tcPr>
            <w:tcW w:w="14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r>
      <w:tr>
        <w:trPr>
          <w:trHeight w:val="185"/>
        </w:trPr>
        <w:tc>
          <w:tcPr>
            <w:tcW w:w="52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6"/>
                <w:szCs w:val="16"/>
                <w:color w:val="auto"/>
              </w:rPr>
            </w:pPr>
          </w:p>
        </w:tc>
      </w:tr>
      <w:tr>
        <w:trPr>
          <w:trHeight w:val="23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2022</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281,843</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263,986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0"/>
                <w:szCs w:val="20"/>
                <w:color w:val="auto"/>
              </w:rPr>
            </w:pPr>
          </w:p>
        </w:tc>
      </w:tr>
      <w:tr>
        <w:trPr>
          <w:trHeight w:val="249"/>
        </w:trPr>
        <w:tc>
          <w:tcPr>
            <w:tcW w:w="5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(34,764 )</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100" w:type="dxa"/>
            <w:vAlign w:val="bottom"/>
            <w:shd w:val="clear" w:color="auto" w:fill="CFF0FC"/>
          </w:tcPr>
          <w:p>
            <w:pPr>
              <w:spacing w:after="0"/>
              <w:rPr>
                <w:sz w:val="21"/>
                <w:szCs w:val="21"/>
                <w:color w:val="auto"/>
              </w:rPr>
            </w:pPr>
          </w:p>
        </w:tc>
      </w:tr>
      <w:tr>
        <w:trPr>
          <w:trHeight w:val="237"/>
        </w:trPr>
        <w:tc>
          <w:tcPr>
            <w:tcW w:w="52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(43,973 )</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27.99</w:t>
            </w:r>
          </w:p>
        </w:tc>
        <w:tc>
          <w:tcPr>
            <w:tcW w:w="100" w:type="dxa"/>
            <w:vAlign w:val="bottom"/>
          </w:tcPr>
          <w:p>
            <w:pPr>
              <w:spacing w:after="0"/>
              <w:rPr>
                <w:sz w:val="20"/>
                <w:szCs w:val="20"/>
                <w:color w:val="auto"/>
              </w:rPr>
            </w:pPr>
          </w:p>
        </w:tc>
      </w:tr>
      <w:tr>
        <w:trPr>
          <w:trHeight w:val="23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2023</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467,092</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-642620</wp:posOffset>
            </wp:positionV>
            <wp:extent cx="68580"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-642620</wp:posOffset>
            </wp:positionV>
            <wp:extent cx="59690"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During the three months ended June 30, 2023 and 2022, the Company granted 47,697 and 178,925 restricted stock units, respectively. During the six months ended June 30, 2023 and 2022, the Company granted 263,986 and 276,902 restricted stock units, respectively. As of June 30, 2023, the total unrecognized stock-based compensation expense for unvested restricted stock was $10.6 million with a weighted average recognition period of 2.7 years.</w:t>
      </w:r>
    </w:p>
    <w:p>
      <w:pPr>
        <w:spacing w:after="0" w:line="149"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During the three months ended June 30, 2023 the Company recognized approximately $0.9 million of expense for restricted stock of which $0.6 million and $0.3 million was recorded in research and development and general and administrative expense, respectively. During the six months ended June 30, 2023 the Company recognized approximately $1.5 million of expense for restricted stock of which $1.0 million and $0.5 million was recorded in research and development and general and administrative expense, respectively. During the three months ended June 30, 2022 the Company recognized approximately $0.4 million of expense for restricted stock of which $0.3 million and $0.1 million was recorded in research and development and general and administrative expense, respectively. During the six months ended June 30, 2022 the Company recognized approximately $0.5 million for restricted stock of which $0.4 million and $0.1 million was recorded in research and development and general and administrative expense, respectively.</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Total equity-based compensation expense recorded as research and development and general and administrative expenses for employees, directors, and non-employees during the three and six months ended June 30, 2023 and 2022 is as follows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r>
      <w:tr>
        <w:trPr>
          <w:trHeight w:val="185"/>
        </w:trPr>
        <w:tc>
          <w:tcPr>
            <w:tcW w:w="4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5,704</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10,432</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8,670</w:t>
            </w:r>
          </w:p>
        </w:tc>
        <w:tc>
          <w:tcPr>
            <w:tcW w:w="120" w:type="dxa"/>
            <w:vAlign w:val="bottom"/>
            <w:shd w:val="clear" w:color="auto" w:fill="CFF0FC"/>
          </w:tcPr>
          <w:p>
            <w:pPr>
              <w:spacing w:after="0"/>
              <w:rPr>
                <w:sz w:val="20"/>
                <w:szCs w:val="20"/>
                <w:color w:val="auto"/>
              </w:rPr>
            </w:pP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8,825</w:t>
            </w:r>
          </w:p>
        </w:tc>
        <w:tc>
          <w:tcPr>
            <w:tcW w:w="120" w:type="dxa"/>
            <w:vAlign w:val="bottom"/>
          </w:tcPr>
          <w:p>
            <w:pPr>
              <w:spacing w:after="0"/>
              <w:rPr>
                <w:sz w:val="20"/>
                <w:szCs w:val="20"/>
                <w:color w:val="auto"/>
              </w:rPr>
            </w:pPr>
          </w:p>
        </w:tc>
      </w:tr>
      <w:tr>
        <w:trPr>
          <w:trHeight w:val="236"/>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equity-based compensation</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11,181</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9,622</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20,565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17,495</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-8255</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774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Transactions</w:t>
      </w:r>
    </w:p>
    <w:p>
      <w:pPr>
        <w:spacing w:after="0" w:line="121"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Other than the collaborations discussed in Note 5, the Company had no related party transactions for the periods presented in the accompanying condensed consolidated financial statements, which have not otherwise been discussed in these notes to the condensed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Income taxes for the three and six months ended June 30, 2023 and 2022 have been calculated based on an estimated annual effective tax rate and certain discrete items. For the three and six months ended June 30, 2023, less than $0.1 million in income tax related to investment income was recorded. For the three and six months ended June 30, 2022, no income tax was recorded.</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ind w:left="520" w:right="9300" w:hanging="512"/>
        <w:spacing w:after="0" w:line="453" w:lineRule="auto"/>
        <w:tabs>
          <w:tab w:leader="none" w:pos="281"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Net Loss per Share </w:t>
      </w:r>
      <w:r>
        <w:rPr>
          <w:rFonts w:ascii="Arial" w:cs="Arial" w:eastAsia="Arial" w:hAnsi="Arial"/>
          <w:sz w:val="15"/>
          <w:szCs w:val="15"/>
          <w:b w:val="1"/>
          <w:bCs w:val="1"/>
          <w:i w:val="1"/>
          <w:iCs w:val="1"/>
          <w:color w:val="auto"/>
        </w:rPr>
        <w:t>Net Loss per Share</w:t>
      </w:r>
    </w:p>
    <w:p>
      <w:pPr>
        <w:spacing w:after="0" w:line="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Basic and diluted loss per share is computed by dividing net loss by the weighted-average common shares outstanding for the period, including the pre-funded warrants given their nominal exercise price (in thousands, except for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(38,799 )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(40,257 )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(79,727 )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(76,941 )</w:t>
            </w: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 and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56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58,326,963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51,772,440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58,257,387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51,712,081</w:t>
            </w:r>
          </w:p>
        </w:tc>
        <w:tc>
          <w:tcPr>
            <w:tcW w:w="140" w:type="dxa"/>
            <w:vAlign w:val="bottom"/>
          </w:tcPr>
          <w:p>
            <w:pPr>
              <w:spacing w:after="0"/>
              <w:rPr>
                <w:sz w:val="20"/>
                <w:szCs w:val="20"/>
                <w:color w:val="auto"/>
              </w:rPr>
            </w:pPr>
          </w:p>
        </w:tc>
      </w:tr>
      <w:tr>
        <w:trPr>
          <w:trHeight w:val="263"/>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(0.67 )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(0.78 )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(1.49 )</w:t>
            </w: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85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857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Company’s potentially dilutive securities, which include restricted stock and stock options,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from the computation of diluted net laoss per share attributable to common stockholders at June 30, 2023 and 2022 because including them would have had an anti-dilutive effect:</w:t>
      </w:r>
    </w:p>
    <w:p>
      <w:pPr>
        <w:spacing w:after="0" w:line="247"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514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36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37"/>
        </w:trPr>
        <w:tc>
          <w:tcPr>
            <w:tcW w:w="170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206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467,092</w:t>
            </w: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281,961</w:t>
            </w:r>
          </w:p>
        </w:tc>
        <w:tc>
          <w:tcPr>
            <w:tcW w:w="10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8,374,607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7,147,795</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37"/>
        </w:trPr>
        <w:tc>
          <w:tcPr>
            <w:tcW w:w="1700" w:type="dxa"/>
            <w:vAlign w:val="bottom"/>
          </w:tcPr>
          <w:p>
            <w:pPr>
              <w:spacing w:after="0"/>
              <w:rPr>
                <w:sz w:val="20"/>
                <w:szCs w:val="20"/>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8,841,699</w:t>
            </w:r>
          </w:p>
        </w:tc>
        <w:tc>
          <w:tcPr>
            <w:tcW w:w="22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7,429,756</w:t>
            </w:r>
          </w:p>
        </w:tc>
        <w:tc>
          <w:tcPr>
            <w:tcW w:w="100" w:type="dxa"/>
            <w:vAlign w:val="bottom"/>
            <w:tcBorders>
              <w:bottom w:val="single" w:sz="8" w:color="CFF0FC"/>
            </w:tcBorders>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648"/>
        </w:trPr>
        <w:tc>
          <w:tcPr>
            <w:tcW w:w="17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060" w:type="dxa"/>
            <w:vAlign w:val="bottom"/>
          </w:tcPr>
          <w:p>
            <w:pPr>
              <w:jc w:val="right"/>
              <w:ind w:right="1130"/>
              <w:spacing w:after="0"/>
              <w:rPr>
                <w:sz w:val="20"/>
                <w:szCs w:val="20"/>
                <w:color w:val="auto"/>
              </w:rPr>
            </w:pPr>
            <w:r>
              <w:rPr>
                <w:rFonts w:ascii="Arial" w:cs="Arial" w:eastAsia="Arial" w:hAnsi="Arial"/>
                <w:sz w:val="18"/>
                <w:szCs w:val="18"/>
                <w:color w:val="auto"/>
              </w:rPr>
              <w:t>19</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-504825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-504825</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beliefs,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We are a biopharmaceutical company focused on discovering and developing novel small molecule therapeutics that selectively degrade disease-causing proteins by harnessing the body’s own natural protein degradation system. Our proprietary targeted protein degradation, or TPD, platform, which we refer to as Pegasus™, allows us to discover highly selective small molecule protein degraders with activity against disease-causing proteins throughout the body. We believe that our small molecule protein degraders have unique advantages over existing therapies and allow us to address a large portion of the human genome that was previously intractable with traditional modalities. We focus on biological pathways that have been clinically validated but where key biological nodes/proteins have not been drugged or are inadequately drugged. To date, we have utilized our Pegasus™ platform to design novel protein degraders focused in the areas of immunology-inflammation and oncology, and we continue to apply our platform’s capabilities to additional therapeutic areas. We have a mission to drug all target classes in human cells using TPD. Our current clinical stage programs are IRAK4, IRAKIMiD, STAT3, and MDM2, which each address high impact targets within biologically-proven pathways, providing the opportunity to treat a broad range of immune-inflammatory diseases, hematologic malignancies, and solid tumors. Our programs exemplify our focus on addressing high impact targets that have been elusive to conventional modalities and that drive the pathogenesis of multiple serious diseases with significant unmet medical needs. We have completed our Phase 1 trial of KT-474, which included cohorts of healthy volunteers, as well as patients with hidradenitis suppurativa (HS) and atopic dermatitis (AD). Phase 2 clinical trials of KT-474, conducted by our partner Sanofi, S.A, or Sanofi, will initially investigate its potential in HS and AD, with the clinical trials for both indications expected to initiate in the fourth quarter of 2023. With respect to our oncology programs, we are evaluating KT-333, a STAT3 degrader, in a Phase 1 clinical trial in patients with relapsed/refractory liquid and solid tumors, including aggressive lymphomas. Patient enrollment and dosing are ongoing in the Phase 1a portion of the trial, and we expect to provide additional clinical data in 2023. We are also evaluating KT-413, our IRAKIMiD degrader, in a Phase 1 clinical trial in patients with relapsed/refractory B cell lymphomas, including MYD88 mutant diffuse large B cell lymphomas (DLBCL). Patient enrollment and dosing are ongoing in the Phase 1a portion of the trial, and we expect to provide additional clinical data in 2023. Our Phase 1 clinical trial of KT-253, our MDM2 degrader, was initiated in March 2023. The study will evaluate the safety, tolerability, pharmacokinetics/pharmacodynamics, and clinical activity of ascending doses of KT-253 in adult patients with relapsed or refractory high grade myeloid malignancies, acute lymphocytic leukemia (ALL), lymphomas, and solid tumors. Patient enrollment and dosing are ongoing in the Phase 1a portion of the trial, and we expect to provide initial safety and proof-of-mechanism data in 2023. In June 2023, KT-253 was granted orphan drug designation by the U.S. Food and Drug Administration, or FDA, for the treatment of acute myeloid leukemia.</w:t>
      </w:r>
    </w:p>
    <w:p>
      <w:pPr>
        <w:spacing w:after="0" w:line="39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Since our inception in 2015, we have devoted substantially all of our efforts to organizing and staffing our company, research and development activities, business planning, raising capital, building our intellectual property portfolio and providing general and administrative support for these operations. To date, we have received gross proceeds of $1.03 billion from sales of our convertible preferred stock, the sale of common stock including our August 2020 IPO, and concurrent private placement, our July 2021 follow-on offering and concurrent private placement, our August 2022 PIPE offering, and through our corporate collaborations.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509"/>
        <w:spacing w:after="0" w:line="254" w:lineRule="auto"/>
        <w:rPr>
          <w:sz w:val="20"/>
          <w:szCs w:val="20"/>
          <w:color w:val="auto"/>
        </w:rPr>
      </w:pPr>
      <w:r>
        <w:rPr>
          <w:rFonts w:ascii="Arial" w:cs="Arial" w:eastAsia="Arial" w:hAnsi="Arial"/>
          <w:sz w:val="18"/>
          <w:szCs w:val="18"/>
          <w:color w:val="auto"/>
        </w:rPr>
        <w:t>We have incurred significant operating losses since inception. Our ability to generate product revenue sufficient to achieve profitability will depend heavily on the successful development and eventual commercialization of one or more of our current product candidates or any future product candidates. Our net losses were $154.8 million and $100.2 million for the years ended December 31, 2022 and 2021, respectively. We reported net losses of $38.8 million and $40.3 million for the three months ended June 30, 2023 and 2022, respectively and $79.7 million and $76.9 million for the six months ended June 30, 2023 and 2022, respectively. In addition, as of June 30, 2023 and December 31, 2022 we had an accumulated deficit of $463.5 million and $383.8 million, respectively. We expect that our expense and capital requirements will increase substantially in connection with our ongoing activities, particularly if and as we:</w:t>
      </w:r>
    </w:p>
    <w:p>
      <w:pPr>
        <w:spacing w:after="0" w:line="87" w:lineRule="exact"/>
        <w:rPr>
          <w:sz w:val="20"/>
          <w:szCs w:val="20"/>
          <w:color w:val="auto"/>
        </w:rPr>
      </w:pPr>
    </w:p>
    <w:p>
      <w:pPr>
        <w:ind w:left="1380" w:hanging="36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and complete clinical trials for current or future product candidates, including KT-474, KT-333, KT-413, and KT-253;</w:t>
      </w:r>
    </w:p>
    <w:p>
      <w:pPr>
        <w:spacing w:after="0" w:line="117" w:lineRule="exact"/>
        <w:rPr>
          <w:rFonts w:ascii="Arial" w:cs="Arial" w:eastAsia="Arial" w:hAnsi="Arial"/>
          <w:sz w:val="18"/>
          <w:szCs w:val="18"/>
          <w:color w:val="auto"/>
        </w:rPr>
      </w:pPr>
    </w:p>
    <w:p>
      <w:pPr>
        <w:ind w:left="1380" w:right="180" w:hanging="369"/>
        <w:spacing w:after="0" w:line="277"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prepare and submit Investigational New Drug applications, or INDs, with the U.S. Food and Drug Administration, or FDA, for current and future product candidates;</w:t>
      </w:r>
    </w:p>
    <w:p>
      <w:pPr>
        <w:spacing w:after="0" w:line="62" w:lineRule="exact"/>
        <w:rPr>
          <w:rFonts w:ascii="Arial" w:cs="Arial" w:eastAsia="Arial" w:hAnsi="Arial"/>
          <w:sz w:val="18"/>
          <w:szCs w:val="18"/>
          <w:color w:val="auto"/>
        </w:rPr>
      </w:pPr>
    </w:p>
    <w:p>
      <w:pPr>
        <w:ind w:left="1380" w:hanging="36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and continue research and development activities to support our pre-clinical product candidate pipeline;</w:t>
      </w:r>
    </w:p>
    <w:p>
      <w:pPr>
        <w:spacing w:after="0" w:line="117" w:lineRule="exact"/>
        <w:rPr>
          <w:rFonts w:ascii="Arial" w:cs="Arial" w:eastAsia="Arial" w:hAnsi="Arial"/>
          <w:sz w:val="18"/>
          <w:szCs w:val="18"/>
          <w:color w:val="auto"/>
        </w:rPr>
      </w:pPr>
    </w:p>
    <w:p>
      <w:pPr>
        <w:ind w:left="1380" w:right="240" w:hanging="369"/>
        <w:spacing w:after="0" w:line="277"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 our drug products, drug substances, delivery vehicles, and product candidates for use in preclinical studies, clinical trials and on a larger scale for commercialization, if approved;</w:t>
      </w:r>
    </w:p>
    <w:p>
      <w:pPr>
        <w:spacing w:after="0" w:line="67" w:lineRule="exact"/>
        <w:rPr>
          <w:rFonts w:ascii="Arial" w:cs="Arial" w:eastAsia="Arial" w:hAnsi="Arial"/>
          <w:sz w:val="18"/>
          <w:szCs w:val="18"/>
          <w:color w:val="auto"/>
        </w:rPr>
      </w:pPr>
    </w:p>
    <w:p>
      <w:pPr>
        <w:ind w:left="1380" w:hanging="36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and expand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to identify additional product candidates;</w:t>
      </w:r>
    </w:p>
    <w:p>
      <w:pPr>
        <w:spacing w:after="0" w:line="70" w:lineRule="exact"/>
        <w:rPr>
          <w:rFonts w:ascii="Arial" w:cs="Arial" w:eastAsia="Arial" w:hAnsi="Arial"/>
          <w:sz w:val="18"/>
          <w:szCs w:val="18"/>
          <w:color w:val="auto"/>
        </w:rPr>
      </w:pPr>
    </w:p>
    <w:p>
      <w:pPr>
        <w:ind w:left="1380" w:hanging="36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380" w:hanging="36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17" w:lineRule="exact"/>
        <w:rPr>
          <w:rFonts w:ascii="Arial" w:cs="Arial" w:eastAsia="Arial" w:hAnsi="Arial"/>
          <w:sz w:val="18"/>
          <w:szCs w:val="18"/>
          <w:color w:val="auto"/>
        </w:rPr>
      </w:pPr>
    </w:p>
    <w:p>
      <w:pPr>
        <w:ind w:left="1380" w:hanging="36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or in-license additional product candidates and technologies;</w:t>
      </w:r>
    </w:p>
    <w:p>
      <w:pPr>
        <w:spacing w:after="0" w:line="117" w:lineRule="exact"/>
        <w:rPr>
          <w:rFonts w:ascii="Arial" w:cs="Arial" w:eastAsia="Arial" w:hAnsi="Arial"/>
          <w:sz w:val="18"/>
          <w:szCs w:val="18"/>
          <w:color w:val="auto"/>
        </w:rPr>
      </w:pPr>
    </w:p>
    <w:p>
      <w:pPr>
        <w:ind w:left="1380" w:hanging="36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and ongoing development activity;</w:t>
      </w:r>
    </w:p>
    <w:p>
      <w:pPr>
        <w:spacing w:after="0" w:line="117" w:lineRule="exact"/>
        <w:rPr>
          <w:rFonts w:ascii="Arial" w:cs="Arial" w:eastAsia="Arial" w:hAnsi="Arial"/>
          <w:sz w:val="18"/>
          <w:szCs w:val="18"/>
          <w:color w:val="auto"/>
        </w:rPr>
      </w:pPr>
    </w:p>
    <w:p>
      <w:pPr>
        <w:ind w:left="1380" w:hanging="369"/>
        <w:spacing w:after="0"/>
        <w:tabs>
          <w:tab w:leader="none" w:pos="1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require the manufacture of larger quantities of our product candidates for clinical development and potential commercialization;</w:t>
      </w:r>
    </w:p>
    <w:p>
      <w:pPr>
        <w:spacing w:after="0" w:line="128" w:lineRule="exact"/>
        <w:rPr>
          <w:rFonts w:ascii="Arial" w:cs="Arial" w:eastAsia="Arial" w:hAnsi="Arial"/>
          <w:sz w:val="17"/>
          <w:szCs w:val="17"/>
          <w:color w:val="auto"/>
        </w:rPr>
      </w:pPr>
    </w:p>
    <w:p>
      <w:pPr>
        <w:ind w:left="1380" w:right="100" w:hanging="369"/>
        <w:spacing w:after="0" w:line="277"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 and</w:t>
      </w:r>
    </w:p>
    <w:p>
      <w:pPr>
        <w:spacing w:after="0" w:line="62" w:lineRule="exact"/>
        <w:rPr>
          <w:rFonts w:ascii="Arial" w:cs="Arial" w:eastAsia="Arial" w:hAnsi="Arial"/>
          <w:sz w:val="18"/>
          <w:szCs w:val="18"/>
          <w:color w:val="auto"/>
        </w:rPr>
      </w:pPr>
    </w:p>
    <w:p>
      <w:pPr>
        <w:ind w:left="1380" w:right="680" w:hanging="369"/>
        <w:spacing w:after="0" w:line="277"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research and development programs, any future commercialization efforts and operating as a public company.</w:t>
      </w:r>
    </w:p>
    <w:p>
      <w:pPr>
        <w:spacing w:after="0" w:line="1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if we obtain marketing approval for any of our lead product candidates, we expect to incur significant commercialization expenses related to product manufacturing, marketing, sales and distribution. 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one or more of our product candidates.</w:t>
      </w:r>
    </w:p>
    <w:p>
      <w:pPr>
        <w:spacing w:after="0" w:line="17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drug candidates. The lengthy process of securing marketing approvals for new drugs requires the expenditure of substantial resources. 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As of June 30, 2023, we had cash, cash equivalents and marketable securities of $472.3 million. We believe the existing cash, cash equivalents and marketable securities on hand, will enable us to fund our operating expenses and capital expenditure requirements into the second half of 2025 which is expected to take us past the proof-of-concept Phase 2 data for KT-474, as well as early proof-of-concept data for KT-413, KT-333 and KT-253. We have based this estimate on assumptions that may prove to be wrong, and we could exhaust our available capital resources sooner than we expect. See “— Liquidity and capital resources.”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To date, we have not generated any revenue from product sales and do not expect to generate any revenue from the sale of products in the foreseeable future. Our only revenues have been derived from research collaboration arrangements with Vertex and Sanofi. We expect that our revenue for the next several years will be derived primarily from our current collaboration agreements and any additional collaborations that we may enter into in the future. To date, we have not received any milestone payments or royalties under any of the collaboration agreements.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Vertex Collaboration Agreement</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On May 9, 2019, we entered into a collaboration agreement, or the Vertex Agreement, with Vertex, to advance small molecule protein degradation against up to six targets. Under the Vertex Agreement, Vertex was granted the exclusive option to license the rights to the product candidates developed through the collaboration at which point Vertex would control development and commercialization. Pursuant to the Vertex Agreement, we were responsible for discovery and preclinical research on the targets, and Vertex was responsible for development, manufacturing, and commercialization of the product candidates after it exercises its option to license. Vertex provided us with a non-refundable upfront payment of $50.0 million and purchased 3,059,695 shares of our Series B-1 Convertible Preferred Stock at $6.54 a share, pursuant to a separate, but simultaneously executed Share Purchase Agreement.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Vertex Agreement expired upon the completion of the initial research term on May 9, 2023.</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Sanofi Agreement</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On July 7, 2020, we entered into a collaboration agreement, or the Sanofi Agreement, with Sanofi to co-develop drug candidates directed to two biological targets. Under the Sanofi Agreement, we granted to Sanofi a worldwide exclusive license to develop, manufacture and commercialize certain lead compounds generated during the collaboration directed against IRAK4 and one additional undisclosed target in an undisclosed field of use. Such license is exercisable on a collaboration target-by-collaboration target basis only after a specified milestone. For compounds directed against IRAK4, the field of use includes diagnosis, treatment, cure, mitigation or prevention of any diseases, disorders or conditions, excluding oncology and immuno-oncology. We are responsible for discovery and preclinical research and conducting a phase 1 clinical trial for at least one degrader directed against IRAK4 plus up to three backup degraders. With respect to both targets, Sanofi is responsible for development, manufacturing, and commercialization of product candidates after a specified development milestone occurs with respect to each collaboration candidate.</w:t>
      </w:r>
    </w:p>
    <w:p>
      <w:pPr>
        <w:spacing w:after="0" w:line="16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have an exclusive option, or Opt-In Right, exercisable on a collaboration target-by-collaboration target basis that will include the right to (i) to fund 50% of the United States development costs for collaboration products directed against such target in the applicable field of use and (ii) share equally in the net profits and net losses of commercializing collaboration products directed against such target in the applicable field of use in the United States. In addition, if we exercise the Opt-In Right, Sanofi will grant us an exclusive option, applicable to each collaboration target, which upon exercise will allow us to conduct certain co-promotion activities in the field in the United States.</w:t>
      </w:r>
    </w:p>
    <w:p>
      <w:pPr>
        <w:spacing w:after="0" w:line="1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Sanofi Agreement, unless earlier terminated, will expire on a product-by-product basis on the date of expiration of all payment obligations under the Sanofi Agreement with respect to such product. We or Sanofi may terminate the agreement upon the other party’s material breach or insolvency or for certain patent challenges. In addition, Sanofi may terminate the agreement for convenience or for a material safety event upon advance prior written notice, and we may terminate the agreement with respect to any collaboration candidate if, following Sanofi’s assumption of responsibility for the development, commercialization or manufacturing of collaboration candidates with respect to a particular target, Sanofi ceases to exploit any collaboration candidates directed to such target for a specified period.</w:t>
      </w:r>
    </w:p>
    <w:p>
      <w:pPr>
        <w:spacing w:after="0" w:line="19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consideration for the exclusive licenses granted to Sanofi under the Sanofi Agreement, Sanofi paid an upfront payment of $150 million. In addition to the upfront payment, we are eligible to receive certain development milestone payments of up to $1.48 billion in the aggregate, of which more than $1.0 billion relates to the IRAK4 program, upon the achievement of certain developmental or regulatory events. We will be eligible to receive certain commercial milestone payments up to $700 million in the aggregate, of which $400 million relates to the IRAK4 program, which are payable upon the achievement of certain net sales thresholds. We will be eligible to receive tiered royalties for each program on net sales ranging from the high-single digits to high teens, subject to low-single digits upward adjustments in certain circumstances.</w:t>
      </w:r>
    </w:p>
    <w:p>
      <w:pPr>
        <w:spacing w:after="0" w:line="17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November 15, 2022, we entered into an Amended and Restated Collaboration and License Agreement with Sanofi, or the Amended Sanofi Agreement, which amended the Original Sanofi Agreement to revise certain research terms and responsibilities set forth under the Original Sanofi Agreement. The Amended Sanofi Agreement also specifies details around the timing and number of Phase 2 trials required under the terms of the collaboration. The Amended Sanofi Agreement became effective on December 5,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509"/>
        <w:spacing w:after="0" w:line="279" w:lineRule="auto"/>
        <w:rPr>
          <w:sz w:val="20"/>
          <w:szCs w:val="20"/>
          <w:color w:val="auto"/>
        </w:rPr>
      </w:pPr>
      <w:r>
        <w:rPr>
          <w:rFonts w:ascii="Arial" w:cs="Arial" w:eastAsia="Arial" w:hAnsi="Arial"/>
          <w:sz w:val="17"/>
          <w:szCs w:val="17"/>
          <w:color w:val="auto"/>
        </w:rPr>
        <w:t>Additionally with respect to Sanofi, on December 2, 2022, Sanofi provided the Company with written notice of its intention to advance the collaboration target 1 candidate, KT-474, into Phase 2 clinical trials. The Company is entitled to receive milestone payments upon the dosing of the first Phase 2 patient(s) per indication up to a specified number of indications as further set forth in the Amended Sanofi Agreement. Phase 2 clinical trials of KT-474 will initially investigate its potential in HS and AD with the clinical trial for the first indication expected to be initiated in 2023.</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operating expenses since inception have consisted solely of research and development expenses and general and administrative expenses.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7"/>
          <w:szCs w:val="17"/>
          <w:color w:val="auto"/>
        </w:rPr>
        <w:t>Research and development expenses consist primarily of costs incurred in connection with the discovery and development of targeted protein degradation therapeutics, including those in our initial programs, IRAK4, IRAKIMiD, STAT3 and MDM2. These research efforts and costs, which also</w:t>
      </w:r>
    </w:p>
    <w:p>
      <w:pPr>
        <w:jc w:val="both"/>
        <w:spacing w:after="0" w:line="221" w:lineRule="auto"/>
        <w:rPr>
          <w:sz w:val="20"/>
          <w:szCs w:val="20"/>
          <w:color w:val="auto"/>
        </w:rPr>
      </w:pPr>
      <w:r>
        <w:rPr>
          <w:rFonts w:ascii="Arial" w:cs="Arial" w:eastAsia="Arial" w:hAnsi="Arial"/>
          <w:sz w:val="18"/>
          <w:szCs w:val="18"/>
          <w:color w:val="auto"/>
        </w:rPr>
        <w:t>support the development of, and enhancements to,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include external research costs, personnel costs, supplies, license fees and facility-related expenses. We expense research and development costs as incurred. These expenses include:</w:t>
      </w:r>
    </w:p>
    <w:p>
      <w:pPr>
        <w:spacing w:after="0" w:line="94" w:lineRule="exact"/>
        <w:rPr>
          <w:sz w:val="20"/>
          <w:szCs w:val="20"/>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organizations that support our platform program development;</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contract manufacturing organizations, or CMOs, that are primarily engaged to provide drug substance and product for our preclinical research and development programs, nonclinical studies and other scientific development services;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acquiring and manufacturing nonclinical trial materials, including manufacturing registration and validation batches;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facilities, depreciation and other expenses, which include direct and allocated expenses for rent and maintenance of facilities and insurance;</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related to compliance with quality and regulatory requirements;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84"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in connection with our planned clinical development activities in the near term and in the future. At this time, we cannot accurately estimate or know the nature, timing and costs of the efforts that will be necessary to complete the clinical development of any future product candidates.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clinical development costs may vary significantly based on factors such as:</w:t>
      </w:r>
    </w:p>
    <w:p>
      <w:pPr>
        <w:spacing w:after="0" w:line="117" w:lineRule="exact"/>
        <w:rPr>
          <w:sz w:val="20"/>
          <w:szCs w:val="20"/>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manufacturing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phase of development of our product candidates;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successful development and commercialization of product candidates is highly uncertain. This is due to the numerous risks and uncertainties associated with product development and commercialization, including the following:</w:t>
      </w:r>
    </w:p>
    <w:p>
      <w:pPr>
        <w:spacing w:after="0" w:line="62"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progress of nonclinical and clinical development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scope of nonclinical and clinical programs we decide to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raise necessary additional funds;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our current development program and to establish new ones;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drug substance and drug product for use in production of our product candidates;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any of our product candidates are approved;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obtain and maintain patents, trade secret protection and regulatory exclusivity, both in the United States and internationally;</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protect our rights in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third-party insurance coverage and adequate reimbursement;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competition with other products;</w:t>
      </w:r>
    </w:p>
    <w:p>
      <w:pPr>
        <w:spacing w:after="0" w:line="117"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impact of any business interruptions to our operations, including the timing and enrollment of patients in our planned clinical trials, or to those of our manufacturers, suppliers, or other vendors resulting from the COVID-19 pandemic or similar public health crisis;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maintain a continued acceptable safety profile for our therapies following approval.</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significantly change the costs and timing associated with the development of that product candidate. We may never succeed in obtaining regulatory approval for any of our product candidates.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professional fees for accounting, auditing, tax and administrative consulting services, insurance costs, administrative travel expenses, marketing expenses and other operating costs.</w:t>
      </w:r>
    </w:p>
    <w:p>
      <w:pPr>
        <w:spacing w:after="0" w:line="1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development of our product candidates and our continued research activities. We also anticipate that we will incur increased accounting, audit, legal, regulatory, compliance and director and officer insurance costs as well as legal, investor and public relations expenses associated with being a public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Interest and other income and expense,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invested cash balances and interest on our financing leases.</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Comparison of three months ended June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2023 and 2022:</w:t>
      </w:r>
    </w:p>
    <w:p>
      <w:pPr>
        <w:spacing w:after="0" w:line="27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Revenue—from related parties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45,767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(43,383 )</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(40,810 )</w:t>
            </w: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(2,573 )</w:t>
            </w:r>
          </w:p>
        </w:tc>
        <w:tc>
          <w:tcPr>
            <w:tcW w:w="0" w:type="dxa"/>
            <w:vAlign w:val="bottom"/>
          </w:tcPr>
          <w:p>
            <w:pPr>
              <w:spacing w:after="0"/>
              <w:rPr>
                <w:sz w:val="1"/>
                <w:szCs w:val="1"/>
                <w:color w:val="auto"/>
              </w:rPr>
            </w:pPr>
          </w:p>
        </w:tc>
      </w:tr>
      <w:tr>
        <w:trPr>
          <w:trHeight w:val="243"/>
        </w:trPr>
        <w:tc>
          <w:tcPr>
            <w:tcW w:w="5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(38,799 )</w:t>
            </w: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(40,257 )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-187960</wp:posOffset>
            </wp:positionV>
            <wp:extent cx="7683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-187960</wp:posOffset>
            </wp:positionV>
            <wp:extent cx="685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recognize revenue under each of the Vertex Agreement and Sanofi Agreement based on our pattern of performance related to the respective identified performance obligations, which is the period over which we will perform research services under each of the Vertex Agreement and Sanofi Agreement.</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Collaboration revenues were $16.5 million for the three months ended June 30, 2023, of which $9.9 million and $6.6 million were attributable to our collaboration agreements with Sanofi and Vertex, respectively. Collaboration revenues were $11.5 million for the three months ended June 30, 2022, of which $8.4 million and $3.1 million were attributable to our collaboration agreements with Sanofi and Vertex, respectively.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each period presented (program expenses are not disclosed prior to formal development candidate nomination):</w:t>
      </w:r>
    </w:p>
    <w:p>
      <w:pPr>
        <w:spacing w:after="0" w:line="217"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research and development costs:</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IRAK4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4,580</w:t>
            </w: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3,940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IRAKIMiD</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STAT3</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MDM2</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(2,252 )</w:t>
            </w:r>
          </w:p>
        </w:tc>
        <w:tc>
          <w:tcPr>
            <w:tcW w:w="0" w:type="dxa"/>
            <w:vAlign w:val="bottom"/>
          </w:tcPr>
          <w:p>
            <w:pPr>
              <w:spacing w:after="0"/>
              <w:rPr>
                <w:sz w:val="1"/>
                <w:szCs w:val="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12,754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11,372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research and development costs</w:t>
            </w: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23,068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18,526</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45,767</w:t>
            </w: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41,293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-187960</wp:posOffset>
            </wp:positionV>
            <wp:extent cx="6858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685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Research and development expenses were $45.8 million for the three months ended June 30, 2023, compared to $41.3 million for the three months ended June 30, 2022. The increase of $4.5 million was primarily due to an increase of $1.1 million in spending on our IRAK4 and STAT3 programs, a $1.4 million increase related our investment in our other pipeline programs and platform, as well as a $4.5 million increase in personnel, stock-based compensation, occupancy and related costs due to increases in employee headcount in the research and development functions. These increases were partially offset by a $2.5 million reduction in activities relating to our IRAKIMiD and MDM2 programs.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ind w:right="240" w:firstLine="360"/>
        <w:spacing w:after="0" w:line="253" w:lineRule="auto"/>
        <w:rPr>
          <w:sz w:val="20"/>
          <w:szCs w:val="20"/>
          <w:color w:val="auto"/>
        </w:rPr>
      </w:pPr>
      <w:r>
        <w:rPr>
          <w:rFonts w:ascii="Arial" w:cs="Arial" w:eastAsia="Arial" w:hAnsi="Arial"/>
          <w:sz w:val="18"/>
          <w:szCs w:val="18"/>
          <w:color w:val="auto"/>
        </w:rPr>
        <w:t>General and administrative expenses were $14.1 million for the three months ended June 30, 2023, compared to $11.0 million for the three months ended June 30, 2022. This increase was primarily due to an increase in legal and professional service fees, personnel, facility, occupancy, and other expenses to support our growth. Stock based compensation expenses included in general and administrative expenses were $5.5 million and $4.9 million for the three months ended June 30, 2023 and June 30, 2022, respectively.</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 income, net was $4.6 million for the three months ended June 30, 2023, compared to $0.6 million for the three months ended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$4.0 million increase was primarily due to the prevailing interest rates in the respective periods.</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Comparison of six months ended June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2023 and 2022:</w:t>
      </w:r>
    </w:p>
    <w:p>
      <w:pPr>
        <w:spacing w:after="0" w:line="272"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Revenue—from related parties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25,979</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21,136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77,238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114,688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98,880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(88,709 )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(77,744 )</w:t>
            </w:r>
          </w:p>
        </w:tc>
        <w:tc>
          <w:tcPr>
            <w:tcW w:w="2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(10,965 )</w:t>
            </w: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8,179</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(79,727 </w:t>
            </w:r>
            <w:r>
              <w:rPr>
                <w:rFonts w:ascii="Arial" w:cs="Arial" w:eastAsia="Arial" w:hAnsi="Arial"/>
                <w:sz w:val="18"/>
                <w:szCs w:val="18"/>
                <w:color w:val="auto"/>
                <w:highlight w:val="white"/>
              </w:rPr>
              <w:t>)</w:t>
            </w:r>
          </w:p>
        </w:tc>
        <w:tc>
          <w:tcPr>
            <w:tcW w:w="160" w:type="dxa"/>
            <w:vAlign w:val="bottom"/>
          </w:tcPr>
          <w:p>
            <w:pPr>
              <w:spacing w:after="0"/>
              <w:rPr>
                <w:sz w:val="20"/>
                <w:szCs w:val="20"/>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(76,941 )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(2,786 )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-187960</wp:posOffset>
            </wp:positionV>
            <wp:extent cx="6858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-187960</wp:posOffset>
            </wp:positionV>
            <wp:extent cx="7747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recognize revenue under each of the Vertex Agreement and Sanofi Agreement based on our pattern of performance related to the respective identified performance obligations, which is the period over which we will perform research services under each of the Vertex Agreement and Sanofi Agreement.</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Collaboration revenues were $26.0 million for the six months ended June 30, 2023, of which $17.6 million and $8.4 million were attributable to our collaboration agreements with Sanofi and Vertex, respectively. Collaboration revenues were $21.1 million for the six months ended June 30, 2022, of which $15.0 million and $6.1 million were attributable to our collaboration agreements with Sanofi and Vertex, respectively.</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summarizes our research and development expenses for each period presented (program expenses are not disclosed prior to formal development candidate nomination):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research and development costs:</w:t>
            </w:r>
          </w:p>
        </w:tc>
        <w:tc>
          <w:tcPr>
            <w:tcW w:w="1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IRAK4</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7,138</w:t>
            </w: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7,701</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(563 )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3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IRAKIMiD</w:t>
            </w:r>
          </w:p>
        </w:tc>
        <w:tc>
          <w:tcPr>
            <w:tcW w:w="1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STAT3</w:t>
            </w: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3,594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20" w:type="dxa"/>
            <w:vAlign w:val="bottom"/>
          </w:tcPr>
          <w:p>
            <w:pPr>
              <w:spacing w:after="0"/>
              <w:rPr>
                <w:sz w:val="21"/>
                <w:szCs w:val="21"/>
                <w:color w:val="auto"/>
              </w:rPr>
            </w:pPr>
          </w:p>
        </w:tc>
        <w:tc>
          <w:tcPr>
            <w:tcW w:w="3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MDM2</w:t>
            </w:r>
          </w:p>
        </w:tc>
        <w:tc>
          <w:tcPr>
            <w:tcW w:w="1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(2,190 )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23,169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21,182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3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research and development costs</w:t>
            </w:r>
          </w:p>
        </w:tc>
        <w:tc>
          <w:tcPr>
            <w:tcW w:w="14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45,678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35,589</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10,089</w:t>
            </w: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87,994</w:t>
            </w: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77,238</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10,756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40" w:type="dxa"/>
            <w:vAlign w:val="bottom"/>
            <w:vMerge w:val="restart"/>
          </w:tcPr>
          <w:p>
            <w:pPr>
              <w:jc w:val="right"/>
              <w:ind w:right="470"/>
              <w:spacing w:after="0"/>
              <w:rPr>
                <w:sz w:val="20"/>
                <w:szCs w:val="20"/>
                <w:color w:val="auto"/>
              </w:rPr>
            </w:pPr>
            <w:r>
              <w:rPr>
                <w:rFonts w:ascii="Arial" w:cs="Arial" w:eastAsia="Arial" w:hAnsi="Arial"/>
                <w:sz w:val="18"/>
                <w:szCs w:val="18"/>
                <w:color w:val="auto"/>
              </w:rPr>
              <w:t>26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1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-839470</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-839470</wp:posOffset>
            </wp:positionV>
            <wp:extent cx="68580"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-839470</wp:posOffset>
            </wp:positionV>
            <wp:extent cx="77470"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ind w:firstLine="509"/>
        <w:spacing w:after="0" w:line="275" w:lineRule="auto"/>
        <w:rPr>
          <w:sz w:val="20"/>
          <w:szCs w:val="20"/>
          <w:color w:val="auto"/>
        </w:rPr>
      </w:pPr>
      <w:r>
        <w:rPr>
          <w:rFonts w:ascii="Arial" w:cs="Arial" w:eastAsia="Arial" w:hAnsi="Arial"/>
          <w:sz w:val="17"/>
          <w:szCs w:val="17"/>
          <w:color w:val="auto"/>
        </w:rPr>
        <w:t>Research and development expenses were $88.0 million for the six months ended June 30, 2023, compared to $77.2 million for the six months ended June 30, 2022. The increase of $10.8 million was primarily due to an increase of $1.4 million in spending on our IRAKIMiD and STAT3 programs, a $2.0 million increase related our investment in our other pipeline programs and platform, as well as a $10.1 million increase in personnel, stock-based compensation, occupancy and related costs due to increases in employee headcount in the research and development functions. These increases were partially offset by a $2.8 million reduction in activities relating to our IRAK4 and MDM2 programs.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ind w:right="120" w:firstLine="360"/>
        <w:spacing w:after="0" w:line="253" w:lineRule="auto"/>
        <w:rPr>
          <w:sz w:val="20"/>
          <w:szCs w:val="20"/>
          <w:color w:val="auto"/>
        </w:rPr>
      </w:pPr>
      <w:r>
        <w:rPr>
          <w:rFonts w:ascii="Arial" w:cs="Arial" w:eastAsia="Arial" w:hAnsi="Arial"/>
          <w:sz w:val="18"/>
          <w:szCs w:val="18"/>
          <w:color w:val="auto"/>
        </w:rPr>
        <w:t>General and administrative expenses were $26.7 million for the six months ended June 30, 2023, compared to $21.6 million for the six months ended June 30, 2022. The $5.1 million increase was primarily due to an increase in legal and professional service fees, personnel, facility, occupancy, and other expenses to support our growth. Stock based compensation expenses included in general and administrative expenses were $10.1 million and $8.8 million for the six months ended June 30, 2023 and June 30, 2022, respectively.</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Other income, net was $9.0 million for the six months ended June 30, 2023, compared to $0.8 million for the six months ended June 30, 2022. The $8.2 million increase was primarily due to the prevailing interest rates in the respective periods.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have not yet generated any revenue from any product sales, and we have incurred significant operating losses since our inception. We have not yet commercialized any products and we do not expect to generate revenue from sales of products for several years, if at all. To date, we have funded our operations primarily with proceeds from our initial public offering, or IPO, Follow-on Offering, sale of our convertible preferred stock and collaboration agreements. To date, we have received gross proceeds of $1.03 billion from sales of our convertible preferred stock, the sale of common stock including our August 2020 IPO and concurrent private placement, and our July 2021 follow-on offering and concurrent private placement, August 2022 private investment in public equity (“PIPE”) offering, and through our corporate collaborations. As of June 30, 2023, we had cash and cash equivalents and marketable securities of $472.3 million.</w:t>
      </w:r>
    </w:p>
    <w:p>
      <w:pPr>
        <w:spacing w:after="0" w:line="8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October 2021, we entered into a sales agreement, or Sales Agreement, with Cowen and Company, LLC, or Cowen, pursuant to which we may offer and sell shares of our common stock having aggregate gross proceeds of up to $250.0 million from time to time in “at-the-market” offerings through Cowen, as our sales agent. We agreed to pay Cowen a commission of up to 3.0% of the gross proceeds of any shares sold by Cowen under the Sales Agreement. There have been no shares of our common stock sold under the Sales Agreement as of June 30, 2023.</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84"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518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169"/>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74"/>
              </w:rPr>
              <w:t>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(79,224 )</w:t>
            </w:r>
          </w:p>
        </w:tc>
        <w:tc>
          <w:tcPr>
            <w:tcW w:w="360" w:type="dxa"/>
            <w:vAlign w:val="bottom"/>
            <w:shd w:val="clear" w:color="auto" w:fill="CFF0FC"/>
          </w:tcPr>
          <w:p>
            <w:pPr>
              <w:jc w:val="center"/>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(79,280 )</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60,423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107,666</w:t>
            </w:r>
          </w:p>
        </w:tc>
        <w:tc>
          <w:tcPr>
            <w:tcW w:w="100" w:type="dxa"/>
            <w:vAlign w:val="bottom"/>
          </w:tcPr>
          <w:p>
            <w:pPr>
              <w:spacing w:after="0"/>
              <w:rPr>
                <w:sz w:val="20"/>
                <w:szCs w:val="20"/>
                <w:color w:val="auto"/>
              </w:rPr>
            </w:pP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88"/>
              <w:spacing w:after="0"/>
              <w:rPr>
                <w:sz w:val="20"/>
                <w:szCs w:val="20"/>
                <w:color w:val="auto"/>
              </w:rPr>
            </w:pPr>
            <w:r>
              <w:rPr>
                <w:rFonts w:ascii="Arial" w:cs="Arial" w:eastAsia="Arial" w:hAnsi="Arial"/>
                <w:sz w:val="18"/>
                <w:szCs w:val="18"/>
                <w:color w:val="auto"/>
              </w:rPr>
              <w:t xml:space="preserve">(16,337 </w:t>
            </w:r>
            <w:r>
              <w:rPr>
                <w:rFonts w:ascii="Arial" w:cs="Arial" w:eastAsia="Arial" w:hAnsi="Arial"/>
                <w:sz w:val="18"/>
                <w:szCs w:val="18"/>
                <w:color w:val="auto"/>
                <w:highlight w:val="white"/>
              </w:rPr>
              <w:t>)</w:t>
            </w:r>
          </w:p>
        </w:tc>
        <w:tc>
          <w:tcPr>
            <w:tcW w:w="360" w:type="dxa"/>
            <w:vAlign w:val="bottom"/>
          </w:tcPr>
          <w:p>
            <w:pPr>
              <w:jc w:val="center"/>
              <w:ind w:right="1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28,935</w:t>
            </w:r>
          </w:p>
        </w:tc>
        <w:tc>
          <w:tcPr>
            <w:tcW w:w="100" w:type="dxa"/>
            <w:vAlign w:val="bottom"/>
          </w:tcPr>
          <w:p>
            <w:pPr>
              <w:spacing w:after="0"/>
              <w:rPr>
                <w:sz w:val="20"/>
                <w:szCs w:val="20"/>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-187960</wp:posOffset>
            </wp:positionV>
            <wp:extent cx="59690" cy="1885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 used in Operating Activities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During the six months ended June 30, 2023, cash used in operating activities was $79.2 million, primarily resulting from our net loss of $79.7 million during the period, the $18.5 million change in deferred revenue under our Sanofi and Vertex collaboration agreements, and a $0.6 million net decrease in other operating assets and liabilities primarily driven by changes in accounts receivable, accounts payable, accrued expenses and operating lease liabilities. These were offset by adjustments for non-cash items of $19.6 million (primarily consisting of stock-based compensation, depreciation &amp; amortization and premiums &amp; discounts on available-sale-securities).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jc w:val="both"/>
        <w:ind w:firstLine="509"/>
        <w:spacing w:after="0" w:line="257" w:lineRule="auto"/>
        <w:rPr>
          <w:sz w:val="20"/>
          <w:szCs w:val="20"/>
          <w:color w:val="auto"/>
        </w:rPr>
      </w:pPr>
      <w:r>
        <w:rPr>
          <w:rFonts w:ascii="Arial" w:cs="Arial" w:eastAsia="Arial" w:hAnsi="Arial"/>
          <w:sz w:val="18"/>
          <w:szCs w:val="18"/>
          <w:color w:val="auto"/>
        </w:rPr>
        <w:t>During the six months ended June 30, 2022, cash used in operating activities was $79.3 million, primarily resulting from our net loss of $76.9 million during the period, the $17.5 million change in deferred revenue under our Sanofi and Vertex collaboration agreements, and a $5.6 million net decrease in other operating assets and liabilities primarily driven by changes in accounts receivable, accounts payable and accrued expenses. These were offset by adjustments for non-cash items of $20.7 million (primarily consisting of stock-based compensation, depreciation and amortization and premiums and discounts on available-sale-securities).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 provided by Investing Activities</w:t>
      </w:r>
    </w:p>
    <w:p>
      <w:pPr>
        <w:spacing w:after="0" w:line="117"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During the six months ended June 30, 2023, cash provided by investing activities was $60.4 million comprised of maturities of marketable securities of $189.7 million, partially offset by purchases of marketable securities of $114.5 million and purchases of property and equipment of $14.8 million.</w:t>
      </w:r>
    </w:p>
    <w:p>
      <w:pPr>
        <w:spacing w:after="0" w:line="16"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During the six months ended June 30, 2022, cash provided by investing activities was $107.7 million comprised of maturities of marketable securities of $253.7 million offset by purchases of marketable securities of $144.8 million and purchases of property and equipment of $1.2 million.</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Cash Flow provided by Financing Activities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six months ended June 30, 2023, net cash provided by financing activities was $2.5 million, consisting of $2.1 million in proceeds from the exercise of employee stock options and $1.0 million in proceeds from the employee stock purchase plan, partially offset by finance lease payments of $0.6 million.</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six months ended June 30, 2022, net cash provided by financing activities was $0.5 million, primarily consisting of $1.0 million in proceeds from the exercise of employee stock options and the issuance of shares under our employee stock purchase plan, offset by finance lease payments of $0.5 million.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Future funding requirements</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advance the later-stage clinical development of our product candidates. In addition, we expect to incur additional costs associated with operating as a public company.</w:t>
      </w:r>
    </w:p>
    <w:p>
      <w:pPr>
        <w:spacing w:after="0" w:line="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the development of our product candidates and programs and because the extent to which we may enter into collaborations with third parties for development of our product candidates is unknown, we are unable to estimate the timing and amounts of increased capital outlays and operating expenses associated with completing the research and development of our product candidates. The timing and amount of our operating expenditures will depend largely on:</w:t>
      </w:r>
    </w:p>
    <w:p>
      <w:pPr>
        <w:spacing w:after="0" w:line="79" w:lineRule="exact"/>
        <w:rPr>
          <w:sz w:val="20"/>
          <w:szCs w:val="20"/>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nonclinical studies and clinical trials for our product candidates or any future product candidates we may develop;</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relationships with key collaborators;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nonclinical studies or clinical trials than those that we currently expect or change their requirements on studies that had previously been agreed to;</w:t>
      </w:r>
    </w:p>
    <w:p>
      <w:pPr>
        <w:spacing w:after="0" w:line="7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continuing to grow our business, including hiring key personnel and maintaining or acquiring operating space;</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degree of market acceptance of any approved product candidates, including product pricing, as well as product coverage and the adequacy of reimbursement by third-party payors;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any product candidates for which we may receive regulatory approval and that we determine to commercialize;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jc w:val="both"/>
        <w:ind w:firstLine="509"/>
        <w:spacing w:after="0" w:line="254" w:lineRule="auto"/>
        <w:rPr>
          <w:sz w:val="20"/>
          <w:szCs w:val="20"/>
          <w:color w:val="auto"/>
        </w:rPr>
      </w:pPr>
      <w:r>
        <w:rPr>
          <w:rFonts w:ascii="Arial" w:cs="Arial" w:eastAsia="Arial" w:hAnsi="Arial"/>
          <w:sz w:val="18"/>
          <w:szCs w:val="18"/>
          <w:color w:val="auto"/>
        </w:rPr>
        <w:t>We believe the existing cash, cash equivalents and marketable securities of $472.3 million as of June 30, 2023, will enable us to fund our operating expenses and capital expenditure requirements into the second half of 2025. We have based this estimate on assumptions that may prove to be wrong, and we could exhaust our available capital resources sooner than we expect. We expect that we will require additional funding to continue the clinical development of our IRAK4, IRAKIMiD, STAT3 and MDM2 programs, commercialize our product candidates if we receive regulatory approval, and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 our product candidates.</w:t>
      </w:r>
    </w:p>
    <w:p>
      <w:pPr>
        <w:spacing w:after="0" w:line="8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8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Market volatility resulting from the COVID-19 pandemic or other factors could also adversely impact our ability to access capital as and when needed. To the extent that we raise additional capital through the sale of equity or convertible debt securities, the ownership interests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Contractual Obligations and Other Commitments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were no material changes to our contractual obligations and commitments described under “Management’s Discussion and Analysis of Financial Condition and Results of Operations” in our Annual Report on Form 10-K for the fiscal year ended December 31, 2022.</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During the six months ended June 30, 2023, there were no material changes to our critical accounting policies from those described in our Annual Report Form 10-K filed with the SEC on February 23, 2023.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are exposed to market risk related to changes in interest rates. Our primary exposure to market risk is interest rate sensitivity, which is affected by changes in the general level of U.S. interest rates, particularly because our investments, including cash equivalents, are in the form of money market funds and marketable securities and are invested in U.S. treasury or government obligations and corporate securities. However, because of the short-term nature of the duration of our portfolio and the low-risk profile of our investments, we believe an immediate 10% change in market interest rates would not be expected to have a material impact on the fair market value of our investments portfolio or on our financial condition or results of operations.</w:t>
      </w:r>
    </w:p>
    <w:p>
      <w:pPr>
        <w:spacing w:after="0" w:line="16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also exposed to market risk related to changes in foreign currency exchange rates. We contract with vendors that are located in Asia and Europe and certain invoices are denominated in foreign currencies. We are subject to fluctuations in foreign currency rates in connection with these arrangements. We do not currently hedge our foreign currency exchange rate risk. As of June 30, 2023, we had no significant liabilities denominated in foreign currencies.</w:t>
      </w:r>
    </w:p>
    <w:p>
      <w:pPr>
        <w:spacing w:after="0" w:line="18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Inflation generally affects us by increasing our cost of labor and clinical trial costs. The global macroeconomic environment has experienced, and continues to experience, extraordinary challenges, including the highest rates of inflation in 40 years. These macroeconomic factors have contributed, and we expect will continue to contribute, to increased costs, among other concerns. We cannot predict how long these inflationary pressures will continue, or how they may change over time, but we expect to see continued impacts on the global economy, our industry and our company. If inflationary pressures continue to persist, they may continue to have an adverse impact on our consolidated financial position, results of operations and/or cash flows. As a result of the inflationary environment, however, interest rates have increased, which has resulted in higher interest income rates than were previously realized.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3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6"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management, with the participation of our Chief Executive Officer, who serves as our Principal Executive Officer, and our Chief Financial Officer, who serves as our Principal Financial Officer, has evaluated the effectiveness of our disclosure controls and procedures as of June 30, 2023, the end of the period covered by this Quarterly Report. Based upon such evaluation, our Chief Executive Officer and Chief Financial Officer have concluded that our disclosure controls and procedures were effective at the reasonable assurance level as of such date.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that have materially affected, or are reasonably likely to materially affect, our internal control over financial reporting.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i w:val="1"/>
          <w:iCs w:val="1"/>
          <w:color w:val="auto"/>
        </w:rPr>
        <w:t>The following discussion and analysis should be read in conjunction with the unaudited condensed consolidated financial statements and related notes included elsewhere in this Quarterly Report on Form 10-Q, the Quarterly Report. This discussion and analysis and other parts of this Quarterly Report contain forward-looking statements based upon current activities, plans and expectations that involve risks, uncertainties and assumptions, such as express or implied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entitled “Special Note Regarding Forward-Looking Statements.”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to date from drug sales, and may never become profitable.</w:t>
      </w:r>
    </w:p>
    <w:p>
      <w:pPr>
        <w:spacing w:after="0" w:line="17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Since our formation in 2015 and our initial funding in 2016, our operations to date have been limited primarily to organizing and staffing our company, business planning, raising capital, researching and developing our drug discovery technology, developing our pipeline, building our intellectual property portfolio, undertaking preclinical studies and conducting Phase 1 clinical trials of our product candidates. We have never generated any revenue from drug sales. We have not obtained regulatory approvals for any of our current product candidates. Typically, it takes many years to develop one new pharmaceutical drug from the time it is discovered to when it is available for treating patients. Consequently,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the COVID-19 pandemic. We will need to transition from a company with a research and development focus to a company capable of supporting late-stage development and commercial activities. We may not be successful in such a transition.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operating losses since our inception and anticipate that we will incur continued losses for the foreseeable future.</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Since inception, we have focused substantially all of our efforts and financial resources on developing our proprietary targeted protein degradation</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drug discovery platform, or the Pegasus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and initial product candidates as well as supporting our collaborations and partnerships. To date, we have financed our operations primarily through the issuance and sale of our convertible preferred stock to outside investors and collaborators in private equity financings, upfront payments under our existing collaborations and our initial public offering, follow-on offering and PIPE offering. From our inception through June 30, 2023, we raised an aggregate of approximately $1.03 billion of gross proceeds from such transactions and through our collaborations. As of June 30, 2023, our cash and cash equivalents and investments were $472.3 million. We have incurred net losses in each year since our inception, and we had an accumulated deficit of $463.5 million as of June 30, 2023. For the years ended December 31, 2022, 2021 and 2020, we reported net losses of $154.8 million, $100.2 million and $45.6 million, respectively. We reported net losses of $38.8 million and $79.7 million for the three and six months ended June 30, 2023 respectively, and $40.3 million and $76.9 million for the three and six months ended June 30, 2022, respectively. Substantially all of our operating losses have resulted from costs incurred in connection with our research and development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 adverse effect on our stockholders’ deficit and working capital. We expect our expenses to significantly increase in connection with our ongoing activities, as we: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6" w:name="page37"/>
    <w:bookmarkEnd w:id="36"/>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initiate and complete preclinical studies and clinical trials for current or future product candidates, including KT-474, KT-413, KT-333 and KT-253;</w:t>
      </w:r>
    </w:p>
    <w:p>
      <w:pPr>
        <w:spacing w:after="0" w:line="62" w:lineRule="exact"/>
        <w:rPr>
          <w:rFonts w:ascii="Arial" w:cs="Arial" w:eastAsia="Arial" w:hAnsi="Arial"/>
          <w:sz w:val="18"/>
          <w:szCs w:val="18"/>
          <w:color w:val="auto"/>
        </w:rPr>
      </w:pPr>
    </w:p>
    <w:p>
      <w:pPr>
        <w:ind w:left="1020" w:hanging="503"/>
        <w:spacing w:after="0" w:line="274"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prepare and submit Investigational New Drug applications, or INDs, with the U.S. Food and Drug Administration, or FDA, for future product candidates</w:t>
      </w:r>
      <w:r>
        <w:rPr>
          <w:rFonts w:ascii="Arial" w:cs="Arial" w:eastAsia="Arial" w:hAnsi="Arial"/>
          <w:sz w:val="21"/>
          <w:szCs w:val="21"/>
          <w:color w:val="auto"/>
        </w:rPr>
        <w:t>;</w:t>
      </w:r>
    </w:p>
    <w:p>
      <w:pPr>
        <w:spacing w:after="0" w:line="5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scale up our capabilities to support our ongoing preclinical activities and clinical trials for our product candidates and commercialization of any of our product candidates for which we may obtain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secure facilities to support continued growth in our research, development and commercialization efforts;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21"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and improve the capabilities of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w:t>
      </w:r>
    </w:p>
    <w:p>
      <w:pPr>
        <w:spacing w:after="0" w:line="70"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 that successfully complete clinical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to manufacture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costs associated with continuing to operate as a public company.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if we obtain marketing approval for our current or future product candidates, we will incur significant expenses relating to sales, marketing, product manufacturing and distribution. Because of the numerous risks and uncertainties associated with developing pharmaceutical drugs, including in light of the global impact of the COVID-19 pandemic, we are unable to predict the extent of any future losses or when we will become profitable, if at all. Even if we do become profitable, we may not be able to sustain or increase our profitability on a quarterly or annual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or on attractive terms, we would be forced to delay, scale back or discontinue some of our product candidate development programs or future commercialization efforts.</w:t>
      </w:r>
    </w:p>
    <w:p>
      <w:pPr>
        <w:spacing w:after="0" w:line="14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development of pharmaceutical drugs is capital-intensive. We have commenced clinical development of KT-474, KT-413, KT-333 and KT-253. We are also currently advancing multiple development candidates through preclinical development across a number of potential indications.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current or future product candidates, we expect to incur significant commercialization expenses related to sales, marketing, product manufacturing and distribution to the extent that such sales, marketing, product manufacturing and distribution are not the responsibility of our collaborators. We may also need to raise additional funds sooner if we choose to pursue additional indications and/or geographies for our current or future product candidates or otherwise expand more rapidly than we presently anticipate.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scale back or discontinue the development and commercialization of one or more of our product candidates, and may be unable to expand our operations or otherwise capitalize on our business opportunities, as desired, which could materially affect our business, financial condition and results of operations.</w:t>
      </w:r>
    </w:p>
    <w:p>
      <w:pPr>
        <w:spacing w:after="0" w:line="16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As of June 30, 2023, we had approximately $472.3 million of cash and cash equivalents and investments. In August 2020, we completed an IPO of our common stock by issuing 9,987,520 shares of our common stock, including the exercise in full by the underwriters of their option to purchase up to 1,302,720 additional shares of common stock, at a public offering price of $20.00 per share. The aggregate gross proceeds to us from the offering, before deducting underwriting discounts and commissions, and other estimated offering expenses payable by us, were approximately $199.8 million. Concurrent with the IPO, we announced the sale of 676,354 common shares at the public offering price per share in a private placement to Vertex. The aggregate gross proceeds to us from the concurrent private placement were approximately $13.5 million. The concurrent private placement also closed in August 2020. In July 2021, we completed a follow-on offering of our common stock and an additional private placement transaction with Vertex resulting, in the aggregate, in net proceeds of approximately, $243.1 million. In August 2022, we completed a PIPE offering of our common stock and pre-funded warrants resulting in gross proceeds of $150.0 million. We expect that the approximately $472.3 million of cash and cash equivalents and investments at June 30, 2023 will be sufficient to fund our operations into the second half of 2025. We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have based this estimate on assumptions that may prove to be wrong, and we could use our capital resources sooner than we currently expect. This estimate also assumes that we do not obtain any additional funding through collaborations or other strategic alliances. Our future capital requirements will depend on, and could increase significantly as a result of, many factors, including:</w:t>
      </w:r>
    </w:p>
    <w:p>
      <w:pPr>
        <w:spacing w:after="0" w:line="76" w:lineRule="exact"/>
        <w:rPr>
          <w:sz w:val="20"/>
          <w:szCs w:val="20"/>
          <w:color w:val="auto"/>
        </w:rPr>
      </w:pPr>
    </w:p>
    <w:p>
      <w:pPr>
        <w:jc w:val="both"/>
        <w:ind w:left="1020" w:hanging="503"/>
        <w:spacing w:after="0" w:line="263"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current or future product candidates, including additional expenses attributable to adjusting our development plans (including any supply related matters) in response to the COVID-19 pandemic and any future pandemics;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current or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existing or additional collaboration agreements we obtain;</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current or future product candidates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commercial production;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clearances to market our current or future product candidates.</w:t>
      </w:r>
    </w:p>
    <w:p>
      <w:pPr>
        <w:spacing w:after="0" w:line="38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w:t>
      </w:r>
    </w:p>
    <w:p>
      <w:pPr>
        <w:spacing w:after="0" w:line="18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Any additional fundraising efforts may divert our management from their day-to-day activities, which may adversely affect our ability to develop and commercialize our current or future product candidates. Disruptions in the financial markets in general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 candidates or otherwise agree to terms unfavorable to us, any of which may have a material adverse effect on our business, operating results and prospects.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Securities and Exchange Commission, or the SEC, annual, quarterly and current reports with respect to our business and financial condition. In addition, the Sarbanes-Oxley Act of 2002, as amended, or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pay” and proxy access. We were required to implement these requirements beginning in 2022 and incurred unexpected expenses in connection with such implementation.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18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Since that date, SVB has announced they have been acquired by First Citizens Bank and have resumed mostly normal operations.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spacing w:after="0" w:line="1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9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whom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500"/>
        <w:spacing w:after="0" w:line="342" w:lineRule="auto"/>
        <w:rPr>
          <w:sz w:val="20"/>
          <w:szCs w:val="20"/>
          <w:color w:val="auto"/>
        </w:rPr>
      </w:pPr>
      <w:r>
        <w:rPr>
          <w:rFonts w:ascii="Arial" w:cs="Arial" w:eastAsia="Arial" w:hAnsi="Arial"/>
          <w:sz w:val="16"/>
          <w:szCs w:val="16"/>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6"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Delayed or lost access to working capital sources and/or delays, inability or reductions in our ability to enter into new credit facilities or other working capital resources;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or actual breach of contractual obligations that require us to maintain letters of credit or other credit support arrangements;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or actual breach of financial covenants in any credit agreements or credit arrangements;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or actual cross-defaults in other credit agreements, credit arrangements or operating or financing agreements.</w:t>
      </w:r>
    </w:p>
    <w:p>
      <w:pPr>
        <w:spacing w:after="0" w:line="22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7" w:lineRule="exact"/>
        <w:rPr>
          <w:sz w:val="20"/>
          <w:szCs w:val="20"/>
          <w:color w:val="auto"/>
        </w:rPr>
      </w:pPr>
    </w:p>
    <w:p>
      <w:pPr>
        <w:jc w:val="both"/>
        <w:ind w:firstLine="555"/>
        <w:spacing w:after="0" w:line="272" w:lineRule="auto"/>
        <w:rPr>
          <w:sz w:val="20"/>
          <w:szCs w:val="20"/>
          <w:color w:val="auto"/>
        </w:rPr>
      </w:pPr>
      <w:r>
        <w:rPr>
          <w:rFonts w:ascii="Arial" w:cs="Arial" w:eastAsia="Arial" w:hAnsi="Arial"/>
          <w:sz w:val="17"/>
          <w:szCs w:val="17"/>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supplier may determine that it will no longer deal with us as a customer. In addition, a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supplier bankruptcy or insolvency, or any breach or default by a supplier, or the loss of any significant supplier relationships, could result in material losses to us and may have a material adverse impact on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Preclinical and Clinical Development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very early in our development efforts. All of our product candidates are in preclinical or early clinical development. If we are unable to commercialize our product candidates or experience significant delays in doing so, our business will be materially harmed.</w:t>
      </w:r>
    </w:p>
    <w:p>
      <w:pPr>
        <w:spacing w:after="0" w:line="14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ability to become profitable depends upon our ability to generate revenue. To date, while we have generated collaboration revenue,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68"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ongoing or planned clinical trials of our product candidates, including KT-474, KT-413, KT-333 and KT-253;</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results of preclinical studies and timing of IND clearances of future product candidates, and/or clinical trial costs for current and future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successful initiation, enrollment of and completion of clinical trials for current and future product candidates, including our ability to generate positive data from any such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receive regulatory approvals from applicable regulatory authorities;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initiation and successful completion of all safety studies required to obtain U.S. and foreign marketing approval for our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we identify in-house or acquire through collaborations or other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manufacturing capabilities or make arrangements with third-party manufacturers for clinical supply and commercial manufacturing;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acceptance of our product candidates, if and when approved, by patients, the medical community and third-party payors;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5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success of our existing collaborations as well as the terms and timing of any additional collaboration, license or other arrangement, including the terms and timing of any payments thereunder;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enforce and defend intellectual property rights and claims;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a continued acceptable safety profile of our product candidates following approval.</w:t>
      </w:r>
    </w:p>
    <w:p>
      <w:pPr>
        <w:spacing w:after="0" w:line="22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product candidates based on our Pegasus platform is novel and unproven, which makes it difficult to predict the time, cost of development and likelihood of successfully developing any products.</w:t>
      </w:r>
    </w:p>
    <w:p>
      <w:pPr>
        <w:spacing w:after="0" w:line="175"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color w:val="auto"/>
        </w:rPr>
        <w:t>Our Pegasus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utilizes a method known as targeted protein degradation, or TPD, to discover and develop product candidates. Our future success depends on the successful development of this novel therapeutic approach. No product candidate using a heterobifunctional degrader has been approved in the United States or Europe, and the data underlying the feasibility of developing such therapeutic products is both preliminary and limited. In addition, we have not yet succeeded and may not succeed in demonstrating the efficacy and safety of any of our product candidates in clinical trials or in obtaining marketing approval thereafter. In particular, our ability to successfully achieve TPD with a therapeutic result requires the successful development of heterobifunctional molecules that were intentionally designed with a rational drug development process and developing those molecules with the right combination of protein targets and E3 ligases. This is a complex process requiring a number of component parts or biological mechanisms to work in unison to achieve the desired effect. We cannot be certain that we will be able to discover degraders by matching the right target with the ideal E3 ligase and the right linker in a timely manner, or at all. All of our product candidates are in preclinical or early clinical development. As such, there may be adverse effects from treatment with any of our current or future product candidates that we cannot predict at this time.</w:t>
      </w:r>
    </w:p>
    <w:p>
      <w:pPr>
        <w:spacing w:after="0" w:line="17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6"/>
          <w:szCs w:val="16"/>
          <w:color w:val="auto"/>
        </w:rPr>
        <w:t>As a result of these factors, it is more difficult for us to predict the time and cost of product candidate development, and we cannot predict whether the application of our Pegasus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or any similar or competitive platforms, will result in the development and marketing approval of any products.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Any development problems we experience in the future related to our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or any of our research programs may cause significant delays or unanticipated costs or may prevent the development of a commercially viable product. Any of these factors may prevent us from completing our preclinical studies and clinical trials or commercializing any product candidates we may develop on a timely or profitable basis, if at all.</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key element of our strategy is to apply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and product pipeline to address a broad array of targets and new therapeutic areas. The therapeutic discovery activities that we are conducting may not be successful in identifying product candidates that are useful in treating oncology, inflammation, immunology or genetic diseases. Our research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jc w:val="both"/>
        <w:ind w:firstLine="509"/>
        <w:spacing w:after="0" w:line="270" w:lineRule="auto"/>
        <w:rPr>
          <w:sz w:val="20"/>
          <w:szCs w:val="20"/>
          <w:color w:val="auto"/>
        </w:rPr>
      </w:pPr>
      <w:r>
        <w:rPr>
          <w:rFonts w:ascii="Arial" w:cs="Arial" w:eastAsia="Arial" w:hAnsi="Arial"/>
          <w:sz w:val="17"/>
          <w:szCs w:val="17"/>
          <w:color w:val="auto"/>
        </w:rPr>
        <w:t>Because we have limited financial and management resources, we focus on a limited number of research programs and product candidates. We are currently focused on our four most advanced development programs, IRAK4, IRAKIMiD, STAT3 and MDM2, which target key signaling pathways implicated in multiple inflammatory and autoimmune diseases as well as numerous cancers. As a result, we may forego or delay pursuit of opportunities with other current or future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current or future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successful development of our lead programs. We cannot be certain that we will be able to obtain regulatory approval for, or successfully commercialize, any of our current or future product candidates.</w:t>
      </w:r>
    </w:p>
    <w:p>
      <w:pPr>
        <w:spacing w:after="0" w:line="170"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currently have no product candidates approved for sale and may never be able to develop marketable product candidates. Our business depends heavily on the successful development, regulatory approval and commercialization of our current or future product candidates, including our IRAK4, IRAKIMiD, STAT3 and MDM2 programs. The preclinical studies and clinical trials of our current or future product candidates are, and the manufacturing and marketing of our current or future product candidates will be, subject to extensive and rigorous review and regulation by numerous government authorities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 any stage of any of our preclinical studies and clinical trials. This process can take many years and may include post-marketing studies and surveillance, which will require the expenditure of substantial resources.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following scientific evaluation by the European Medicines Agency, or EMA. Accordingly, even if we are able to obtain the requisite financing to continue to fund our development and preclinical studies and clinical trials, we cannot assure you that any of our current or future product candidates will be successfully developed or commercialized. For example, in December 2020, we submitted an IND application for KT-474 to initiate a first-in-human Phase 1 randomized, double-blind, placebo-controlled clinical trial in healthy volunteers and patients with hidradenitis suppurativa (HS) or atopic dermatitis (AD). The program was initially placed on partial clinical hold regarding the multiple ascending dose (MAD) portion of the Phase 1 trial, pending FDA review of the interim data in healthy volunteers from the SAD portion of the trial. In June 2021, the FDA lifted the partial clinical hold on the MAD portion of the Phase 1 trial of KT-474 following review of interim SAD results, and the Phase 1 trial has since been completed.</w:t>
      </w:r>
    </w:p>
    <w:p>
      <w:pPr>
        <w:spacing w:after="0" w:line="39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are not permitted to market our current or future product candidates in the U.S. until we receive approval of a New Drug Application, or an NDA, from the FDA, in the European Union, or EU, until we receive approval of a marketing authorization application, or an MAA, from the European Commission following scientific evaluation by the EMA,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68" w:lineRule="exact"/>
        <w:rPr>
          <w:sz w:val="20"/>
          <w:szCs w:val="20"/>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demonstrate that our current or future product candidates are safe and effective in treating their target indications to the satisfaction of the FDA or applicable foreign regulatory agency;</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our preclinical studies and clinical trials may not meet the level of statistical or clinical significance required by the FDA or applicable foreign regulatory agency for marketing approval;</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disagree with the number, design, size, conduct or implementation of our preclinical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require that we conduct additional preclinical studies and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not approve the formulation, labeling or specifications of any of our current or future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find the data from preclinical studies and clinical trials insufficient to demonstrate that our current or future product candidates’ clinical and other benefits outweigh their safety risks;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left="1020" w:hanging="503"/>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applicable foreign regulatory agency may disagree with our interpretation of data from our preclinical studies and clinical trials;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not accept data generated at our preclinical studies and clinical trial sites;</w:t>
      </w:r>
    </w:p>
    <w:p>
      <w:pPr>
        <w:spacing w:after="0" w:line="15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FDA may require development of a Risk Evaluation and Mitigation Strategy, or REMS, as a condition of approval or post-approval;</w:t>
      </w:r>
    </w:p>
    <w:p>
      <w:pPr>
        <w:spacing w:after="0" w:line="128"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be delayed in its review processes due to staffing or other constraints arising from the ongoing COVID-19 pandemic;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our current or future product candidates. Any such setback in our pursuit of regulatory approval would have a material adverse effect on our business and prospects.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initiation or enrollment of patients in clinical trials, our receipt of necessary regulatory approvals could be delayed or prevented.</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There may be delays in trial initiation, and we may not be able to locate and enroll a sufficient number of eligible patients to participate in these trials as required by the FDA or similar regulatory authorities outside the U.S. Moreover, some of our competitors have ongoing clinical trials for current or future product candidates that treat the same patient populations as our current or future product candidates, and patients who would otherwise be eligible for our clinical trials may instead enroll in clinical trials of our competitors’ current or future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participants to enroll in our clinical trials in our countries of interest;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clinical trial in question;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an appropriate screening test for the indications we are pursuing;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and completion of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factors we may not be able to control, such as potential pandemics that may limit subjects, principal investigators or staff or clinical site availability (e.g., the outbreak of COVID-19).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jc w:val="both"/>
        <w:spacing w:after="0" w:line="26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including relating to our Phase 1 clinical trials of KT-474, KT-413, KT-333 and KT-253, may change as more patient data become available and are subject to audit and verification procedures that could result in material changes in the final data.</w:t>
      </w:r>
    </w:p>
    <w:p>
      <w:pPr>
        <w:spacing w:after="0" w:line="1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Interim data from clinical trials that we may complete, including data from of our Phase 1 trials of KT-474, KT-413, KT-333 and KT-253, are subject to the risk that one or more of the clinical outcomes may materially change as patient enrollment continues and more patient data become available or as patients from our clinical trials continue other treatments for their diseases.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79"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including our Phase 1 trials of KT-474, KT-413, KT-333 and KT-253, is based on what is typically extensive information, and you or others may not agree with what we determine is material or otherwise appropriate information to include in our disclosure.</w:t>
      </w:r>
    </w:p>
    <w:p>
      <w:pPr>
        <w:spacing w:after="0" w:line="16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Positive results from early preclinical studies and clinical trials of our current or future product candidates are not necessarily predictive of the results of later preclinical studies and clinical trials of our current or future product candidates. If we cannot replicate the positive results from our preclinical studies of our current or future product candidates in our future clinical trials, we may be unable to successfully develop, obtain regulatory approval for and commercialize our current or future product candidates.</w:t>
      </w:r>
    </w:p>
    <w:p>
      <w:pPr>
        <w:spacing w:after="0" w:line="18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Positive results from our preclinical studies of our current or future product candidates, and any positive results we may obtain from our early clinical trials of our current or future product candidates, including our Phase 1 trial of KT-474, may not necessarily be predictive of the results from required later preclinical studies and clinical trials. Similarly, even if we are able to complete our planned preclinical studies or clinical trials of our current or future product candidates according to our current development timeline, the positive results from such preclinical studies and clinical trials of our current or future product candidates, including our Phase 1 trial of KT-474, may not be replicated in subsequent preclinical studies or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w:t>
      </w:r>
    </w:p>
    <w:p>
      <w:pPr>
        <w:spacing w:after="0" w:line="17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Additionally, our planned or future clinical trials may utilize an “open-label” trial design, such as the open-label patient portion of our Phase 1 clinical trials of KT-474, KT-413, KT-333 and KT-253.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including our Phase 1 trials of KT-474, KT-413, KT-333 and KT-253, may not be predictive of future clinical trial results with any of our product candidates for which we include an open-label clinical trial when studied in a controlled environment with a placebo or active control.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6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precise incidence and prevalence for the indications being pursued by our current and future product candidates are currently unknown. Our projections of both the number of people who have these diseases, as well as the subset of people with these diseases who have the potential to benefit from treatment with our product candidates, are based on estimates. We are developing KT-474 for the treatment of a broad set of immunology-inflammation diseases, such as HS, an inflammatory skin disease, AD, and rheumatoid arthritis. The total addressable market opportunity for our product candidates will ultimately depend upon, among other things, their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or its variants, may materially and adversely affect our business and our financial results and could cause a disruption to the development of our product candidate.</w:t>
      </w:r>
    </w:p>
    <w:p>
      <w:pPr>
        <w:spacing w:after="0" w:line="170"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Public health crises such as pandemics or similar outbreaks could adversely impact our business. In December 2019, a novel strain of a virus named SARS-CoV-2 (severe acute respiratory syndrome coronavirus 2), or coronavirus, which causes COVID-19, surfaced in Wuhan, China and has since spread worldwide, including to Eastern Massachusetts where our primary office and laboratory space is located. The pandemic and policies and regulations implemented by governments in response to the pandemic, most of which have been lifted, have had a significant impact, both direct and indirect, on businesses and commerce. The coronavirus pandemic has evolved considerably, and led to the implementation of various responses, including government-imposed quarantines, travel restrictions and other public health safety measures. The extent to which the coronavirus or any future infectious disease impacts our operations or those of our third-party partners, including our preclinical studies or clinical trial operations, will also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spread of COVID-19 globally, including the ongoing identification of new variants of the virus, could adversely impact our preclinical or clinical trial operations in the U.S. and abroad, including our ability to recruit and retain patients and principal investigators and site staff who, as healthcare providers, may have heightened exposure to COVID-19 or other infectious diseases. For example, similar to other biopharmaceutical companies, we may experience delays in enrolling subjects in our clinical trials. Infectious diseases may also affect employees of third-party CROs located in affected geographies that we rely upon to carry out our clinical trials. In addition, the patient populations that our lead and other core product candidates target may be particularly susceptible to infectious diseases or its variants, which may make it more difficult for us to identify patients able to enroll in our clinical trials and may impact the ability of enrolled patients to complete any such trials. Any negative impact that the COVID-19 or future infectious disease spread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7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Additionally, timely enrollment in clinical trials is dependent upon clinical trial sites which will be adversely affected by global health matters, such as pandemics. Some factors from any public health crisis that may delay or otherwise adversely affect enrollment in the clinical trials of our product candidates, as well as our business generally, include:</w:t>
      </w:r>
    </w:p>
    <w:p>
      <w:pPr>
        <w:spacing w:after="0" w:line="76" w:lineRule="exact"/>
        <w:rPr>
          <w:sz w:val="20"/>
          <w:szCs w:val="20"/>
          <w:color w:val="auto"/>
        </w:rPr>
      </w:pPr>
    </w:p>
    <w:p>
      <w:pPr>
        <w:jc w:val="both"/>
        <w:ind w:left="1020" w:hanging="503"/>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75"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clinical trials;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jc w:val="both"/>
        <w:ind w:left="10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negative affect on the operations of our third-party manufacturers and the supply chain for our product candidates. For example, in February 2020, one of our vendors for active pharmaceutical ingredient, or API, starting materials based in Wuhan, China ceased its operations for several weeks due to the COVID-19 pandemic, which caused a minor delay in the delivery of API starting materials to a separate vendor who manufactures API;</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in global shipping affecting the transport of clinical trial materials, such as patient samples, investigational drug product and conditioning drugs and other supplies used in our current and prospective clinical trials; and</w:t>
      </w:r>
    </w:p>
    <w:p>
      <w:pPr>
        <w:spacing w:after="0" w:line="62"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8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cannot presently predict the scope and severity of additional planned and potential shutdowns or disruptions of businesses and government agencies, such as the SEC or FDA. For example, since March 2020, the FDA has been working to resume pre-pandemic levels of inspection activities, including routine surveillance, bioresearch monitoring and pre-approval inspections. Should the FDA determine that an inspection is necessary for approval of any NDAs we may submit and an inspection cannot be completed during the review cycle due to restrictions on travel at that time,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have announced receipt of complete response letters due to the FDA’s inability to complete required inspections for their applications. Regulatory authorities outside the U.S. may adopt similar restrictions or other policy measures in response to the COVID-19 or future pandemics and may experience delays in their regulatory activities.</w:t>
      </w:r>
    </w:p>
    <w:p>
      <w:pPr>
        <w:spacing w:after="0" w:line="18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These and other factors arising from the coronavirus could worsen. 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 Other global health concerns could also result in social, economic, and labor instability in the countries in which we or the third parties with whom we engage operate.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All of our product candidates are in preclinical or early clinical development, and there may be adverse effects from treatment with any of our current or future product candidates that we cannot predict at this time. 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inflammatory and autoimmune diseases, cancer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using our degrader molecules in any of our current or future clinical studies. There is also the potential risk of delayed adverse events following treatment using any of our current or future product candidates.</w:t>
      </w:r>
    </w:p>
    <w:p>
      <w:pPr>
        <w:spacing w:after="0" w:line="166"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These side effects could arise due to off-target activity, allergic reactions in trial subjects, or unwanted on-target effects in the body. Results of our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jc w:val="both"/>
        <w:ind w:firstLine="509"/>
        <w:spacing w:after="0" w:line="301" w:lineRule="auto"/>
        <w:rPr>
          <w:sz w:val="20"/>
          <w:szCs w:val="20"/>
          <w:color w:val="auto"/>
        </w:rPr>
      </w:pPr>
      <w:r>
        <w:rPr>
          <w:rFonts w:ascii="Arial" w:cs="Arial" w:eastAsia="Arial" w:hAnsi="Arial"/>
          <w:sz w:val="16"/>
          <w:szCs w:val="16"/>
          <w:color w:val="auto"/>
        </w:rPr>
        <w:t>Further,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49"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current or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such current or future product candidates are distributed or administered, conduct additional clinical trials or change the labeling of the current or future product candidates;</w:t>
      </w:r>
    </w:p>
    <w:p>
      <w:pPr>
        <w:spacing w:after="0" w:line="62"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to remove such current or future product candidates from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current or future product candidates; and</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Manufacturing our current or future product candidates is complex and we may encounter difficulties in production. If we encounter such difficulties, our ability to provide supply of our current or future product candidates for preclinical studies and clinical trials or for commercial purposes could be delayed or stopped.</w:t>
      </w:r>
    </w:p>
    <w:p>
      <w:pPr>
        <w:spacing w:after="0" w:line="18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The process of manufacturing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contract manufacturing organizations, or CMOs, may not be able to provide adequate resources or capacity to meet our needs and may incorporate their own proprietary processes into our product candidate manufacturing processes. We have limited control and oversight of a third party’s proprietary process, and a third party may elect to modify its process without our consent or knowledge. These modifications, such as any impacting the product formulation, could negatively impact our manufacturing, including by resulting in product loss or failure that requires additional manufacturing runs or a change in manufacturer, either of which could significantly increase the cost of and significantly delay the manufacture of our current or future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6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If any CMO with whom we contract fails to perform its obligations, we may be forced to enter into an agreement with a different CMO, which we may not be able to do on reasonable terms, if at all. This could significantly delay our clinical trials supply as we establish alternative supply sources. In some cases, the technical skills required to manufacture our product candidates or products, if approved,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which may further delay the timeframes under which modified manufacturing processes can be used for any of our current or future product candidates and additional bridging studies or trials may be required between our prior clinical supply used in our clinical trials and that of any new manufacturer.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Regulatory Approval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8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and future product candidates, we must obtain marketing approval from the regulatory authorities in the relevant jurisdictions. We have not received approval to market any of our current product candidates from regulatory authorities in any jurisdiction, and it is possible that none of our current product candidates, nor any product candidates we may seek to develop in the future, will ever obtain regulatory approval. As a company,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drug manufacturing process to, and inspection of manufacturing facilities and often clinical sites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6"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process of obtaining regulatory approvals, both in the U.S.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or equivalent application type outside the U.S.,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current or future product candidates could be delayed in receiving, or fail to receive, regulatory approval for many reasons, including the following</w:t>
      </w:r>
      <w:r>
        <w:rPr>
          <w:rFonts w:ascii="Arial" w:cs="Arial" w:eastAsia="Arial" w:hAnsi="Arial"/>
          <w:sz w:val="19"/>
          <w:szCs w:val="19"/>
          <w:color w:val="auto"/>
        </w:rPr>
        <w:t>:</w:t>
      </w:r>
    </w:p>
    <w:p>
      <w:pPr>
        <w:spacing w:after="0" w:line="49"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data collected from clinical trials of our current or future product candidates may not be sufficient to support the submission of an NDA or other submission or to obtain regulatory approval in the U.S. or elsewhere;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labeling claims necessary or desirable for the successful commercialization of that product candidate. Any of the foregoing scenarios could materially harm the commercial prospects for our current or future product candidates.</w:t>
      </w:r>
    </w:p>
    <w:p>
      <w:pPr>
        <w:spacing w:after="0" w:line="1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38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seek Breakthrough Therapy Designation and/or Fast Track Designation for any of our current or future product candidates. These designations, even if granted by the FDA, may not lead to a faster development, regulatory review or approval process, and such designations do not increase the likelihood that any of our product candidates will receive marketing approval in the United States.</w:t>
      </w:r>
    </w:p>
    <w:p>
      <w:pPr>
        <w:spacing w:after="0" w:line="16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therapies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or decide that the time period for FDA review or approval will not be shortened.</w:t>
      </w:r>
    </w:p>
    <w:p>
      <w:pPr>
        <w:spacing w:after="0" w:line="18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may seek Fast Track Designation for one or more of our current or future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seek approval of KT-474, KT-413, KT-333, KT-253 or any other future product candidate, where applicable, under the FDA’s accelerated approval pathway. This pathway may not lead to a faster development or regulatory review or approval process and it does not increase the likelihood that our product candidates will receive marketing approval.</w:t>
      </w:r>
    </w:p>
    <w:p>
      <w:pPr>
        <w:spacing w:after="0" w:line="184"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may seek accelerated approval of KT-474, KT-413, KT-333, KT-253 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accelerated approval, the FDA likely would require that we perform adequate and well-controlled post-marketing clinical trials, and under FDORA the FDA is now permitted to require, as appropriate, that such trials be underway prior to approval or within a specific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b w:val="1"/>
          <w:bCs w:val="1"/>
          <w:i w:val="1"/>
          <w:iCs w:val="1"/>
          <w:color w:val="auto"/>
        </w:rPr>
        <w:t>We have obtained orphan drug designation for some of our product candidates. We may also seek Orphan Drug Designation for certain of our other current or future product candidates, and we may be unsuccessful or may be unable to maintain the benefits associated with Orphan Drug Designation, including the potential for market exclusivity.</w:t>
      </w:r>
    </w:p>
    <w:p>
      <w:pPr>
        <w:spacing w:after="0" w:line="18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FDA has granted Orphan Drug Designation for KT-333 for the treatment of peripheral T cell lymphoma and cutaneous T cell lymphoma and for KT-253 for the treatment of acute myeloid leukemia. As part of our business strategy, we may also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7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7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U.S. and ten years in the European Union. The exclusivity period in the European Union can be reduced to six years if a drug no longer meets the criteria for Orphan Drug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9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8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the FDA issued an orphan designation before the enactment of FDARA but where product approval came after the enactment of FDARA.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current or future product candidates, we will be subject to ongoing obligations and continued regulatory review, which may result in significant additional expense. Additionally, our current or future product candidates, if approved, could be subject to labeling and other restrictions and market withdrawal and we may be subject to penalties if we fail to comply with regulatory requirements or experience unanticipated problems with our product candidates when and if any of them are approved.</w:t>
      </w:r>
    </w:p>
    <w:p>
      <w:pPr>
        <w:spacing w:after="0" w:line="17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the FDA or a comparable foreign regulatory authority approves any of our current or future product candidates, the manufacturing processes, labeling, packaging, distribution, tracking and tracing, adverse event reporting, storage, advertising, promotion and recordkeeping for the drug will be subject to extensive and ongoing regulatory requirements. These requirements include submissions of safety and other post-marketing information and reports, registration requirements, and continued compliance with cGMPs and Good Clinical Practices, or GCPs, for any clinical trials that we conduct post-approval. For certain commercial prescription drug products, manufacturers and other parties involved in the supply chain must also meet chain of distribution requirements and build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288" w:lineRule="auto"/>
        <w:rPr>
          <w:sz w:val="20"/>
          <w:szCs w:val="20"/>
          <w:color w:val="auto"/>
        </w:rPr>
      </w:pPr>
      <w:r>
        <w:rPr>
          <w:rFonts w:ascii="Arial" w:cs="Arial" w:eastAsia="Arial" w:hAnsi="Arial"/>
          <w:sz w:val="16"/>
          <w:szCs w:val="16"/>
          <w:color w:val="auto"/>
        </w:rPr>
        <w:t>electronic, interoperable systems for product tracking and tracing and for notifying the FDA of counterfeit, diverted, stolen and intentionally adulterated products or other products that are otherwise unfit for distribution in the United States.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 closely regulates the post-approval marketing and promotion of pharmaceutical and biological products to ensure such products are marketed only for the approved indications and in accordance with the provisions of the approved labeling.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60"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drug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6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current or future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Foreign Regulatory Approval and Foreign Markets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U.S., we may never receive regulatory approval to market our current or future product candidates outside of the U.S.</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plan to seek regulatory approval of our current or future product candidates outside of the U.S. In order to market any product outside of the U.S.,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current or future product candidates in such foreign markets. Any such impairment would reduce the size of our potential market, which could have a material adverse impact on our business, results of operations and prospects.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56" w:lineRule="exact"/>
        <w:rPr>
          <w:sz w:val="20"/>
          <w:szCs w:val="20"/>
          <w:color w:val="auto"/>
        </w:rPr>
      </w:pPr>
    </w:p>
    <w:p>
      <w:pPr>
        <w:ind w:left="10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 such that obtaining regulatory approvals outside of the U.S. may take longer and be more costly than obtaining approval in the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current or future product candidates in foreign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Foreign sales of our current or future product candidates could also be adversely affected by the imposition of governmental controls, political and economic instability, trade restrictions and changes in tariffs.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current or future product candidates outside the U.S., and the FDA and comparable foreign regulatory authorities may not accept data from such trials.</w:t>
      </w:r>
    </w:p>
    <w:p>
      <w:pPr>
        <w:spacing w:after="0" w:line="1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We may in the future choose to conduct one or more clinical trials outside the U.S., including in Europe.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w:t>
      </w:r>
    </w:p>
    <w:p>
      <w:pPr>
        <w:spacing w:after="0" w:line="1" w:lineRule="exact"/>
        <w:rPr>
          <w:sz w:val="20"/>
          <w:szCs w:val="20"/>
          <w:color w:val="auto"/>
        </w:rPr>
      </w:pPr>
    </w:p>
    <w:p>
      <w:pPr>
        <w:jc w:val="both"/>
        <w:ind w:firstLine="8"/>
        <w:spacing w:after="0" w:line="268" w:lineRule="auto"/>
        <w:tabs>
          <w:tab w:leader="none" w:pos="27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clinical trial that compares the cost-effectiveness of our product candidate to other available therapies. In addition, many countries outside the U.S. have limited government support programs that provide for reimbursement of drugs such as our product candidates, with an emphasis on private payors for access to commercial products. If reimbursement of our product candidates is unavailable or limited in scope or amount, or if pricing is set at unsatisfactory levels, our business could be materially harmed.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Compliance with Healthcare and Other Regulations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products for which we may obtain regulatory approval. In the U.S. and in other countries, sales of any products for which we may receive regulatory marketing approval for commercial sale will depend, in part, on the availability of coverage and reimbursement from third-party payors. Third-party payors include government healthcare programs (e.g., Medicare and Medicaid), managed care providers, private health insurers, health maintenance organizations and other organizations. These third-party payors decide which medications they will pay for and establish reimbursement levels. The availability of coverage and extent of reimbursement by governmental and other third-party payors is essential for most patients to be able to afford treatments such as targeted protein degradation therapies.</w:t>
      </w:r>
    </w:p>
    <w:p>
      <w:pPr>
        <w:spacing w:after="0" w:line="16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jc w:val="both"/>
        <w:spacing w:after="0" w:line="263" w:lineRule="auto"/>
        <w:rPr>
          <w:sz w:val="20"/>
          <w:szCs w:val="20"/>
          <w:color w:val="auto"/>
        </w:rPr>
      </w:pPr>
      <w:r>
        <w:rPr>
          <w:rFonts w:ascii="Arial" w:cs="Arial" w:eastAsia="Arial" w:hAnsi="Arial"/>
          <w:sz w:val="18"/>
          <w:szCs w:val="18"/>
          <w:color w:val="auto"/>
        </w:rPr>
        <w:t>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Private payors tend to follow CMS to a substantial degree. Factors payors consider in determining reimbursement are based on whether the product is:</w:t>
      </w:r>
    </w:p>
    <w:p>
      <w:pPr>
        <w:spacing w:after="0" w:line="84"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Our ability to commercialize any current or future product candidates successfully also will depend in part on the extent to which coverage and reimbursement for these current or future product candidates and related treatments will be available from government authorities, private health insurers and other organizations. Moreover, a payor’s decision to provide coverage for a product does not imply that an adequate reimbursement rate will be approved. We cannot be sure that coverage will be available for any product candidate that we commercialize. If coverage is available, but reimbursement is available only to limited levels, we may not be able to successfully commercialize any product candidate for which we obtain marketing approval.</w:t>
      </w:r>
    </w:p>
    <w:p>
      <w:pPr>
        <w:spacing w:after="0" w:line="16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the U.S.,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w:t>
      </w:r>
    </w:p>
    <w:p>
      <w:pPr>
        <w:spacing w:after="0" w:line="17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timely. Further, these prices for drugs may be reduced by mandatory discounts or rebates required by government healthcare programs.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p>
    <w:p>
      <w:pPr>
        <w:spacing w:after="0" w:line="17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4" w:name="page55"/>
    <w:bookmarkEnd w:id="54"/>
    <w:p>
      <w:pPr>
        <w:jc w:val="both"/>
        <w:spacing w:after="0" w:line="279" w:lineRule="auto"/>
        <w:rPr>
          <w:sz w:val="20"/>
          <w:szCs w:val="20"/>
          <w:color w:val="auto"/>
        </w:rPr>
      </w:pPr>
      <w:r>
        <w:rPr>
          <w:rFonts w:ascii="Arial" w:cs="Arial" w:eastAsia="Arial" w:hAnsi="Arial"/>
          <w:sz w:val="17"/>
          <w:szCs w:val="17"/>
          <w:color w:val="auto"/>
        </w:rPr>
        <w:t>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and future healthcare legislative reform measures may have a material adverse effect on our business and results of operations.</w:t>
      </w:r>
    </w:p>
    <w:p>
      <w:pPr>
        <w:spacing w:after="0" w:line="23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Changes in regulations, statutes or the interpretation of existing regulations could impact our business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6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expands the types of entities eligible for the 340B drug discount program, addresses a new methodology by which rebates owed by manufacturers under the Medicaid Drug Rebate Program are calculated for drugs that are inhaled, infused, instilled, implanted or injected, increases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6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Since its enactment, there have been judicial, administrative, executive and Congressional legislative challenges to certain aspects of the ACA, and we expect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w:t>
      </w:r>
    </w:p>
    <w:p>
      <w:pPr>
        <w:spacing w:after="0" w:line="117" w:lineRule="exact"/>
        <w:rPr>
          <w:sz w:val="20"/>
          <w:szCs w:val="20"/>
          <w:color w:val="auto"/>
        </w:rPr>
      </w:pPr>
    </w:p>
    <w:p>
      <w:pPr>
        <w:jc w:val="both"/>
        <w:ind w:left="1020" w:hanging="503"/>
        <w:spacing w:after="0" w:line="296"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August 2011, the Budget Control Act of 2011, among other things, created measures for spending reductions by Congress. Specifically, the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in April 2013, and, due to subsequent legislative amendments, will remain in effect through 2032 unless additional Congressional action is taken</w:t>
      </w:r>
    </w:p>
    <w:p>
      <w:pPr>
        <w:spacing w:after="0" w:line="53" w:lineRule="exact"/>
        <w:rPr>
          <w:rFonts w:ascii="Arial" w:cs="Arial" w:eastAsia="Arial" w:hAnsi="Arial"/>
          <w:sz w:val="16"/>
          <w:szCs w:val="16"/>
          <w:color w:val="auto"/>
        </w:rPr>
      </w:pPr>
    </w:p>
    <w:p>
      <w:pPr>
        <w:jc w:val="both"/>
        <w:ind w:left="1020" w:hanging="503"/>
        <w:spacing w:after="0" w:line="275"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The BBA also amended the ACA, effective January 1, 2019, by increasing the point-of-sale discount that is owed by pharmaceutical manufacturers who participate in Medicare Part D and closing the coverage gap in most Medicare drug plans, commonly referred to as the “donut hole.”</w:t>
      </w:r>
    </w:p>
    <w:p>
      <w:pPr>
        <w:spacing w:after="0" w:line="68"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5" w:name="page56"/>
    <w:bookmarkEnd w:id="55"/>
    <w:p>
      <w:pPr>
        <w:jc w:val="both"/>
        <w:ind w:left="1020" w:hanging="503"/>
        <w:spacing w:after="0" w:line="25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9" w:lineRule="exact"/>
        <w:rPr>
          <w:rFonts w:ascii="Arial" w:cs="Arial" w:eastAsia="Arial" w:hAnsi="Arial"/>
          <w:sz w:val="18"/>
          <w:szCs w:val="18"/>
          <w:color w:val="auto"/>
        </w:rPr>
      </w:pPr>
    </w:p>
    <w:p>
      <w:pPr>
        <w:jc w:val="both"/>
        <w:ind w:left="1020" w:hanging="503"/>
        <w:spacing w:after="0" w:line="25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August 2022, the Inflation Reduction Act of 2022, or IRA, was signed into law. The IRA includes several provisions that may impact our business to varying degrees, including provisions that establish a $2,000 out-of-pocket cap for Medicare Part D beneficiaries, impose new manufacturer financial liability on many drugs reimbursed under Medicare Part D, allow the U.S. government to negotiate Medicare Part B and Part D pricing for certain high-cost drugs and biologics without generic or biosimilar competition, and require companies to pay rebates to Medicare for drug prices that increase faster than inflation.</w:t>
      </w:r>
    </w:p>
    <w:p>
      <w:pPr>
        <w:spacing w:after="0" w:line="18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marketed products. Such scrutiny has resulted in several recent U.S. Congressional inquiries and has further resulted in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92" w:lineRule="exact"/>
        <w:rPr>
          <w:sz w:val="20"/>
          <w:szCs w:val="20"/>
          <w:color w:val="auto"/>
        </w:rPr>
      </w:pPr>
    </w:p>
    <w:p>
      <w:pPr>
        <w:jc w:val="both"/>
        <w:ind w:firstLine="559"/>
        <w:spacing w:after="0" w:line="287"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This deadline was pushed back to January 1, 2027 by the Bipartisan Safer Communities Act. The IRA further delayed implementation of this rule to January 1, 2032.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6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financial condition, results of operations and prospects.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which could negatively affect our business, financial condition, results of operations and prospects.</w:t>
      </w:r>
    </w:p>
    <w:p>
      <w:pPr>
        <w:spacing w:after="0" w:line="19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7"/>
          <w:szCs w:val="17"/>
          <w:b w:val="1"/>
          <w:bCs w:val="1"/>
          <w:i w:val="1"/>
          <w:i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6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 These laws may impact, among other things, the business or financial arrangements and relationships through which we market, sell and distribute any current or future product candidates for which we obtain marketing approval. Restrictions under applicable federal and state healthcare laws and regulations, include, among others:</w:t>
      </w:r>
    </w:p>
    <w:p>
      <w:pPr>
        <w:spacing w:after="0" w:line="66" w:lineRule="exact"/>
        <w:rPr>
          <w:sz w:val="20"/>
          <w:szCs w:val="20"/>
          <w:color w:val="auto"/>
        </w:rPr>
      </w:pPr>
    </w:p>
    <w:p>
      <w:pPr>
        <w:jc w:val="both"/>
        <w:ind w:left="1020" w:hanging="503"/>
        <w:spacing w:after="0" w:line="289"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any person or entity from knowingly and willfully soliciting, offering, receiving, providing or paying remuneration, directly or indirectly, overtly or covertly, in cash or in kind, to induce or reward, or in return for, either the referral of an individual for, or the purchase, lease, order or recommendation of, or arranging for, any item, good, facility, or service, for which payment may be made under a federal healthcare program such as Medicare and Medicaid. The federal Anti-Kickback Statute has been interpreted to apply to arrangements between manufacturers on the one hand and prescribers, purchasers, and formulary managers on the other. A person or entity does not need to have actual knowledge of the statute or specific intent to violate it in order to have committed a violation. Violations can result in significant civil monetary and criminal penalties for each violation, plus up to three times the amount of remuneration, imprisonment, and exclusion from government healthcare programs. Further, a violation of the federal Anti-Kickback Statute can also form the basis for False Claims Act liability or federal civil monetary penalties;</w:t>
      </w:r>
    </w:p>
    <w:p>
      <w:pPr>
        <w:spacing w:after="0" w:line="58" w:lineRule="exact"/>
        <w:rPr>
          <w:rFonts w:ascii="Arial" w:cs="Arial" w:eastAsia="Arial" w:hAnsi="Arial"/>
          <w:sz w:val="16"/>
          <w:szCs w:val="16"/>
          <w:color w:val="auto"/>
        </w:rPr>
      </w:pPr>
    </w:p>
    <w:p>
      <w:pPr>
        <w:jc w:val="both"/>
        <w:ind w:left="1020" w:hanging="503"/>
        <w:spacing w:after="0" w:line="289"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penalty laws, including the federal False Claims Act, which prohibits individuals or entities from knowingly presenting, or causing to be presented, to the federal government, claims for payment that are false or fraudulent or making a false statement to avoid, decrease or conceal an obligation to pay money to the federal government. Actions under the False Claims Act may be brought by the Attorney General or as a qui tam action by a private individual acting as a "whistle blower" in the name of the government permitting the whistleblower to share in any monetary recovery. Violations of the False Claims Act can result in very significant monetary penalties for each false claim and three times the amount of the government’s damages. Manufacturers can be held liable under the False Claims Act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or fraudulent claim for purposes of the False Claims Act;</w:t>
      </w:r>
    </w:p>
    <w:p>
      <w:pPr>
        <w:spacing w:after="0" w:line="58" w:lineRule="exact"/>
        <w:rPr>
          <w:rFonts w:ascii="Arial" w:cs="Arial" w:eastAsia="Arial" w:hAnsi="Arial"/>
          <w:sz w:val="16"/>
          <w:szCs w:val="16"/>
          <w:color w:val="auto"/>
        </w:rPr>
      </w:pPr>
    </w:p>
    <w:p>
      <w:pPr>
        <w:jc w:val="both"/>
        <w:ind w:left="1020" w:hanging="503"/>
        <w:spacing w:after="0" w:line="254"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additional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6" w:lineRule="exact"/>
        <w:rPr>
          <w:rFonts w:ascii="Arial" w:cs="Arial" w:eastAsia="Arial" w:hAnsi="Arial"/>
          <w:sz w:val="18"/>
          <w:szCs w:val="18"/>
          <w:color w:val="auto"/>
        </w:rPr>
      </w:pPr>
    </w:p>
    <w:p>
      <w:pPr>
        <w:jc w:val="both"/>
        <w:ind w:left="1020" w:hanging="503"/>
        <w:spacing w:after="0" w:line="255"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physician payment transparency laws, including the federal Physician Payment Sunshine Act created under the ACA, which requires manufacturers of certain drugs, devices, biologics and medical supplies, among others, to track and disclose payments under Medicare, Medicaid, or the Children’s Health Insurance Program (with certain exceptions) and other transfers of value they make to U.S. physicians (defined to include doctors, dentists, optometrists, podiatrists and chiropractors), other licensed healthcare professionals (physician assistants, nurse practitioners, clinical nurse specialists, certified registered nurse anesthetists and anesthesiologist assistants, and certified-nurse midwives), and teaching hospitals,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jc w:val="both"/>
        <w:ind w:left="1020"/>
        <w:spacing w:after="0" w:line="259" w:lineRule="auto"/>
        <w:rPr>
          <w:sz w:val="20"/>
          <w:szCs w:val="20"/>
          <w:color w:val="auto"/>
        </w:rPr>
      </w:pPr>
      <w:r>
        <w:rPr>
          <w:rFonts w:ascii="Arial" w:cs="Arial" w:eastAsia="Arial" w:hAnsi="Arial"/>
          <w:sz w:val="18"/>
          <w:szCs w:val="18"/>
          <w:color w:val="auto"/>
        </w:rPr>
        <w:t>as well as ownership and investment interests held by physicians and their immediate family members. This information is subsequently made publicly available in a searchable format on a CMS website. Failure to disclose required information may result in civil monetary penalties for all payments, transfers of value or ownership or investment interests that are not timely, accurately and completely reported in an annual submission;</w:t>
      </w:r>
    </w:p>
    <w:p>
      <w:pPr>
        <w:spacing w:after="0" w:line="79" w:lineRule="exact"/>
        <w:rPr>
          <w:sz w:val="20"/>
          <w:szCs w:val="20"/>
          <w:color w:val="auto"/>
        </w:rPr>
      </w:pPr>
    </w:p>
    <w:p>
      <w:pPr>
        <w:jc w:val="both"/>
        <w:ind w:left="1020" w:hanging="503"/>
        <w:spacing w:after="0" w:line="269"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implementing regulations, including the final omnibus rule published on January 25, 2013, which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73"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jc w:val="both"/>
        <w:ind w:left="1020" w:hanging="503"/>
        <w:spacing w:after="0" w:line="269" w:lineRule="auto"/>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analogous state law equivalents of each of the above U.S. federal laws, such as state anti-kickback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and/or registration of pharmaceutical sales representatives; state laws that require pharmaceutical companies to comply with the pharmaceutical industry’s voluntary compliance guidelines and the relevant compliance guidance promulgated by the federal government; and state laws governing the privacy and security of health information in certain circumstances, many of which differ from each other in significant ways and often are not preempted by HIPAA, thus complicating compliance efforts.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w:t>
      </w:r>
    </w:p>
    <w:p>
      <w:pPr>
        <w:spacing w:after="0" w:line="17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 If any of the physicians or other healthcare providers or entities with whom we expect to do business is found to be not in compliance with applicable laws, they may be subject to similar actions, penalties, and sanctions.</w:t>
      </w:r>
    </w:p>
    <w:p>
      <w:pPr>
        <w:spacing w:after="0" w:line="19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such as the U.K. Bribery Act 2010. Infringement of these laws could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18"/>
          <w:szCs w:val="18"/>
          <w:color w:val="auto"/>
        </w:rPr>
        <w:t>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 laws.</w:t>
      </w:r>
    </w:p>
    <w:p>
      <w:pPr>
        <w:spacing w:after="0" w:line="170"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9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jc w:val="both"/>
        <w:ind w:firstLine="509"/>
        <w:spacing w:after="0" w:line="296" w:lineRule="auto"/>
        <w:rPr>
          <w:sz w:val="20"/>
          <w:szCs w:val="20"/>
          <w:color w:val="auto"/>
        </w:rPr>
      </w:pPr>
      <w:r>
        <w:rPr>
          <w:rFonts w:ascii="Arial" w:cs="Arial" w:eastAsia="Arial" w:hAnsi="Arial"/>
          <w:sz w:val="16"/>
          <w:szCs w:val="16"/>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70"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spacing w:after="0" w:line="41" w:lineRule="exact"/>
        <w:rPr>
          <w:sz w:val="20"/>
          <w:szCs w:val="20"/>
          <w:color w:val="auto"/>
        </w:rPr>
      </w:pPr>
    </w:p>
    <w:p>
      <w:pPr>
        <w:jc w:val="both"/>
        <w:ind w:left="102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current or future product candidates by the FDA or other applicable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clinical indications for which our current or future product candidates are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and perceived advantages of our current or future product candidates over current treatment options or alternative treatments, including future alternative treatments;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or treatment methods and of physicians to prescribe these therapies or methods;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need to dose such product candidates in combination with other therapeutic agents, and related costs;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increase awareness of our current or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7"/>
          <w:szCs w:val="17"/>
          <w:color w:val="auto"/>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drugs before or more successfully than we do.</w:t>
      </w:r>
    </w:p>
    <w:p>
      <w:pPr>
        <w:spacing w:after="0" w:line="26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patent protection and establish collaborative arrangements for research, development, manufacturing and commercialization of new drugs.</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Competitors in our efforts to develop small molecule protein degraders therapies for patients, include, but are not limited to, Arvinas, Inc., C4 Therapeutics, Inc., Foghorn Therapeutics Inc. and Nurix Therapeutics, Inc., some of which have entered clinical development. Further, several large pharmaceutical companies have disclosed preclinical and clinical investments in this field. Our competitors will also include companies that are or will be developing other targeted protein degradation methods as well as small molecule, antibody, or gene therapies for the same indications that we are targeting. In addition to the competitors we face in developing small molecule protein degraders, we will also face competition in the indications we expect to pursue with our IRAK4, IRAKIMiD, STAT3 and MDM2 programs. Many of these indications already have approved standards of care which may include more traditional therapeutic modalities. In order to compete effectively with these existing therapies, we will need to demonstrate that our protein degrader therapies are favorable to existing therapeutics.</w:t>
      </w:r>
    </w:p>
    <w:p>
      <w:pPr>
        <w:spacing w:after="0" w:line="1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Many of our current or future competitors have significantly greater financial resources and expertise in research and development, manufacturing, preclinical testing, conducting clinical trials, obtaining regulatory approvals and reimbursement and marketing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registration for clinical trials, as well as in acquiring technologies complementary to, or necessary for, our programs.</w:t>
      </w:r>
    </w:p>
    <w:p>
      <w:pPr>
        <w:spacing w:after="0" w:line="195"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70" w:lineRule="exact"/>
        <w:rPr>
          <w:sz w:val="20"/>
          <w:szCs w:val="20"/>
          <w:color w:val="auto"/>
        </w:rPr>
      </w:pPr>
    </w:p>
    <w:p>
      <w:pPr>
        <w:jc w:val="both"/>
        <w:ind w:firstLine="563"/>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79"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jc w:val="both"/>
        <w:spacing w:after="0" w:line="263"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do not currently have a sales or marketing infrastructure and have no experience in the sales, marketing, patient support or distribution of drugs.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spacing w:after="0" w:line="18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current or future product candidates on our own include:</w:t>
      </w:r>
    </w:p>
    <w:p>
      <w:pPr>
        <w:spacing w:after="0" w:line="117"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1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preclinical studies and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8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utilize and depend upon independent investigators and collaborators, such as medical institutions, CROs, contract manufacturing organizations and strategic partners to help conduct our preclinical studies. We do not have the ability to independently conduct clinical trials. We rely on medical institutions, clinical investigators, contract laboratories, and other third parties, including collaboration partners, to conduct or otherwise support clinical trials for our current product candidates, and we expect to rely on such third parties for our future product candidates. We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preclinical studies or clinical trials, we could be subject to untitled and warning letters or enforcement action that may include civil penalties up to and including criminal prosecution.</w:t>
      </w:r>
    </w:p>
    <w:p>
      <w:pPr>
        <w:spacing w:after="0" w:line="19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and any third parties that we contract with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spacing w:after="0" w:line="289" w:lineRule="auto"/>
        <w:rPr>
          <w:sz w:val="20"/>
          <w:szCs w:val="20"/>
          <w:color w:val="auto"/>
        </w:rPr>
      </w:pPr>
      <w:r>
        <w:rPr>
          <w:rFonts w:ascii="Arial" w:cs="Arial" w:eastAsia="Arial" w:hAnsi="Arial"/>
          <w:sz w:val="16"/>
          <w:szCs w:val="16"/>
          <w:color w:val="auto"/>
        </w:rPr>
        <w:t>and comparable foreign regulatory authorities for any drugs in clinical development. The FDA enforces GCP requirements through periodic inspections of clinical trial sponsors, principal investigators and trial sites. If we or the third parties we contract with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will comply with GCP. In addition, our clinical trials must be conducted with current or future product candidates produced under cGMP regulations. Our failure or the failure of third parties that we may contract with to comply with these regulations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6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Although we designed the Phase 1 trials of KT-474, KT-413, KT-333 and KT-253, and intend to design other clinical trials for our current or future product candidates, or be involved in the design when other parties sponsor the trials, we anticipate that third parties will conduct all of our clinical trials. As a result, many important aspects of our clinical development, including their conduct, timing and response to the COVID-19 pandemic or any future pandemics, will be outside of our direct control. Our reliance on third parties to conduct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56"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regulatory compliance issues;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clinical trials we conduct and this could significantly delay commercialization and require significantly greater expenditures.</w:t>
      </w:r>
    </w:p>
    <w:p>
      <w:pPr>
        <w:spacing w:after="0" w:line="195"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 prospects for our current or future product candidates in the subject indication would be harmed, our costs could increase and our ability to generate revenue could be delayed.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API, drug product, and starting materials used in our product candidates are limited in number, and the loss of any of these suppliers could significantly harm our business.</w:t>
      </w:r>
    </w:p>
    <w:p>
      <w:pPr>
        <w:spacing w:after="0" w:line="17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 For example, in February 2020, one of our vendors for API starting materials based in Wuhan, China ceased its operations for several weeks due to the COVID-19 pandemic, which caused a minor delay in the delivery of API starting materials to a separate vendor who manufactures API.</w:t>
      </w:r>
    </w:p>
    <w:p>
      <w:pPr>
        <w:spacing w:after="0" w:line="19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For all of our current or future product candidates, we intend to identify and qualify additional manufacturers to provide such API, drug product and drug substance prior to submission of an NDA to the FDA and/or an MAA to the EMA. We are not certain, however,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jc w:val="both"/>
        <w:spacing w:after="0" w:line="279" w:lineRule="auto"/>
        <w:rPr>
          <w:sz w:val="20"/>
          <w:szCs w:val="20"/>
          <w:color w:val="auto"/>
        </w:rPr>
      </w:pPr>
      <w:r>
        <w:rPr>
          <w:rFonts w:ascii="Arial" w:cs="Arial" w:eastAsia="Arial" w:hAnsi="Arial"/>
          <w:sz w:val="17"/>
          <w:szCs w:val="17"/>
          <w:color w:val="auto"/>
        </w:rPr>
        <w:t>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7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Establishing additional or replacement suppliers for the drug product and drug substance used in our current or future product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drug product and drug substance used in our current or future product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7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success is dependent on our executive management team’s ability to successfully pursue business development, strategic partnerships and investment opportunities as our company matures. We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3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have entered into collaboration and licensing arrangements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8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1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Further, collaborations involving our technologies or current or future product candidates are subject to numerous risks, which may include the following:</w:t>
      </w:r>
    </w:p>
    <w:p>
      <w:pPr>
        <w:spacing w:after="0" w:line="62"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8"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current or future product candidates;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5"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left="1020" w:hanging="503"/>
        <w:spacing w:after="0" w:line="277"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collaborators may not pay milestones and royalties due to the company in a timely manner.</w:t>
      </w:r>
    </w:p>
    <w:p>
      <w:pPr>
        <w:spacing w:after="0" w:line="22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As a result, we may not be able to realize the benefit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preclinical and clinical programs and suspension or withdrawal of any regulatory approvals.</w:t>
      </w:r>
    </w:p>
    <w:p>
      <w:pPr>
        <w:spacing w:after="0" w:line="184"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clinical trials or the termination of or suspension of a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7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commercial success depends in part on our ability to obtain and maintain patent or other intellectual property protection in the U.S. and other</w:t>
      </w:r>
    </w:p>
    <w:p>
      <w:pPr>
        <w:spacing w:after="0" w:line="4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countries for our current or future product candidates and our core technologies, including our proprietary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our initial IRAK4, IRAKIMiD, STAT3 and MDM2 programs, which are our four most advanced development programs, as well as our proprietary compound library and other know-how. We seek to protect our proprietary and intellectual property position by, among other methods, filing patent applications in the U.S. and abroad related to our proprietary technology, inventions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improvements that are important to the development and implementation of our business. We also rely on trade secrets, know-how and continuing technological innovation to develop and maintain our proprietary and intellectual property position.</w:t>
      </w:r>
    </w:p>
    <w:p>
      <w:pPr>
        <w:spacing w:after="0" w:line="170"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We own patent applications and one patent related to our platform E3 ligase ligand technology and our novel bifunctional degrader compounds, including claims to compositions of matter, pharmaceutical compositions, methods of use, methods of treatment, and other related methods.</w:t>
      </w:r>
    </w:p>
    <w:p>
      <w:pPr>
        <w:spacing w:after="0" w:line="12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June 30, 2023, our patent portfolio covering novel compounds, and the methods of making and using thereof, included 86 patent families. Patent term adjustments, supplementary protection certificate filings, or patent term extensions could result in later expiration dates in various countries, while terminal disclaimers could result in earlier expiration dates in the U.S.</w:t>
      </w:r>
    </w:p>
    <w:p>
      <w:pPr>
        <w:spacing w:after="0" w:line="1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7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w:t>
      </w:r>
    </w:p>
    <w:p>
      <w:pPr>
        <w:jc w:val="both"/>
        <w:spacing w:after="0" w:line="234" w:lineRule="auto"/>
        <w:rPr>
          <w:sz w:val="20"/>
          <w:szCs w:val="20"/>
          <w:color w:val="auto"/>
        </w:rPr>
      </w:pPr>
      <w:r>
        <w:rPr>
          <w:rFonts w:ascii="Arial" w:cs="Arial" w:eastAsia="Arial" w:hAnsi="Arial"/>
          <w:sz w:val="18"/>
          <w:szCs w:val="18"/>
          <w:color w:val="auto"/>
        </w:rPr>
        <w:t>that any of our pending patent applications that mature into issued patents will include claims with a scope sufficient to protect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205"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 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7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in other countries. In addition, we may be subject to third-party submissions to the USPTO, the EPO, or elsewhere, that may reduce the scope or preclude the granting of claims from our pending patent applications. Competitors may challenge our issued patents or may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jc w:val="both"/>
        <w:spacing w:after="0" w:line="296" w:lineRule="auto"/>
        <w:rPr>
          <w:sz w:val="20"/>
          <w:szCs w:val="20"/>
          <w:color w:val="auto"/>
        </w:rPr>
      </w:pPr>
      <w:r>
        <w:rPr>
          <w:rFonts w:ascii="Arial" w:cs="Arial" w:eastAsia="Arial" w:hAnsi="Arial"/>
          <w:sz w:val="16"/>
          <w:szCs w:val="16"/>
          <w:color w:val="auto"/>
        </w:rPr>
        <w:t>file patent applications before we do. Competitors may also claim that we are infringing their patents and that we therefore cannot practice our technology as claimed under our patents or patent applications. Competitors may also contest our patents by showing an administrative patent authority or judge that the invention was not patent-eligible, was not novel, was obvious, and/or lacked inventive step,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6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 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194"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will not obtain patent or other intellectual property protection for all current or future product candidates in all jurisdictions throughout the world, and we may not be able to adequately enforce our intellectual property rights even in the jurisdictions where we seek protection.</w:t>
      </w:r>
    </w:p>
    <w:p>
      <w:pPr>
        <w:spacing w:after="0" w:line="15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We may not be able to pursue patent coverage of our current or future product candidates, the Pegasus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or other technologies in all countries. Filing, prosecuting and defending patents on current or future product candidates, the Pegasus</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platform,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color w:val="auto"/>
        </w:rPr>
        <w:t>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may not obtain or grant licenses or sublicenses to intellectual property rights in all markets on equally or sufficiently favorable terms with third parties.</w:t>
      </w:r>
    </w:p>
    <w:p>
      <w:pPr>
        <w:spacing w:after="0" w:line="1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84"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are dependent on patents, know-how and proprietary technology, both our own and in-licensed from Sanofi and other collaborators. Our commercial success depends upon our ability to develop, manufacture, market and sell our current or future product candidates and use our and our licensors’ proprietary technologies without infringing the proprietary rights of third parties. Sanofi and other collaborators may have the right to terminate their respective license agreements in full in the event that we materially breach or default in the performance of any of the obligations under such license agreements. Any termination of these licenses, or if the underlying patents fail to provide the intended exclusivity, could result in the loss of significant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rights and could harm our ability to commercialize our current or future product candidates, the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or other technologies,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20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Disputes may also arise between us and our current or future licensors regarding intellectual property subject to a license agreement, including:</w:t>
      </w:r>
    </w:p>
    <w:p>
      <w:pPr>
        <w:spacing w:after="0" w:line="140"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are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current or future licensors and us and our partners.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8" w:name="page69"/>
    <w:bookmarkEnd w:id="68"/>
    <w:p>
      <w:pPr>
        <w:jc w:val="both"/>
        <w:ind w:firstLine="509"/>
        <w:spacing w:after="0" w:line="291" w:lineRule="auto"/>
        <w:rPr>
          <w:sz w:val="20"/>
          <w:szCs w:val="20"/>
          <w:color w:val="auto"/>
        </w:rPr>
      </w:pPr>
      <w:r>
        <w:rPr>
          <w:rFonts w:ascii="Arial" w:cs="Arial" w:eastAsia="Arial" w:hAnsi="Arial"/>
          <w:sz w:val="16"/>
          <w:szCs w:val="16"/>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3"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file patent applications covering a particular invention;</w:t>
      </w:r>
    </w:p>
    <w:p>
      <w:pPr>
        <w:spacing w:after="0" w:line="12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jc w:val="both"/>
        <w:ind w:left="1020" w:hanging="503"/>
        <w:spacing w:after="0" w:line="311" w:lineRule="auto"/>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40" w:lineRule="exact"/>
        <w:rPr>
          <w:rFonts w:ascii="Arial" w:cs="Arial" w:eastAsia="Arial" w:hAnsi="Arial"/>
          <w:sz w:val="16"/>
          <w:szCs w:val="16"/>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licenses on reasonable terms or at all;</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Patent Protection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4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6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current or future product candidates.</w:t>
      </w:r>
    </w:p>
    <w:p>
      <w:pPr>
        <w:spacing w:after="0" w:line="26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are therefore costly, time consuming and inherently uncertain.</w:t>
      </w:r>
    </w:p>
    <w:p>
      <w:pPr>
        <w:spacing w:after="0" w:line="1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Trademarks, Trade Names and Trade Secrets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or less effective trademarks or tradenames in different countries, or face other potentially adverse consequences to building our product brand recognition.</w:t>
      </w:r>
    </w:p>
    <w:p>
      <w:pPr>
        <w:spacing w:after="0" w:line="1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trademarks or trade name may be challenged, infringed, diluted, circumvented, declared generic, or determined to be infringing on other marks. In such a circumstance, we may not be able to protect our rights to these marks or may be forced to stop using product names, which we need for name recognition by potential partners and customers in our markets of interest.</w:t>
      </w:r>
    </w:p>
    <w:p>
      <w:pPr>
        <w:spacing w:after="0" w:line="1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during the trademark registration process, we may receive Office Actions from the USPTO or from comparable agencies in foreign jurisdictions refusing registration of our trademarks. For example, in April 2021 and October 2022, respectively, the USPTO issued preliminary office action refusals against our applications to register E3 LIGASE WHOLE BODY ATLAS and E3 HUMAN ATLAS and our K &amp; Design logo mark. While E3 LIGASE WHOLE BODY ATLAS and E3 HUMAN ATLAS have since been published and notices of allowance issued, we do not yet know whether the USPTO will issue a subsequent office action against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color w:val="auto"/>
        </w:rPr>
        <w:t>our application for our logo mark, to which we will have to respond, and which we may not ultimately be able to overcome, or if this application will be approved for publication as well.</w:t>
      </w:r>
    </w:p>
    <w:p>
      <w:pPr>
        <w:spacing w:after="0" w:line="170"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In the USPTO and in comparable agencies in many foreign jurisdictions, third parties are also given an opportunity to oppose pending trademark applications and/or to seek the cancellation of registered trademarks. For example, in November 2019, Novartis AG filed actions in the U.S. and European Union trademark offices opposing our applications to register KYMERA and KYMERA THERAPEUTICS for pharmaceuticals and drug development services on the basis of its claimed rights in the KYMRIAH mark. This dispute was amicably settled in October 2020 and the involved applications for KYMERA and KYMERA THERAPEUTICS are now registered or allowed in the United States and have proceeded to registration in the European Union.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66"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6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Intellectual Property Litigation and Infringement Claims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1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Competitors may infringe any intellectual property we may own or in-license, including our patents and trademarks. In addition, any intellectual property we may own or in-license also may become the subject of a dispute, including those based on inventorship, priority, validity or unenforceability.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any intellectual property we may own or in-license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or other intellectual property we may own or in-license at risk of being invalidated, held unenforceable, or interpreted narrowly and could put our own applications at risk of not issuing. Such litigation or proceedings could substantially increase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18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may not be able to detect infringement against any intellectual property we may own or in-license. Even if we detect infringement by a third party of any intellectual property we may own or in-license, we may choose not to pursue litigation against or settlement with the third party. If we later sue such third party for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or other intellectual property we may own or in-license against such third party.</w:t>
      </w:r>
    </w:p>
    <w:p>
      <w:pPr>
        <w:spacing w:after="0" w:line="17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Intellectual property litigation and administrative office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In August 2021, we initiated a US patent office proceeding, a post-grant review, to challenge a third-party patent unrelated to our current product candidates. In response, the owner of the challenged third-party patent disclaimed that patent in full. We may challenge additional third-party patents in the future.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such disputes could adversely impact our business reputation and/or protection of our proprietary technology.</w:t>
      </w:r>
    </w:p>
    <w:p>
      <w:pPr>
        <w:spacing w:after="0" w:line="18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jc w:val="both"/>
        <w:spacing w:after="0" w:line="284" w:lineRule="auto"/>
        <w:rPr>
          <w:sz w:val="20"/>
          <w:szCs w:val="20"/>
          <w:color w:val="auto"/>
        </w:rPr>
      </w:pPr>
      <w:r>
        <w:rPr>
          <w:rFonts w:ascii="Arial" w:cs="Arial" w:eastAsia="Arial" w:hAnsi="Arial"/>
          <w:sz w:val="16"/>
          <w:szCs w:val="16"/>
          <w:color w:val="auto"/>
        </w:rPr>
        <w:t>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current or future product candidates, the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the Pegasus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platform, or other technologies, are rightfully owned by their former or concurrent employer. Litigation may be necessary to defend against these claims.</w:t>
      </w:r>
    </w:p>
    <w:p>
      <w:pPr>
        <w:spacing w:after="0" w:line="19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62" w:lineRule="exact"/>
        <w:rPr>
          <w:sz w:val="20"/>
          <w:szCs w:val="20"/>
          <w:color w:val="auto"/>
        </w:rPr>
      </w:pPr>
    </w:p>
    <w:p>
      <w:pPr>
        <w:ind w:left="10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62"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75" w:lineRule="exact"/>
        <w:rPr>
          <w:rFonts w:ascii="Arial" w:cs="Arial" w:eastAsia="Arial" w:hAnsi="Arial"/>
          <w:sz w:val="18"/>
          <w:szCs w:val="18"/>
          <w:color w:val="auto"/>
        </w:rPr>
      </w:pPr>
    </w:p>
    <w:p>
      <w:pPr>
        <w:jc w:val="both"/>
        <w:ind w:left="1020" w:hanging="503"/>
        <w:spacing w:after="0" w:line="239"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or future product candidates, or from using our proprietary technologies, including our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unless the third-party licenses its product rights to us, which it is not required to do on commercially reasonable terms or at all;</w:t>
      </w:r>
    </w:p>
    <w:p>
      <w:pPr>
        <w:spacing w:after="0" w:line="95"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62" w:lineRule="exact"/>
        <w:rPr>
          <w:rFonts w:ascii="Arial" w:cs="Arial" w:eastAsia="Arial" w:hAnsi="Arial"/>
          <w:sz w:val="18"/>
          <w:szCs w:val="18"/>
          <w:color w:val="auto"/>
        </w:rPr>
      </w:pPr>
    </w:p>
    <w:p>
      <w:pPr>
        <w:ind w:left="1020" w:hanging="503"/>
        <w:spacing w:after="0" w:line="308"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4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Some of our competitors may be able to sustain the costs of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our business, results of operations, financial condition and prospects. The occurrence of any of the foregoing could have a material adverse effect on our business, financial condition, results of operations or prospects.</w:t>
      </w:r>
    </w:p>
    <w:p>
      <w:pPr>
        <w:spacing w:after="0" w:line="170"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w:t>
      </w:r>
    </w:p>
    <w:p>
      <w:pPr>
        <w:spacing w:after="0" w:line="10"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or Pegasus</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platform may be impaired or delayed, which could in turn significantly harm our business. Even if we obtain a license, it may be nonexclusive, thereby giving our competitors access to the same technologies licensed to us.</w:t>
      </w:r>
    </w:p>
    <w:p>
      <w:pPr>
        <w:spacing w:after="0" w:line="20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or technologies, which could harm our business significantly.</w:t>
      </w:r>
    </w:p>
    <w:p>
      <w:pPr>
        <w:spacing w:after="0" w:line="19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2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jc w:val="both"/>
        <w:spacing w:after="0" w:line="257" w:lineRule="auto"/>
        <w:rPr>
          <w:sz w:val="20"/>
          <w:szCs w:val="20"/>
          <w:color w:val="auto"/>
        </w:rPr>
      </w:pPr>
      <w:r>
        <w:rPr>
          <w:rFonts w:ascii="Arial" w:cs="Arial" w:eastAsia="Arial" w:hAnsi="Arial"/>
          <w:sz w:val="18"/>
          <w:szCs w:val="18"/>
          <w:color w:val="auto"/>
        </w:rPr>
        <w:t>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8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Employee Matters and Managing Growth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are highly dependent on the research and development, clinical and business development expertise of Nello Mainolfi, Ph.D., our President and Chief Executive Officer, Jared Gollob, M.D., our Chief Medical Officer, Bruce Jacobs, our Chief Financial Officer and Ellen Chiniara, our Chief Legal Officer, as well as the other principal members of our management, scientific and clinical teams.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8"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As of June 30, 2023, we had 181 full-time employees, and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5" w:name="page76"/>
    <w:bookmarkEnd w:id="75"/>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unforeseen global events, natural disasters, and our business continuity and disaster recovery plans may not adequately protect us from a serious disaster.</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Unforeseen global events, such as increasing inflation and interest rates and the related U.S. and global economic impact or the 2022 Russian invasion of Ukraine, could adversely impact our business. Such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71"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Additionally, any unplanned event, such as flood, fire, explosion, earthquake, extreme weather condition, medical epidemics, including any potential effects from the current global spread of COVID-19,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Natural disasters or pandemics such as the COVID-19 pandemic could further disrupt our operations, and have a material and adverse effect on our business, financial condition, results of operations and prospects. For example, we have instituted a temporary work from home policy for non-essential office personnel and it is possible that this could have a negative impact on the execution of our business plans and operations.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Data and Privacy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current or future product candidates’ development programs.</w:t>
      </w:r>
    </w:p>
    <w:p>
      <w:pPr>
        <w:spacing w:after="0" w:line="17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security breach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46"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jc w:val="both"/>
        <w:spacing w:after="0" w:line="273" w:lineRule="auto"/>
        <w:rPr>
          <w:sz w:val="20"/>
          <w:szCs w:val="20"/>
          <w:color w:val="auto"/>
        </w:rPr>
      </w:pPr>
      <w:r>
        <w:rPr>
          <w:rFonts w:ascii="Arial" w:cs="Arial" w:eastAsia="Arial" w:hAnsi="Arial"/>
          <w:sz w:val="17"/>
          <w:szCs w:val="17"/>
          <w:color w:val="auto"/>
        </w:rPr>
        <w:t>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EU General Data Protection Regulation, or GDPR) and may cause a material adverse impact to our reputation, affect our ability to use collected data, conduct new studies and potentially disrupt our business.</w:t>
      </w:r>
    </w:p>
    <w:p>
      <w:pPr>
        <w:spacing w:after="0" w:line="17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intend to sublease our current space in Watertown, Massachusetts for occupancy after we move to our new facility. If we are unable to sublease our space on favorable terms or if our subtenants are unable to meet their obligations under any sublease, we may be responsible for unexpected costs, which could impact our financial performance.</w:t>
      </w:r>
    </w:p>
    <w:p>
      <w:pPr>
        <w:spacing w:after="0" w:line="18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currently lease 34,522 square feet of research and development and office space in Watertown, Massachusetts, which lease expires on March 31, 2030. In December 2021, we entered into a lease for 100,624 square feet of office and laboratory space in Watertown, Massachusetts, which we expect to begin occupying in November 2023. We intend to sublease our current space to third parties after we have completed the move to our new facility. In the event that we are unable to sublease our excess space on favorable terms, or at all, or if we are able to sublease our space but our subtenants fail to make lease payments to us or otherwise default on their obligations to us, we could incur unanticipated payment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price of our common stock has been and may continue to be volatile and fluctuate substantially, and investors may lose all or part of their investment.</w:t>
      </w:r>
    </w:p>
    <w:p>
      <w:pPr>
        <w:spacing w:after="0" w:line="17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stock price has been volatile and may continue to be subject to wide fluctuations in response to various factors. The stock market in general and the market for biopharmaceutical companies in particular have experienced extreme volatility that has often been unrelated to the operating performance of particular companies., including in connection with developments related to COVID-19, the conflict between Russia and Ukraine and related sanctions against Russia, increasing inflation rates, and interest rate changes, which have resulted in decreased stock prices for many companies notwithstanding the lack of a fundamental change in their underlying business models or prospects. As a result of this volatility, you may lose all or part of your investment. The market price for our common stock may be influenced by many factors, including:</w:t>
      </w:r>
    </w:p>
    <w:p>
      <w:pPr>
        <w:spacing w:after="0" w:line="70" w:lineRule="exact"/>
        <w:rPr>
          <w:sz w:val="20"/>
          <w:szCs w:val="20"/>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current or future product candidates or those of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current or future product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current or future product candidates or drugs;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announcements regarding our collaboration agreements, including announcements regarding our collaboration agreement with Sanofi;</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00" w:lineRule="exact"/>
        <w:rPr>
          <w:sz w:val="20"/>
          <w:szCs w:val="20"/>
          <w:color w:val="auto"/>
        </w:rPr>
      </w:pPr>
    </w:p>
    <w:p>
      <w:pPr>
        <w:spacing w:after="0" w:line="24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shares of our common stock to fluctuate substantially, regardless of our actual operating performance, which may limit or prevent investors from selling their shares at or above the price paid for the shares and may otherwise negatively affect the liquidity of our common stock. The realization of any of the above risks or any of a broad range of other risks, including those described in this section, could have a significant and material adverse impact on the market price of our common stock. The price of our common stock may be disproportionately affected as investors may favor traditional profit-making industries and companies during the times of market uncertainty and instability.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As widely reported, global credit and financial markets have experienced extreme volatility and disruptions in the past several years, including severely diminished liquidity and credit availability, declines in consumer confidence, declines in economic growth, increases in unemployment rates and uncertainty about economic stability, including most recently in connection with the recent COVID-19 pandemic.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7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current or future product candidates.</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95"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have control over these analysts. Although we have obtained research coverage from certain analysts, there can be no assurance that analysts will continue to cover us or provide favorable coverage. If one or more of the analysts covering our business downgrade their evaluations of our stock, the price of our stock could decline. In addition, if one or more of these analysts cease to cover our stock, we could lose visibility in the market for our stock, which in turn could cause our stock price to decline.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exercise significant influence over our company, which will limit your ability to influence corporate matters and could delay or prevent a change in corporate control.</w:t>
      </w:r>
    </w:p>
    <w:p>
      <w:pPr>
        <w:spacing w:after="0" w:line="1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As of June 30, 2023, the existing holdings of our executive officers, directors, principal stockholders and their affiliates represent beneficial ownership, in the aggregate, of approximately 31% of our outstanding common stock.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This may prevent or discourage unsolicited acquisition proposals or offers for our common stock that you may feel are in your best interest as one of our stockholders. Some of these persons or entities may have interests different than yours. For example, because many of these stockholders purchased their shares at prices substantially below the current trading price of our stock and have held their shares for a longer period, they may be more interested in selling our Company to an acquirer than other investors or they may want us to pursue strategies that deviate from the interests of other stockholders. Additionally, from time to time, any of our non-affiliated shareholders may accumulate or acquire significant positions in our common stock and may similarly be able to influence our business or matters submitted to our stockholders for approval.</w:t>
      </w:r>
    </w:p>
    <w:p>
      <w:pPr>
        <w:spacing w:after="0" w:line="18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concentration of voting power among these stockholders may also have an adverse effect on the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w:t>
      </w:r>
    </w:p>
    <w:p>
      <w:pPr>
        <w:spacing w:after="0" w:line="14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Certain holders of our common stock have rights, subject to conditions, to require us to file registration statements covering their shares or to include their shares in registration statements that we may file for ourselves or other stockholders. We have also filed registration statements on Form S-8 registering the issuance of shares of common stock issued or reserved for future issuance under our equity compensation plans. Shares registered under this registration statement on Form S-8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investors’ sole source of gain.</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investors’ sole source of gain for the foreseeable future.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22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 in substantial costs and a diversion of management’s attention and resources, which could harm our business. Additionally,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22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18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Additional changes to U.S. federal income tax law are currently being contemplated, and 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future taxable income may be subject to certain limitations, and, as a result, unavailable to reduce our future tax liability.</w:t>
      </w:r>
    </w:p>
    <w:p>
      <w:pPr>
        <w:spacing w:after="0" w:line="170"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As of December 31, 2022, we had federal and state net operating loss carryforwards of $153.9 million and $139.8 million, respectively, which begin to expire in various amounts in 2036 (other than federal net operating loss carryforwards arising in taxable years beginning after December 31, 2017, which are not subject to expiration but the deductibility of such federal NOLs may be limited to 80% of our taxable income annually for tax years beginning after December 31, 2020). As of December 31, 2022, we also had federal and state research and development tax credit carryforwards of $12.7 million and $6.1 million, respectively, which begin to expire in 2036. These net operating loss and tax credit carryforwards could expire unused and be unavailable to offset future income tax liabilities.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 at least 5% of a corporation’s stock increases by more than 50 percentage points over the lowest ownership percentage of such stockholders or groups of stockholders within a specified testing period. Our existing NOLs or credits may be subject to limitations arising from previous ownership changes. In addition, future changes in our stock ownership, many of which are outside of our control, could result in an ownership change under Sections 382 and 383 of the Code and limit our ability to utilize NOLs or credit.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“Risk Factors— Risks Related to our Financial Position and Need for Additional Capital,” we have incurred significant net losses since our inception and anticipate that we will continue to incur significant losses for the foreseeable future; and therefore, we do not know whether or when we will generate the U.S. federal or state taxable income necessary to utilize our NOLs or credit carryforwards that are subject to limitation by Sections 382 and 383 of the Code.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Risks Related to Our Controls and Reporting Requirements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operating results and our ability to operate our business could be harmed.</w:t>
      </w:r>
    </w:p>
    <w:p>
      <w:pPr>
        <w:spacing w:after="0" w:line="17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of 2002, or Section 404, we are required to furnish a report by our management on our internal control over financial reporting, including an attestation report on internal control over financial reporting issued by our independent registered public accounting firm.</w:t>
      </w:r>
    </w:p>
    <w:p>
      <w:pPr>
        <w:spacing w:after="0" w:line="19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To achieve compliance with Section 404, we have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investors’ perceptions that our internal controls are 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Charter and Bylaws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2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fourth amended and restated certificate of incorporation and our second amended and restated bylaws contain provisions that could delay or prevent a change of control of our company or changes in our board of directors that our stockholders might consider favorable. Some of these provisions include</w:t>
      </w:r>
      <w:r>
        <w:rPr>
          <w:rFonts w:ascii="Arial" w:cs="Arial" w:eastAsia="Arial" w:hAnsi="Arial"/>
          <w:sz w:val="21"/>
          <w:szCs w:val="21"/>
          <w:color w:val="auto"/>
        </w:rPr>
        <w:t>:</w:t>
      </w:r>
    </w:p>
    <w:p>
      <w:pPr>
        <w:spacing w:after="0" w:line="65" w:lineRule="exact"/>
        <w:rPr>
          <w:sz w:val="20"/>
          <w:szCs w:val="20"/>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jc w:val="both"/>
        <w:ind w:left="1020" w:hanging="503"/>
        <w:spacing w:after="0" w:line="263"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ind w:left="10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1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7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Pursuant to our amended and restated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7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as applicable.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and other state courts have upheld the validity of, that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2023, we did not have any sales of unregistered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discloses any officer (as defined in Rule 16a-1(f) under the Securities Exchange Act of 1934, as amended) or director who adopted a Rule 10b5-1 trading arrangement or non-Rule 10b5-1 trading arrangement (as such terms are defined in Item 408 of Regulation S-K) during the three months ended June 30, 2023:</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320" w:type="dxa"/>
            <w:vAlign w:val="bottom"/>
            <w:tcBorders>
              <w:top w:val="single" w:sz="8" w:color="auto"/>
              <w:left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Name and Title</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Type of Trading</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Action Taken</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Duration or End</w:t>
            </w:r>
          </w:p>
        </w:tc>
        <w:tc>
          <w:tcPr>
            <w:tcW w:w="2200" w:type="dxa"/>
            <w:vAlign w:val="bottom"/>
            <w:tcBorders>
              <w:top w:val="single" w:sz="8" w:color="auto"/>
              <w:right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Aggregate Number of</w:t>
            </w: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Description of Trading</w:t>
            </w: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Arrangement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(Date of Action)</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to be Sold</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Arrangement</w:t>
            </w:r>
          </w:p>
        </w:tc>
      </w:tr>
      <w:tr>
        <w:trPr>
          <w:trHeight w:val="2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r>
        <w:trPr>
          <w:trHeight w:val="225"/>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Jeffrey Albers</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Trading plan intended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Adoption (June</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September 1, 2024</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22,500</w:t>
            </w:r>
          </w:p>
        </w:tc>
        <w:tc>
          <w:tcPr>
            <w:tcW w:w="2180" w:type="dxa"/>
            <w:vAlign w:val="bottom"/>
            <w:tcBorders>
              <w:right w:val="single" w:sz="8" w:color="auto"/>
            </w:tcBorders>
          </w:tcPr>
          <w:p>
            <w:pPr>
              <w:jc w:val="center"/>
              <w:ind w:right="30"/>
              <w:spacing w:after="0"/>
              <w:rPr>
                <w:sz w:val="20"/>
                <w:szCs w:val="20"/>
                <w:color w:val="auto"/>
              </w:rPr>
            </w:pPr>
            <w:r>
              <w:rPr>
                <w:rFonts w:ascii="Arial" w:cs="Arial" w:eastAsia="Arial" w:hAnsi="Arial"/>
                <w:sz w:val="18"/>
                <w:szCs w:val="18"/>
                <w:color w:val="auto"/>
                <w:w w:val="89"/>
              </w:rPr>
              <w:t>Exercises of vested stock</w:t>
            </w:r>
          </w:p>
        </w:tc>
      </w:tr>
      <w:tr>
        <w:trPr>
          <w:trHeight w:val="216"/>
        </w:trPr>
        <w:tc>
          <w:tcPr>
            <w:tcW w:w="2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i w:val="1"/>
                <w:iCs w:val="1"/>
                <w:color w:val="auto"/>
              </w:rPr>
              <w:t>Director</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to satisfy the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22, 2023)</w:t>
            </w:r>
          </w:p>
        </w:tc>
        <w:tc>
          <w:tcPr>
            <w:tcW w:w="14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options and sales of shares of</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affirmative defense</w:t>
            </w:r>
          </w:p>
        </w:tc>
        <w:tc>
          <w:tcPr>
            <w:tcW w:w="13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the Company’s common</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conditions of Securities</w:t>
            </w:r>
          </w:p>
        </w:tc>
        <w:tc>
          <w:tcPr>
            <w:tcW w:w="13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pursuant to the terms of</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Exchange Act Rule</w:t>
            </w:r>
          </w:p>
        </w:tc>
        <w:tc>
          <w:tcPr>
            <w:tcW w:w="138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the trading plan</w:t>
            </w: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10b5- 1(c)</w:t>
            </w:r>
          </w:p>
        </w:tc>
        <w:tc>
          <w:tcPr>
            <w:tcW w:w="138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2180" w:type="dxa"/>
            <w:vAlign w:val="bottom"/>
            <w:tcBorders>
              <w:right w:val="single" w:sz="8" w:color="auto"/>
            </w:tcBorders>
          </w:tcPr>
          <w:p>
            <w:pPr>
              <w:spacing w:after="0"/>
              <w:rPr>
                <w:sz w:val="20"/>
                <w:szCs w:val="20"/>
                <w:color w:val="auto"/>
              </w:rPr>
            </w:pPr>
          </w:p>
        </w:tc>
      </w:tr>
      <w:tr>
        <w:trPr>
          <w:trHeight w:val="24"/>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as disclosed above, no other officer or director adopted, modified or terminated a Rule 10b5-1 trading arrangement or non-Rule 10b5-1 trading arrangement (as such terms are defined in Item 408 of Regulation S-K) during the three months ended June 30,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6.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180" w:type="dxa"/>
            <w:vAlign w:val="bottom"/>
            <w:gridSpan w:val="6"/>
            <w:vMerge w:val="restart"/>
          </w:tcPr>
          <w:p>
            <w:pPr>
              <w:ind w:left="3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96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7"/>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5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7"/>
          </w:tcPr>
          <w:p>
            <w:pPr>
              <w:spacing w:after="0" w:line="196" w:lineRule="exact"/>
              <w:rPr>
                <w:sz w:val="20"/>
                <w:szCs w:val="20"/>
                <w:color w:val="auto"/>
              </w:rPr>
            </w:pPr>
            <w:r>
              <w:rPr>
                <w:rFonts w:ascii="Arial" w:cs="Arial" w:eastAsia="Arial" w:hAnsi="Arial"/>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Certification of Principal Executive Officer Pursuant to 18 U.S.C. Section 1350, as Adopted Pursuant to Section 906 of the Sarbanes-Oxley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9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9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91"/>
        </w:trPr>
        <w:tc>
          <w:tcPr>
            <w:tcW w:w="96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92"/>
        </w:trPr>
        <w:tc>
          <w:tcPr>
            <w:tcW w:w="96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160" w:hanging="1139"/>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Cover Page Interactive Data</w:t>
      </w:r>
    </w:p>
    <w:p>
      <w:pPr>
        <w:spacing w:after="0" w:line="211"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19030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**Schedules and exhibits have been omitted pursuant to Item 601(a)(5) of Regulation S-K. A copy of any omitted schedule and/or exhibit will be furnished to the SEC upon request.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Kymera Therapeutics, Inc.</w:t>
      </w:r>
    </w:p>
    <w:p>
      <w:pPr>
        <w:spacing w:after="0" w:line="279" w:lineRule="exact"/>
        <w:rPr>
          <w:sz w:val="20"/>
          <w:szCs w:val="20"/>
          <w:color w:val="auto"/>
        </w:rPr>
      </w:pPr>
    </w:p>
    <w:p>
      <w:pPr>
        <w:ind w:left="20"/>
        <w:spacing w:after="0"/>
        <w:tabs>
          <w:tab w:leader="none" w:pos="5560" w:val="left"/>
          <w:tab w:leader="none" w:pos="772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Nello Mainolfi, Ph.D</w:t>
      </w:r>
      <w:r>
        <w:rPr>
          <w:rFonts w:ascii="Arial" w:cs="Arial" w:eastAsia="Arial" w:hAnsi="Arial"/>
          <w:sz w:val="18"/>
          <w:szCs w:val="18"/>
          <w:color w:val="auto"/>
        </w:rPr>
        <w:t>.</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83" w:lineRule="exact"/>
        <w:rPr>
          <w:sz w:val="20"/>
          <w:szCs w:val="20"/>
          <w:color w:val="auto"/>
        </w:rPr>
      </w:pPr>
    </w:p>
    <w:p>
      <w:pPr>
        <w:ind w:left="20"/>
        <w:spacing w:after="0"/>
        <w:tabs>
          <w:tab w:leader="none" w:pos="5560" w:val="left"/>
          <w:tab w:leader="none" w:pos="758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Bruce Jacobs, CFA, MBA</w:t>
      </w:r>
    </w:p>
    <w:p>
      <w:pPr>
        <w:spacing w:after="0" w:line="3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Nello Mainolfi, Ph.D.,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Kymera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72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26"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Nello Mainolfi, Ph.D</w:t>
      </w:r>
      <w:r>
        <w:rPr>
          <w:rFonts w:ascii="Arial" w:cs="Arial" w:eastAsia="Arial" w:hAnsi="Arial"/>
          <w:sz w:val="18"/>
          <w:szCs w:val="18"/>
          <w:color w:val="auto"/>
        </w:rPr>
        <w:t>.</w:t>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Bruce Jacobs, CFA, MBA,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2023 of Kymera Therapeutics,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80" w:hanging="512"/>
        <w:spacing w:after="0" w:line="263"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20" w:right="740" w:hanging="503"/>
        <w:spacing w:after="0" w:line="342" w:lineRule="auto"/>
        <w:tabs>
          <w:tab w:leader="none" w:pos="10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56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Jacobs, CFO,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30"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Bruce Jacobs, CFO, MBA</w:t>
      </w:r>
    </w:p>
    <w:p>
      <w:pPr>
        <w:spacing w:after="0" w:line="23"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Financial Officer</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Kymera Therapeutics, Inc. (the “Company”) on Form 10-Q for the period ending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560" w:val="left"/>
          <w:tab w:leader="none" w:pos="766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Nello Mainolfi,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23495</wp:posOffset>
            </wp:positionV>
            <wp:extent cx="33775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6"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Nello Mainolfi, Ph.D</w:t>
      </w:r>
      <w:r>
        <w:rPr>
          <w:rFonts w:ascii="Arial" w:cs="Arial" w:eastAsia="Arial" w:hAnsi="Arial"/>
          <w:sz w:val="18"/>
          <w:szCs w:val="18"/>
          <w:color w:val="auto"/>
        </w:rPr>
        <w:t>.</w:t>
      </w:r>
    </w:p>
    <w:p>
      <w:pPr>
        <w:spacing w:after="0" w:line="27" w:lineRule="exact"/>
        <w:rPr>
          <w:sz w:val="20"/>
          <w:szCs w:val="20"/>
          <w:color w:val="auto"/>
        </w:rPr>
      </w:pPr>
    </w:p>
    <w:p>
      <w:pPr>
        <w:jc w:val="center"/>
        <w:ind w:left="59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8"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connection with the Quarterly Report of Kymera Therapeutics, Inc. (the “Company”) on Form 10-Q for the period ending June 30, 2023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560" w:val="left"/>
          <w:tab w:leader="none" w:pos="752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Jacobs, CFA,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23495</wp:posOffset>
            </wp:positionV>
            <wp:extent cx="33775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0"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Bruce Jacobs, CFA, MBA</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18"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decimal"/>
      <w:start w:val="9"/>
    </w:lvl>
  </w:abstractNum>
  <w:abstractNum w:abstractNumId="7">
    <w:nsid w:val="8138641"/>
    <w:multiLevelType w:val="hybridMultilevel"/>
    <w:lvl w:ilvl="0">
      <w:lvlJc w:val="left"/>
      <w:lvlText w:val="%1."/>
      <w:numFmt w:val="decimal"/>
      <w:start w:val="13"/>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1)"/>
      <w:numFmt w:val="lowerRoman"/>
      <w:start w:val="2"/>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lvl w:ilvl="1">
      <w:lvlJc w:val="left"/>
      <w:lvlText w:val="%2"/>
      <w:numFmt w:val="decimal"/>
      <w:start w:val="104"/>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2023-08-03T06:34:51Z</dcterms:created>
  <dcterms:modified xsi:type="dcterms:W3CDTF">2023-08-03T06:34:51Z</dcterms:modified>
</cp:coreProperties>
</file>