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2600" w:right="1600" w:hanging="2579"/>
        <w:spacing w:after="0" w:line="232" w:lineRule="auto"/>
        <w:tabs>
          <w:tab w:leader="none" w:pos="471"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4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p>
      <w:pPr>
        <w:spacing w:after="0" w:line="188"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2">
            <w:col w:w="7140" w:space="720"/>
            <w:col w:w="3380"/>
          </w:cols>
          <w:pgMar w:left="320" w:top="1334"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31" w:lineRule="exact"/>
        <w:rPr>
          <w:sz w:val="24"/>
          <w:szCs w:val="24"/>
          <w:color w:val="auto"/>
        </w:rPr>
      </w:pPr>
    </w:p>
    <w:p>
      <w:pPr>
        <w:ind w:left="17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Watertown, Massachusetts</w:t>
      </w:r>
      <w:r>
        <w:rPr>
          <w:sz w:val="20"/>
          <w:szCs w:val="20"/>
          <w:color w:val="auto"/>
        </w:rPr>
        <w:tab/>
      </w:r>
      <w:r>
        <w:rPr>
          <w:rFonts w:ascii="Times New Roman" w:cs="Times New Roman" w:eastAsia="Times New Roman" w:hAnsi="Times New Roman"/>
          <w:sz w:val="18"/>
          <w:szCs w:val="18"/>
          <w:b w:val="1"/>
          <w:bCs w:val="1"/>
          <w:color w:val="auto"/>
        </w:rPr>
        <w:t>02472</w:t>
      </w:r>
    </w:p>
    <w:p>
      <w:pPr>
        <w:spacing w:after="0" w:line="11"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8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7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25, 2024, the registrant had 64,765,274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ind w:left="132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biopharmaceutical company with a limited operating history and have not generated any revenue to date from drug sales, and may never become profitable.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in recent periods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still early in our development efforts, with disclosed programs in pre-clinical, Phase 1 and Phase 2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timely completion or outcome of our preclinical testing, including our TYK2 program. In addition, the results of preclinical studies may not be predictive of the results of clinical trials and the results of any early-stage clinical trials we commence may not be predictive of the results of later-stage clinical trials.</w:t>
      </w:r>
    </w:p>
    <w:p>
      <w:pPr>
        <w:spacing w:after="0" w:line="74" w:lineRule="exact"/>
        <w:rPr>
          <w:rFonts w:ascii="Times New Roman" w:cs="Times New Roman" w:eastAsia="Times New Roman" w:hAnsi="Times New Roman"/>
          <w:sz w:val="18"/>
          <w:szCs w:val="18"/>
          <w:color w:val="auto"/>
        </w:rPr>
      </w:pPr>
    </w:p>
    <w:p>
      <w:pPr>
        <w:ind w:left="503" w:hanging="503"/>
        <w:spacing w:after="0" w:line="233"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based on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is novel and unproven, which makes it difficult to predict the time, cost of development, and likelihood of successfully developing any products.</w:t>
      </w:r>
    </w:p>
    <w:p>
      <w:pPr>
        <w:spacing w:after="0" w:line="9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any pandemic or similar public health crises could cause a disruption to our supply chain or the development of our product candidates and adversely impact our business.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87"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future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74"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construct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our drug discovery platform, and to enable a rational and effective drug discovery and development engine;</w:t>
      </w:r>
    </w:p>
    <w:p>
      <w:pPr>
        <w:spacing w:after="0" w:line="9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for our TYK2 program and clinical studies under our IRAK4, STAT6, STAT3 and MDM2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including mitigation efforts and economic effects, on any of the foregoing or other aspects of our business operations, including but not limited to our preclinical studies and future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7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2"/>
                <w:szCs w:val="1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8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110,718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109,966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Marketable securities (Note 4)</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439,252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17,428</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11,674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568,715</w:t>
            </w:r>
          </w:p>
        </w:tc>
        <w:tc>
          <w:tcPr>
            <w:tcW w:w="2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 (Note 4)</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361,035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(Note 6)</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51,244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operating leases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48,065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5,783</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1,034,842</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575,759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(Note 8)</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20,024</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66,532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73,636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141,912</w:t>
            </w:r>
          </w:p>
        </w:tc>
        <w:tc>
          <w:tcPr>
            <w:tcW w:w="2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3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September 30, 2024 and December 31, 2023, 64,748,226 and</w:t>
            </w: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55,390,259 shares issued and outstanding at September 30, 2024 and December 31, 2023, respectively</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1,574,850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926,269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(683,858 )</w:t>
            </w:r>
          </w:p>
        </w:tc>
        <w:tc>
          <w:tcPr>
            <w:tcW w:w="18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(530,752 )</w:t>
            </w: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(552 )</w:t>
            </w:r>
          </w:p>
        </w:tc>
        <w:tc>
          <w:tcPr>
            <w:tcW w:w="0" w:type="dxa"/>
            <w:vAlign w:val="bottom"/>
          </w:tcPr>
          <w:p>
            <w:pPr>
              <w:spacing w:after="0"/>
              <w:rPr>
                <w:sz w:val="1"/>
                <w:szCs w:val="1"/>
                <w:color w:val="auto"/>
              </w:rPr>
            </w:pPr>
          </w:p>
        </w:tc>
      </w:tr>
      <w:tr>
        <w:trPr>
          <w:trHeight w:val="169"/>
        </w:trPr>
        <w:tc>
          <w:tcPr>
            <w:tcW w:w="83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892,930</w:t>
            </w: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394,971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300" w:type="dxa"/>
            <w:vAlign w:val="bottom"/>
            <w:tcBorders>
              <w:bottom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1,034,842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575,759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-3316605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-2639695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-1036955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-265430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600" w:type="dxa"/>
            <w:vAlign w:val="bottom"/>
            <w:gridSpan w:val="5"/>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39,678</w:t>
            </w:r>
          </w:p>
        </w:tc>
        <w:tc>
          <w:tcPr>
            <w:tcW w:w="2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168,431</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136,111</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40,814</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75,865</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62,237</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220,558</w:t>
            </w:r>
          </w:p>
        </w:tc>
        <w:tc>
          <w:tcPr>
            <w:tcW w:w="22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176,925</w:t>
            </w:r>
          </w:p>
        </w:tc>
        <w:tc>
          <w:tcPr>
            <w:tcW w:w="100" w:type="dxa"/>
            <w:vAlign w:val="bottom"/>
            <w:tcBorders>
              <w:top w:val="single" w:sz="8" w:color="CFF0FC"/>
            </w:tcBorders>
          </w:tcPr>
          <w:p>
            <w:pPr>
              <w:spacing w:after="0"/>
              <w:rPr>
                <w:sz w:val="20"/>
                <w:szCs w:val="20"/>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(72,124</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(57,509</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(180,880</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shd w:val="clear" w:color="auto" w:fill="CFF0FC"/>
          </w:tcPr>
          <w:p>
            <w:pPr>
              <w:spacing w:after="0"/>
              <w:rPr>
                <w:sz w:val="21"/>
                <w:szCs w:val="2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00" w:type="dxa"/>
            <w:vAlign w:val="bottom"/>
          </w:tcPr>
          <w:p>
            <w:pPr>
              <w:spacing w:after="0"/>
              <w:rPr>
                <w:sz w:val="21"/>
                <w:szCs w:val="21"/>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(60 )</w:t>
            </w:r>
          </w:p>
        </w:tc>
        <w:tc>
          <w:tcPr>
            <w:tcW w:w="20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(190 )</w:t>
            </w:r>
          </w:p>
        </w:tc>
        <w:tc>
          <w:tcPr>
            <w:tcW w:w="5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37"/>
        </w:trPr>
        <w:tc>
          <w:tcPr>
            <w:tcW w:w="5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2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(62,487 )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(52,867 )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(153,106 )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(132,594 )</w:t>
            </w: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21"/>
                <w:szCs w:val="21"/>
                <w:color w:val="auto"/>
              </w:rPr>
            </w:pPr>
          </w:p>
        </w:tc>
      </w:tr>
      <w:tr>
        <w:trPr>
          <w:trHeight w:val="277"/>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(51,682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(150,623</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(52,867</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(153,106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(132,594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63"/>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76,125,975</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58,421,859</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73,330,338</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58,312,813</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-2965450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-2965450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-2965450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-2965450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-2339340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-2339340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-2339340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-2339340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-1388110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-1388110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-1388110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-1388110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-728345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-710565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-728345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-710565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-728345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-710565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-728345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-710565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-205105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-205105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-205105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-205105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and 2023</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90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June 30,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55,390,259</w:t>
            </w:r>
          </w:p>
        </w:tc>
        <w:tc>
          <w:tcPr>
            <w:tcW w:w="900" w:type="dxa"/>
            <w:vAlign w:val="bottom"/>
            <w:gridSpan w:val="3"/>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902,574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(463,517 )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(3,635 )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435,428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(52,867 )</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(52,867 )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55,450,239</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914,363</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(516,384 )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(2,450 )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395,535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61,572,383</w:t>
            </w:r>
          </w:p>
        </w:tc>
        <w:tc>
          <w:tcPr>
            <w:tcW w:w="120" w:type="dxa"/>
            <w:vAlign w:val="bottom"/>
          </w:tcPr>
          <w:p>
            <w:pPr>
              <w:spacing w:after="0"/>
              <w:rPr>
                <w:sz w:val="24"/>
                <w:szCs w:val="24"/>
                <w:color w:val="auto"/>
              </w:rPr>
            </w:pPr>
          </w:p>
        </w:tc>
        <w:tc>
          <w:tcPr>
            <w:tcW w:w="78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1,308,388</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(621,371 )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(2,099 )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and accompanying pre-funded</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warrants from August 2024 public offering, net of issuance</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2,830,533</w:t>
            </w:r>
          </w:p>
        </w:tc>
        <w:tc>
          <w:tcPr>
            <w:tcW w:w="900" w:type="dxa"/>
            <w:vAlign w:val="bottom"/>
            <w:gridSpan w:val="3"/>
            <w:vMerge w:val="restart"/>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246,505</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246,506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 of $12.2 million</w:t>
            </w:r>
          </w:p>
        </w:tc>
        <w:tc>
          <w:tcPr>
            <w:tcW w:w="1000" w:type="dxa"/>
            <w:vAlign w:val="bottom"/>
            <w:vMerge w:val="continue"/>
            <w:shd w:val="clear" w:color="auto" w:fill="CFF0FC"/>
          </w:tcPr>
          <w:p>
            <w:pPr>
              <w:spacing w:after="0"/>
              <w:rPr>
                <w:sz w:val="16"/>
                <w:szCs w:val="16"/>
                <w:color w:val="auto"/>
              </w:rPr>
            </w:pPr>
          </w:p>
        </w:tc>
        <w:tc>
          <w:tcPr>
            <w:tcW w:w="900" w:type="dxa"/>
            <w:vAlign w:val="bottom"/>
            <w:gridSpan w:val="3"/>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80" w:type="dxa"/>
            <w:vAlign w:val="bottom"/>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(62,487 )</w:t>
            </w: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(62,487 )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September 30, 2024</w:t>
            </w:r>
          </w:p>
        </w:tc>
        <w:tc>
          <w:tcPr>
            <w:tcW w:w="10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64,748,226</w:t>
            </w:r>
          </w:p>
        </w:tc>
        <w:tc>
          <w:tcPr>
            <w:tcW w:w="900" w:type="dxa"/>
            <w:vAlign w:val="bottom"/>
            <w:gridSpan w:val="3"/>
            <w:shd w:val="clear" w:color="auto" w:fill="CFF0FC"/>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1,574,850</w:t>
            </w:r>
          </w:p>
        </w:tc>
        <w:tc>
          <w:tcPr>
            <w:tcW w:w="36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(683,858 )</w:t>
            </w: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1,931</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892,930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-1276350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-1259205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-1276350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-1259205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-1276350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-1259205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-1276350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-1259205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-1276350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-1259205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-1276350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-1259205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-24765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-7620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-24765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-7620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1"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8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3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18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Paid 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9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55,039,380</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878,884</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(383,790 )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(4,949 )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490,151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335,065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restricted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36,371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shares under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32,220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DEEBF7"/>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(132,594 )</w:t>
            </w:r>
          </w:p>
        </w:tc>
        <w:tc>
          <w:tcPr>
            <w:tcW w:w="120" w:type="dxa"/>
            <w:vAlign w:val="bottom"/>
            <w:shd w:val="clear" w:color="auto" w:fill="DEEBF7"/>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EEBF7"/>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(132,594 )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DEEBF7"/>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DEEBF7"/>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DEEBF7"/>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DEEBF7"/>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at September 30, 2023</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55,450,239</w:t>
            </w:r>
          </w:p>
        </w:tc>
        <w:tc>
          <w:tcPr>
            <w:tcW w:w="120" w:type="dxa"/>
            <w:vAlign w:val="bottom"/>
          </w:tcPr>
          <w:p>
            <w:pPr>
              <w:spacing w:after="0"/>
              <w:rPr>
                <w:sz w:val="14"/>
                <w:szCs w:val="14"/>
                <w:color w:val="auto"/>
              </w:rPr>
            </w:pP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914,363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(516,384 )</w:t>
            </w:r>
          </w:p>
        </w:tc>
        <w:tc>
          <w:tcPr>
            <w:tcW w:w="1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(2,450 )</w:t>
            </w:r>
          </w:p>
        </w:tc>
        <w:tc>
          <w:tcPr>
            <w:tcW w:w="12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395,535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55,585,305</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926,269</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(530,752 )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(552 )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394,971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January 2024 public offering, net of issuance costs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3,884,158</w:t>
            </w:r>
          </w:p>
        </w:tc>
        <w:tc>
          <w:tcPr>
            <w:tcW w:w="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$14.9 million</w:t>
            </w: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through At-The Market Sales Agreement,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1,519,453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6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of issuance costs of $1.2 million</w:t>
            </w:r>
          </w:p>
        </w:tc>
        <w:tc>
          <w:tcPr>
            <w:tcW w:w="9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3"/>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August 2024 public offering, net of issuance costs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2,830,533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$12.2 million</w:t>
            </w: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695,821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restricted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64,225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(153,106 )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(153,106 )</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at September 30, 2024</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64,748,226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1,574,850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(683,858</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1,931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892,930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-1996440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-1996440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-1996440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-1996440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-1996440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(153,106 )</w:t>
            </w: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(132,594 )</w:t>
            </w: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41,213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32,220</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impairment charge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Premiums and discounts on available-for-sale marketable securities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(10,716 )</w:t>
            </w: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(3,960 )</w:t>
            </w: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(5,754 )</w:t>
            </w: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(4,378 )</w:t>
            </w: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asset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(1,241 )</w:t>
            </w: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(4,842 )</w:t>
            </w:r>
          </w:p>
        </w:tc>
        <w:tc>
          <w:tcPr>
            <w:tcW w:w="6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(3,613 )</w:t>
            </w: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(34,627 )</w:t>
            </w: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(19,487 )</w:t>
            </w: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15,675</w:t>
            </w:r>
          </w:p>
        </w:tc>
        <w:tc>
          <w:tcPr>
            <w:tcW w:w="100" w:type="dxa"/>
            <w:vAlign w:val="bottom"/>
            <w:shd w:val="clear" w:color="auto" w:fill="CFF0FC"/>
          </w:tcPr>
          <w:p>
            <w:pPr>
              <w:spacing w:after="0"/>
              <w:rPr>
                <w:sz w:val="20"/>
                <w:szCs w:val="20"/>
                <w:color w:val="auto"/>
              </w:rPr>
            </w:pPr>
          </w:p>
        </w:tc>
      </w:tr>
      <w:tr>
        <w:trPr>
          <w:trHeight w:val="227"/>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9"/>
                <w:szCs w:val="19"/>
                <w:color w:val="auto"/>
              </w:rPr>
            </w:pPr>
          </w:p>
        </w:tc>
      </w:tr>
      <w:tr>
        <w:trPr>
          <w:trHeight w:val="22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(132,717 )</w:t>
            </w: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(110,871 )</w:t>
            </w:r>
          </w:p>
        </w:tc>
      </w:tr>
      <w:tr>
        <w:trPr>
          <w:trHeight w:val="217"/>
        </w:trPr>
        <w:tc>
          <w:tcPr>
            <w:tcW w:w="7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(11,902 )</w:t>
            </w: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(22,855 )</w:t>
            </w: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(822,804 )</w:t>
            </w:r>
          </w:p>
        </w:tc>
        <w:tc>
          <w:tcPr>
            <w:tcW w:w="6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(143,647 )</w:t>
            </w:r>
          </w:p>
        </w:tc>
      </w:tr>
      <w:tr>
        <w:trPr>
          <w:trHeight w:val="236"/>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362,061</w:t>
            </w: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287,436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(472,645 )</w:t>
            </w: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120,934</w:t>
            </w:r>
          </w:p>
        </w:tc>
        <w:tc>
          <w:tcPr>
            <w:tcW w:w="100" w:type="dxa"/>
            <w:vAlign w:val="bottom"/>
          </w:tcPr>
          <w:p>
            <w:pPr>
              <w:spacing w:after="0"/>
              <w:rPr>
                <w:sz w:val="19"/>
                <w:szCs w:val="19"/>
                <w:color w:val="auto"/>
              </w:rPr>
            </w:pPr>
          </w:p>
        </w:tc>
      </w:tr>
      <w:tr>
        <w:trPr>
          <w:trHeight w:val="22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January 2024 public offering, net of issuance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$14.9 million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301,373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through At-The Market Sales Agreement,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of issuance costs of $1.2 million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August 2024 public offering, net of issuance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$12.2 million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246,506</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9,616</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tcPr>
          <w:p>
            <w:pPr>
              <w:spacing w:after="0"/>
              <w:rPr>
                <w:sz w:val="19"/>
                <w:szCs w:val="19"/>
                <w:color w:val="auto"/>
              </w:rPr>
            </w:pPr>
          </w:p>
        </w:tc>
      </w:tr>
      <w:tr>
        <w:trPr>
          <w:trHeight w:val="23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(1,283 )</w:t>
            </w: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(1,001 )</w:t>
            </w:r>
          </w:p>
        </w:tc>
      </w:tr>
      <w:tr>
        <w:trPr>
          <w:trHeight w:val="227"/>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606,086</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Pr>
          <w:p>
            <w:pPr>
              <w:spacing w:after="0"/>
              <w:rPr>
                <w:sz w:val="19"/>
                <w:szCs w:val="19"/>
                <w:color w:val="auto"/>
              </w:rPr>
            </w:pPr>
          </w:p>
        </w:tc>
      </w:tr>
      <w:tr>
        <w:trPr>
          <w:trHeight w:val="22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12,321</w:t>
            </w:r>
          </w:p>
        </w:tc>
        <w:tc>
          <w:tcPr>
            <w:tcW w:w="100" w:type="dxa"/>
            <w:vAlign w:val="bottom"/>
            <w:shd w:val="clear" w:color="auto" w:fill="CFF0FC"/>
          </w:tcPr>
          <w:p>
            <w:pPr>
              <w:spacing w:after="0"/>
              <w:rPr>
                <w:sz w:val="19"/>
                <w:szCs w:val="19"/>
                <w:color w:val="auto"/>
              </w:rPr>
            </w:pPr>
          </w:p>
        </w:tc>
      </w:tr>
      <w:tr>
        <w:trPr>
          <w:trHeight w:val="227"/>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2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74,524</w:t>
            </w:r>
          </w:p>
        </w:tc>
        <w:tc>
          <w:tcPr>
            <w:tcW w:w="100" w:type="dxa"/>
            <w:vAlign w:val="bottom"/>
          </w:tcPr>
          <w:p>
            <w:pPr>
              <w:spacing w:after="0"/>
              <w:rPr>
                <w:sz w:val="19"/>
                <w:szCs w:val="19"/>
                <w:color w:val="auto"/>
              </w:rPr>
            </w:pPr>
          </w:p>
        </w:tc>
      </w:tr>
      <w:tr>
        <w:trPr>
          <w:trHeight w:val="223"/>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116,501</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7"/>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48,833</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expenses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8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through finance lease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-3651250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-3059430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-1503680</wp:posOffset>
            </wp:positionV>
            <wp:extent cx="939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-1503680</wp:posOffset>
            </wp:positionV>
            <wp:extent cx="939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-882650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110,718</w:t>
            </w:r>
          </w:p>
        </w:tc>
        <w:tc>
          <w:tcPr>
            <w:tcW w:w="74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81,051</w:t>
            </w:r>
          </w:p>
        </w:tc>
        <w:tc>
          <w:tcPr>
            <w:tcW w:w="100" w:type="dxa"/>
            <w:vAlign w:val="bottom"/>
            <w:shd w:val="clear" w:color="auto" w:fill="CFF0FC"/>
          </w:tcPr>
          <w:p>
            <w:pPr>
              <w:spacing w:after="0"/>
              <w:rPr>
                <w:sz w:val="19"/>
                <w:szCs w:val="19"/>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98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116,501</w:t>
            </w:r>
          </w:p>
        </w:tc>
        <w:tc>
          <w:tcPr>
            <w:tcW w:w="2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86,845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149"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$683.9 million as of September 30, 2024. The Company has funded these losses principally through issuance of preferred stock, convertible notes, common stock, including its initial public offering and concurrent private placement completed in August 2020 (“IPO”), follow-on offering and concurrent private placement completed in July 2021 (“2021 Follow-on”) offering, August 2022 Private Investment in Public Equity (“PIPE”) offering, follow-on offerings completed in January 2024 ("2024 Follow-on") and August 2024 Offering ("August 2024 Follow-on"), sales under our Sales Agreement with Cowen, and from cash proceeds received in connection with the Company’s collaboration agreements with Vertex Pharmaceuticals Incorporated (“Vertex”) and Genzyme Corporation (“Sanofi”) (see Note 5). The Company expects to continue to incur operating losses and negative operating cash flows until such time as it generates a level of revenue that is sufficient to support its cost structure.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cash, cash equivalents and marketable securities of $911.0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Investment in Public Equity “PIPE”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18, 2022, the Company and certain accredited investors entered into a securities purchase agreement pursuant to which the Company agreed to sell and issue to such investors in a private placement (i) an aggregate of 2,769,228 shares of the Company’s common stock at a purchase price of $26.00 per share, and (ii) 3,000,000 pre-funded warrants to purchase common stock, at a purchase price of $25.9999 per Pre-Funded Warrant. The Pre-Funded Warrants have an exercise price of $0.0001 per share of common stock. The offering closed on August 22, 2022, resulting in net proceeds of $149.8 million after offering expenses.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Follow-on Public Offerings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9, 2024, the Company completed a follow-on offering of its common stock and, in lieu of common stock to certain investors, pre-funded warrants to purchase shares of its common stock. The Company issued and sold 3,884,158 shares of common stock, including full exercise of the underwriters’ over-allotment option to purchase an additional 1,633,663 shares, at a public offering price of $25.25 per share. Additionally, in lieu of common stock to certain investors, the Company issued and sold pre-funded warrants to purchase 8,640,594 shares of its common stock at a public offering price of $25.2499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$316.2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21, 2024, the Company completed a follow-on offering of its common stock and, in lieu of common stock to certain investors, pre-funded warrants to purchase shares of its common stock. The Company issued and sold 2,830,533 shares of common stock, including full exercise of the underwriters’ over-allotment option to purchase an additional 828,220 shares, at a public offering price of $40.75 per share. Additionally, in lieu of common stock to certain investors, the Company issued and sold pre-funded warrants to purchase 3,519,159 shares of its common stock at a public offering price of $40.7499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$258.7 million.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certain offerings mentioned above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no pre-funded warrants were exercised. As of September 30, 2024, there were 15,159,753 pre-funded warrants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2023 included in the Company’s Annual Report on Form 10-K, filed with the SEC on February 22, 2024.</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as of and for the year ended December 31, 2023, and, in the opinion of management, reflect all adjustments necessary, all of which were normal and recurring, for the fair statement of the Company’s financial position as of September 30, 2024, and the results of operations, equity, and cash flows for the nine months ended September 30, 2024 and 2023. The results for the three and nine months ended September 30, 2024 are not necessarily indicative of the results for the year ended December 31, 2024 or for any future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nine months ended September 30, 2024 are consistent with those discussed in Note 2 to the consolidated financial statements in the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update requires disclosure of incremental segment information on an annual and interim basis. This update is effective for annual periods beginning after December 15, 2023, and interim periods within annual periods beginning after December 15, 2024. Early adoption is permitted. This guidance should be applied retrospectively to all prior periods presented in the financial statements. The Company is currently evaluating the impact on its financial statements of adopting this guidance.</w:t>
      </w:r>
    </w:p>
    <w:p>
      <w:pPr>
        <w:spacing w:after="0" w:line="75"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update requires that public entities on an annual basis, (1) in the rate reconciliation, disclose specific categories and provide additional information for reconciling items that meet a quantitative threshold; (2) about income taxes paid, disclose the amount of income taxes paid (net of refunds received) disaggregated by federal, state, and foreign taxes and by individual jurisdiction in which income taxes paid (net of refunds received) is equal to or greater than 5 percent of total income taxes paid (net of refunds received); and (3) disclose income (or loss) from continuing operations before income tax expense (or benefit) disaggregated between domestic and foreign and income tax expense (or benefit) disaggregated by federal, state, and foreign. This update is effective for annual periods beginning after December 15, 2024. Early adoption is permitted. This guidance should be applied on a prospective basis. Retrospective application is permitted. The Company is currently evaluating the impact on its financial statements of adopting this guidance.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September 30, 2024 and December 31, 2023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68,369</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28,603</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219,876</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219,876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117,594</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194,681</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194,681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3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263,341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646,856</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910,197</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29"/>
        </w:trPr>
        <w:tc>
          <w:tcPr>
            <w:tcW w:w="580" w:type="dxa"/>
            <w:vAlign w:val="bottom"/>
          </w:tcPr>
          <w:p>
            <w:pPr>
              <w:spacing w:after="0"/>
              <w:rPr>
                <w:sz w:val="24"/>
                <w:szCs w:val="24"/>
                <w:color w:val="auto"/>
              </w:rPr>
            </w:pPr>
          </w:p>
        </w:tc>
        <w:tc>
          <w:tcPr>
            <w:tcW w:w="374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-933450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-916305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-933450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-916305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100" w:type="dxa"/>
            <w:vAlign w:val="bottom"/>
            <w:shd w:val="clear" w:color="auto" w:fill="CFF0FC"/>
          </w:tcPr>
          <w:p>
            <w:pPr>
              <w:spacing w:after="0"/>
              <w:rPr>
                <w:sz w:val="21"/>
                <w:szCs w:val="21"/>
                <w:color w:val="auto"/>
              </w:rPr>
            </w:pPr>
          </w:p>
        </w:tc>
      </w:tr>
      <w:tr>
        <w:trPr>
          <w:trHeight w:val="26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22"/>
                <w:szCs w:val="22"/>
                <w:color w:val="auto"/>
              </w:rPr>
            </w:pPr>
          </w:p>
        </w:tc>
      </w:tr>
      <w:tr>
        <w:trPr>
          <w:trHeight w:val="270"/>
        </w:trPr>
        <w:tc>
          <w:tcPr>
            <w:tcW w:w="522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FF0FC"/>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136,056</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303,096</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780" w:type="dxa"/>
            <w:vAlign w:val="bottom"/>
            <w:tcBorders>
              <w:top w:val="single" w:sz="8" w:color="CFF0FC"/>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240" w:type="dxa"/>
            <w:vAlign w:val="bottom"/>
            <w:tcBorders>
              <w:top w:val="single" w:sz="8" w:color="CFF0FC"/>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439,152</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2024 and the year ended December 31, 2023, there were no transfers in or out of Level 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available-for-sale debt securities held at September 30, 2024 and December 31, 2023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171,164</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186,095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185,963</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28,603</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412,982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414,557</w:t>
            </w:r>
          </w:p>
        </w:tc>
        <w:tc>
          <w:tcPr>
            <w:tcW w:w="100" w:type="dxa"/>
            <w:vAlign w:val="bottom"/>
            <w:shd w:val="clear" w:color="auto" w:fill="CFF0FC"/>
          </w:tcPr>
          <w:p>
            <w:pPr>
              <w:spacing w:after="0"/>
              <w:rPr>
                <w:sz w:val="21"/>
                <w:szCs w:val="2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798,368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800,287</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142,691</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(306 )</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160,405</w:t>
            </w:r>
          </w:p>
        </w:tc>
        <w:tc>
          <w:tcPr>
            <w:tcW w:w="10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326,907</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326,349</w:t>
            </w:r>
          </w:p>
        </w:tc>
        <w:tc>
          <w:tcPr>
            <w:tcW w:w="100" w:type="dxa"/>
            <w:vAlign w:val="bottom"/>
            <w:shd w:val="clear" w:color="auto" w:fill="CFF0FC"/>
          </w:tcPr>
          <w:p>
            <w:pPr>
              <w:spacing w:after="0"/>
              <w:rPr>
                <w:sz w:val="22"/>
                <w:szCs w:val="22"/>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-1362075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-1362075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-1362075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-1362075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held 47 securities that had been in an unrealized loss position for less than 12 months with an aggregate fair value of $296.4 million. As of December 31, 2023, the Company held 109 securities that had been in an unrealized loss position for less than 12 months with an aggregate fair value of $229.7 million. As of September 30, 2024, the Company held 17 securities that had been in an unrealized loss position for greater than 12 months with an aggregate fair value of $32.9 million As of December 31, 2023, the Company held 16 securities that had been in an unrealized loss position for greater than 12 months with an aggregate fair value of $36.6 million.</w:t>
      </w:r>
    </w:p>
    <w:p>
      <w:pPr>
        <w:spacing w:after="0" w:line="2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142 securities with a fair value of $439.3 million with a contractual maturity of less than 12 months and 117 securities with a fair value of $361.0 million with a contractual maturity of greater than 12 months. As of December 31, 2023 the Company had 124 securities with a fair value of $264.9 million with a contractual maturity of less than 12 months and 27 securities with a fair value of $61.4 million with a contractual maturity of greater than 12 months.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14" w:name="page15"/>
    <w:bookmarkEnd w:id="1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September 30, 2024 and December 31, 2023.</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21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the Company an upfront payment of $150.0 million. The Company will also be reimbursed for certain research activities for a certain backup degrader under the IRAK4 program as well as contract manufacturing costs for the lead KT-474 program, unless certain criteria are not met for an initial IRAK4 degrader. In addition to the upfront payment and the reimbursements, the Company is eligible to receive certain development milestone payments of up to $1.48 billion in the aggregate, of which more than $1.0 billion relates to the IRAK4 program, upon the achievement of certain developmental or regulatory events. The Company will be eligible to receive certain commercial milestone payments up to $700.0 million in the aggregate, of which $400.0 million relates to the IRAK4 program, which are payable upon the achievement of certain net sales thresholds. The Company will be eligible to receive tiered royalties for each program on net sales ranging from the high-single digits to high teens, subject to low-single digits upward adjustments in certain circumstances.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5" w:name="page16"/>
    <w:bookmarkEnd w:id="1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Further, in July 2024, the Company announced that Sanofi intends to expand the ongoing Phase 2 trials to more rapidly progress towards pivotal studies with the intention of accelerating overall timelines.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are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Milestone and reimbursement consideration added to the transaction price will be recognized as revenue with a cumulative catch-up upon becoming unconstrained. The performance obligation associated with Collaboration Target 1 has not been fully satisfied as of September 30, 2024. The performance obligation associated with Collaboration Target 2 has been fully satisfied. In the three months ended September 30, 2024, the Company recognized $3.7 million in revenue under the Sanofi Agreement, all of which was associated with Collaboration Target 1. In the nine months ended September 30, 2024, the Company recognized $39.7 million in revenue under the Sanofi Agreement, all of which was associated with Collaboration Target 1. In the three months ended September 30, 2023, the Company recognized $4.7 million in revenue under the Sanofi Agreement, of which $4.0 million was associated with Collaboration Target 1 and $0.7 million was associated with Collaboration Target 2. In the nine months ended September 30, 2023, the Company recognized $22.3 million in revenue under the Sanofi Agreement, of which $19.8 million was associated with Collaboration Target 1 and $2.5 million was associated with Collaboration Target 2. Of the $39.7 million of revenue recognized in the nine months ended September 30, 2024, $35.1 million was recognized from amounts that were recorded in deferred revenue as of December 31, 2023. The aggregate amount of the transaction price allocated to the Company’s unsatisfied performance obligations and recorded in deferred revenue at September 30, 2024 and December 31, 2023 is $20.0 million and $54.7 million, respectively. This decrease was the result of on-going activity under the collaboration agreement as well as a $19.4 million cumulative catch-up to revenue related to the change in expected future costs to satisfy the Company's performance obligation under Collaboration Target 1 that occurred during the nine months ended September, 2024. During the nine months ended September 30, 2024, the Company received $7.5 million in cost reimbursement payments. As of September 30, 2024, the Company recorded a contract asset for unbilled accounts receivable of $1.3 million related to reimbursable research and development costs under the Sanofi Agreement for activities performed during the third quarter of 2024. The Company will recognize the deferred revenue related to the research and development services based on a cost input method, as described, over the remaining research term, which is a maximum of 1 year as of September 30, 2024.</w:t>
      </w:r>
    </w:p>
    <w:p>
      <w:pPr>
        <w:spacing w:after="0" w:line="24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consideration related to performance-based milestones will be recognized when the risk of probable reversal is resolved, at which point the Company shall adjust the transaction price determined for the agreement accordingly and recognize revenue on a cumulative-catch up basis, reallocating the revised arrangement consideration to the performance obligations. Any consideration related to sales milestone payments and royalties will be recognized when the related milestone events or sales occur and therefore are recognized at the later of when the related sales occur or the relevant performance obligation is satisfied. As part of its evaluation of constraining the milestones, the Company considered numerous factors, including the fact that the achievement of the research and development milestones are contingent upon the results of the underlying research and development activities and are thus outside of the control of the Company. 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During the three and nine months ended September 30, 2024, the Company recognized $0.7 million and $9.5 million of revenue from the unconstrained milestones, respectively. As of September 30, 2024, $49.7 million of the $55.0 million of consideration has been recorded as revenue, with the remaining $5.3 million recorded as deferred revenue.</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 future net sales on any products that may result from the Vertex Agreement. None of the payments under the Vertex Agreement are refundable. The Company may also perform follow-on research for an optioned target upon Vertex’s request and at Vertex’s expense.</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term of the Vertex Agreement began on the Effective Date and expired upon the completion of the initial research term on May 9,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Vertex provided the Company with a non-refundable upfront payment of $50.0 million and purchased 3,059,695 shares of the Company’s Series B-1 Convertible Preferred Stock (the “Series B-1 Preferred Stock”) at $6.54 a share, pursuant to a separate, but simultaneously executed Share Purchase Agreement. The shares were purchased at a premium of $5.9 million, which was included in the transaction price and will be recognized as revenue over the period of performance. As a result of this purchase, Vertex was considered a related party. Vertex is no longer considered a related party.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its evaluation of constraining the research and development milestones, the Company considered numerous factors, including the fact that the achievement of the research and development milestones is contingent upon the results of the underlying research and development activities and is thus outside of the control of the Company.</w:t>
      </w:r>
    </w:p>
    <w:p>
      <w:pPr>
        <w:spacing w:after="0" w:line="176"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At the commencement of the arrangement, two units of accounting were identified: the issuance of 3,059,695 shares of the Series B-1 Preferred Stock and the research activities the Company will perform over the Research Term. The Company determined the total transaction price to be $55.9 million, which consists of $5.9 million attributed to the premium from the shares of Series B-1 Preferred Stock sold to Vertex and the $50.0 million upfront payment. To determine the fair value of the Series B-1 Preferred Stock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87"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No revenue was recognized during the three and nine months ended September 30, 2024 under the Vertex Agreement. During the three months ended September 30, 2023 the Company recognized no revenue under the Vertex Agreement. During the nine months ended September 30, 2023 the Company recognized $8.4 million in revenue under the Vertex Agreement, all of which was included in deferred revenue as of December 31, 2022. There were no unsatisfied performance obligations as of September 30, 2024. The aggregate amount of the transaction price allocated to the Company’s unsatisfied performance obligation and recorded in deferred revenue is $0 at both September 30, 2024 and December 31, 2023.</w:t>
      </w:r>
    </w:p>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contract liabilities for the nine months ended September 30, 2024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1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(22,496 )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receivables - Sanofi</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(7,496 )</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4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4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(29,992 )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Sanofi</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(39,678 )</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4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4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(39,678 )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45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-1593850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-1593850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-933450</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-916305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-933450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-916305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-933450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-916305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September 30, 2024 and December 31, 2023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80" w:type="dxa"/>
            <w:vAlign w:val="bottom"/>
          </w:tcPr>
          <w:p>
            <w:pPr>
              <w:spacing w:after="0"/>
              <w:rPr>
                <w:sz w:val="20"/>
                <w:szCs w:val="20"/>
                <w:color w:val="auto"/>
              </w:rPr>
            </w:pPr>
          </w:p>
        </w:tc>
      </w:tr>
      <w:tr>
        <w:trPr>
          <w:trHeight w:val="24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65,330</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(14,086 )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(10,440 )</w:t>
            </w: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51,244</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2024 and 2023 was $2.0 million and $0.9 million, respectively. Depreciation expense for the nine months ended September 30, 2024 and 2023 was $5.4 million and $2.7 million, respectively.</w:t>
      </w:r>
    </w:p>
    <w:p>
      <w:pPr>
        <w:spacing w:after="0" w:line="162"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finance leases with a cost basis of $6.8 million and $6.7 million and accumulated amortization expense of $3.8 million and $4.1 million as of September 30, 2024 and December 31, 2023, respectively.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related to right-of-use assets during the three months ended September 30, 2024 and 2023 was $0.3 million and $0.4 million, respectively. Amortization expense related to right-of-use assets during the nine months ended September 30, 2024 and 2023 was $1.1 million and $1.1 million, respectively.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September 30, 2024 and December 31, 2023. The letter of credit totaled $1.3 million and $1.3 million as of September 30, 2024 and December 31, 2023,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September 30, 2024 and December 31, 2023.</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$20.1 million of leasehold improvements in property and equipment. The Company recorded an additional $13.2 million of leasehold improvements in excess of the tenant improvement allowance, all of which were placed in service as of September 30, 2024.</w:t>
      </w:r>
    </w:p>
    <w:p>
      <w:pPr>
        <w:spacing w:after="0" w:line="176"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is actively looking to sublease the entire facility for the remaining noncancellable lease term through March 31, 2030. These actions resulted in an impairment charge of $4.9 million in the nine months ended September 30, 2024. The Company continues to evaluate the potential recovery of the ROU asset under sublease scenarios, and thus it is possible that additional impairments could be identified in future periods, and such amounts could be material.</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impairment charge reduces the carrying value of the associated ROU asset, leasehold improvements and certain furniture and fixture assets that remained in the facility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three and nine months ended September 30, 2024 and 2023, were as follows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3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3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2,521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right-to-use assets, finance leases</w:t>
            </w: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for finance lease liabilities</w:t>
            </w: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r>
      <w:tr>
        <w:trPr>
          <w:trHeight w:val="243"/>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-187960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nine months ended September 30, 2024, were as follows (in thousands):</w:t>
      </w:r>
    </w:p>
    <w:p>
      <w:pPr>
        <w:spacing w:after="0" w:line="196"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05"/>
        </w:trPr>
        <w:tc>
          <w:tcPr>
            <w:tcW w:w="48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tcPr>
          <w:p>
            <w:pPr>
              <w:spacing w:after="0"/>
              <w:rPr>
                <w:sz w:val="20"/>
                <w:szCs w:val="20"/>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FF0FC"/>
          </w:tcPr>
          <w:p>
            <w:pPr>
              <w:spacing w:after="0"/>
              <w:rPr>
                <w:sz w:val="21"/>
                <w:szCs w:val="21"/>
                <w:color w:val="auto"/>
              </w:rPr>
            </w:pPr>
          </w:p>
        </w:tc>
      </w:tr>
      <w:tr>
        <w:trPr>
          <w:trHeight w:val="23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0"/>
                <w:szCs w:val="20"/>
                <w:color w:val="auto"/>
              </w:rPr>
            </w:pPr>
          </w:p>
        </w:tc>
      </w:tr>
    </w:tbl>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September 30, 2024 and 2023 were as follows:</w:t>
      </w:r>
    </w:p>
    <w:p>
      <w:pPr>
        <w:spacing w:after="0" w:line="23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20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20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 years</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10.45 years</w:t>
            </w: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2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w:t>
            </w:r>
          </w:p>
        </w:tc>
        <w:tc>
          <w:tcPr>
            <w:tcW w:w="20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2.57 years</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2.13 years</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8"/>
        </w:trPr>
        <w:tc>
          <w:tcPr>
            <w:tcW w:w="1700" w:type="dxa"/>
            <w:vAlign w:val="bottom"/>
          </w:tcPr>
          <w:p>
            <w:pPr>
              <w:spacing w:after="0"/>
              <w:rPr>
                <w:sz w:val="20"/>
                <w:szCs w:val="20"/>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3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8.72 %</w:t>
            </w:r>
          </w:p>
        </w:tc>
        <w:tc>
          <w:tcPr>
            <w:tcW w:w="316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8.78 %</w:t>
            </w:r>
          </w:p>
        </w:tc>
      </w:tr>
      <w:tr>
        <w:trPr>
          <w:trHeight w:val="243"/>
        </w:trPr>
        <w:tc>
          <w:tcPr>
            <w:tcW w:w="1700" w:type="dxa"/>
            <w:vAlign w:val="bottom"/>
          </w:tcPr>
          <w:p>
            <w:pPr>
              <w:spacing w:after="0"/>
              <w:rPr>
                <w:sz w:val="21"/>
                <w:szCs w:val="21"/>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w:t>
            </w:r>
          </w:p>
        </w:tc>
        <w:tc>
          <w:tcPr>
            <w:tcW w:w="3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8.58 %</w:t>
            </w:r>
          </w:p>
        </w:tc>
        <w:tc>
          <w:tcPr>
            <w:tcW w:w="316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8.48 %</w:t>
            </w:r>
          </w:p>
        </w:tc>
      </w:tr>
      <w:tr>
        <w:trPr>
          <w:trHeight w:val="661"/>
        </w:trPr>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-1216660</wp:posOffset>
            </wp:positionV>
            <wp:extent cx="498919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September 30, 2024, were as follows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0"/>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r>
      <w:tr>
        <w:trPr>
          <w:trHeight w:val="243"/>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(fourth quarter)</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FF0FC"/>
          </w:tcPr>
          <w:p>
            <w:pPr>
              <w:spacing w:after="0"/>
              <w:rPr>
                <w:sz w:val="21"/>
                <w:szCs w:val="21"/>
                <w:color w:val="auto"/>
              </w:rPr>
            </w:pPr>
          </w:p>
        </w:tc>
      </w:tr>
      <w:tr>
        <w:trPr>
          <w:trHeight w:val="23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20"/>
                <w:szCs w:val="20"/>
                <w:color w:val="auto"/>
              </w:rPr>
            </w:pPr>
          </w:p>
        </w:tc>
      </w:tr>
      <w:tr>
        <w:trPr>
          <w:trHeight w:val="247"/>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shd w:val="clear" w:color="auto" w:fill="CFF0FC"/>
          </w:tcPr>
          <w:p>
            <w:pPr>
              <w:spacing w:after="0"/>
              <w:rPr>
                <w:sz w:val="21"/>
                <w:szCs w:val="21"/>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20"/>
                <w:szCs w:val="20"/>
                <w:color w:val="auto"/>
              </w:rPr>
            </w:pPr>
          </w:p>
        </w:tc>
      </w:tr>
      <w:tr>
        <w:trPr>
          <w:trHeight w:val="252"/>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127,890</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80" w:type="dxa"/>
            <w:vAlign w:val="bottom"/>
            <w:shd w:val="clear" w:color="auto" w:fill="CFF0FC"/>
          </w:tcPr>
          <w:p>
            <w:pPr>
              <w:spacing w:after="0"/>
              <w:rPr>
                <w:sz w:val="20"/>
                <w:szCs w:val="20"/>
                <w:color w:val="auto"/>
              </w:rPr>
            </w:pPr>
          </w:p>
        </w:tc>
      </w:tr>
      <w:tr>
        <w:trPr>
          <w:trHeight w:val="23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2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(42,746 )</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r>
      <w:tr>
        <w:trPr>
          <w:trHeight w:val="241"/>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85,144</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80" w:type="dxa"/>
            <w:vAlign w:val="bottom"/>
            <w:shd w:val="clear" w:color="auto" w:fill="CFF0FC"/>
          </w:tcPr>
          <w:p>
            <w:pPr>
              <w:spacing w:after="0"/>
              <w:rPr>
                <w:sz w:val="20"/>
                <w:szCs w:val="20"/>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September 30, 2024 and December 31, 2023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80" w:type="dxa"/>
            <w:vAlign w:val="bottom"/>
            <w:shd w:val="clear" w:color="auto" w:fill="CFF0FC"/>
          </w:tcPr>
          <w:p>
            <w:pPr>
              <w:spacing w:after="0"/>
              <w:rPr>
                <w:sz w:val="20"/>
                <w:szCs w:val="20"/>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80" w:type="dxa"/>
            <w:vAlign w:val="bottom"/>
          </w:tcPr>
          <w:p>
            <w:pPr>
              <w:spacing w:after="0"/>
              <w:rPr>
                <w:sz w:val="20"/>
                <w:szCs w:val="20"/>
                <w:color w:val="auto"/>
              </w:rPr>
            </w:pPr>
          </w:p>
        </w:tc>
      </w:tr>
      <w:tr>
        <w:trPr>
          <w:trHeight w:val="24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FF0FC"/>
          </w:tcPr>
          <w:p>
            <w:pPr>
              <w:spacing w:after="0"/>
              <w:rPr>
                <w:sz w:val="21"/>
                <w:szCs w:val="21"/>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tcPr>
          <w:p>
            <w:pPr>
              <w:spacing w:after="0"/>
              <w:rPr>
                <w:sz w:val="20"/>
                <w:szCs w:val="20"/>
                <w:color w:val="auto"/>
              </w:rPr>
            </w:pPr>
          </w:p>
        </w:tc>
      </w:tr>
      <w:tr>
        <w:trPr>
          <w:trHeight w:val="237"/>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-8255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September 30, 2024 or December 31, 2023.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has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 issuance. After the amendment, outstanding equity includes all outstanding common shares as well as outstanding pre-funded warrants. As of September 30, 2024, there were an aggregate of 3,455,849 shares remaining available for future grants.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September 30, 2024, there were an aggregate 1,957,168 shares remaining available for future grants.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2020 Plan during the nine months ended September 30, 2024 is as follows (in thousands except share and per share data):</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0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8,113,164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2,473,796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(695,821 )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(267,571 )</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9,623,568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4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149,181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5,842,808</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-799465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-799465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-156845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-332105</wp:posOffset>
            </wp:positionV>
            <wp:extent cx="93980" cy="196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21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intrinsic value of stock options exercised during the three months ended September 30, 2024 and 2023 was $10.4 million and $1.1 million, respectively. The intrinsic value of stock options exercised during the nine months ended September 30, 2024 and 2023 was $19.0 million and $7.9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three months ended September 30, 2024 and 2023 was $29.36 and $13.35, respectively. The weighted-average fair value of options granted during the nine months ended September 30, 2024 and 2023 was $26.03 and $18.19 respectively.</w:t>
      </w:r>
    </w:p>
    <w:p>
      <w:pPr>
        <w:spacing w:after="0" w:line="200" w:lineRule="exact"/>
        <w:rPr>
          <w:sz w:val="20"/>
          <w:szCs w:val="20"/>
          <w:color w:val="auto"/>
        </w:rPr>
      </w:pPr>
    </w:p>
    <w:p>
      <w:pPr>
        <w:spacing w:after="0" w:line="2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unrecognized stock-based compensation expense for unvested stock options was $80.7 million, with a weighted average recognition period of 2.1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our equity-based compensation expense for stock options for the three and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6"/>
              </w:rPr>
              <w:t>16,925</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100" w:type="dxa"/>
            <w:vAlign w:val="bottom"/>
            <w:shd w:val="clear" w:color="auto" w:fill="CFF0FC"/>
          </w:tcPr>
          <w:p>
            <w:pPr>
              <w:spacing w:after="0"/>
              <w:rPr>
                <w:sz w:val="20"/>
                <w:szCs w:val="20"/>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18,060</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14,899</w:t>
            </w:r>
          </w:p>
        </w:tc>
        <w:tc>
          <w:tcPr>
            <w:tcW w:w="100" w:type="dxa"/>
            <w:vAlign w:val="bottom"/>
          </w:tcPr>
          <w:p>
            <w:pPr>
              <w:spacing w:after="0"/>
              <w:rPr>
                <w:sz w:val="20"/>
                <w:szCs w:val="20"/>
                <w:color w:val="auto"/>
              </w:rPr>
            </w:pP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6"/>
              </w:rPr>
              <w:t>34,985</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three and nine months ended September 30, 2024 and 2023 were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180" w:type="dxa"/>
            <w:vAlign w:val="bottom"/>
            <w:gridSpan w:val="3"/>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390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14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67 %</w:t>
            </w:r>
          </w:p>
        </w:tc>
        <w:tc>
          <w:tcPr>
            <w:tcW w:w="5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5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3.69 %</w:t>
            </w:r>
          </w:p>
        </w:tc>
        <w:tc>
          <w:tcPr>
            <w:tcW w:w="5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4.12 %</w:t>
            </w:r>
          </w:p>
        </w:tc>
        <w:tc>
          <w:tcPr>
            <w:tcW w:w="5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5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c>
          <w:tcPr>
            <w:tcW w:w="5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nine months ended September 30, 2024 is as follows: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8"/>
        </w:trPr>
        <w:tc>
          <w:tcPr>
            <w:tcW w:w="53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7"/>
        </w:trPr>
        <w:tc>
          <w:tcPr>
            <w:tcW w:w="536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2"/>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593,140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(168,731 )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(37,386 )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Pr>
          <w:p>
            <w:pPr>
              <w:spacing w:after="0"/>
              <w:rPr>
                <w:sz w:val="20"/>
                <w:szCs w:val="20"/>
                <w:color w:val="auto"/>
              </w:rPr>
            </w:pPr>
          </w:p>
        </w:tc>
      </w:tr>
      <w:tr>
        <w:trPr>
          <w:trHeight w:val="23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2024</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783,295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-642620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-642620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granted 152,288 and 129,570 restricted stock units, respectively. During the nine months ended September 30, 2024 and 2023, the Company granted 396,272 and 393,556 restricted stock units, respectively. As of September 30, 2024, the total unrecognized stock-based compensation expense for unvested restricted stock was $19.9 million with a weighted average recognition period of 2.3 years.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approximately $2.3 million of expense for restricted stock of which $1.5 million and $0.8 million was recorded in research and development and general and administrative expense, respectively. During the nine months ended September 30, 2024 the Company recognized approximately $5.6 million of expense for restricted stock of which $3.6 million and $2.0 million was recorded in research and development and general and administrative expense, respectively. During the three months ended September 30, 2023 the Company recognized approximately $1.1 million of expense for restricted stock of which $0.7 million and $0.4 million was recorded in research and development and general and administrative expense, respectively. During the nine months ended September 30, 2023 the Company recognized approximately $2.6 million of expense for restricted stock of which $1.7 million and $0.9 million was recorded in research and development and general and administrative expense,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three and nine months ended September 30, 2024 and 2023 is as follows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6"/>
              </w:rPr>
              <w:t>20,944</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20,269</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100" w:type="dxa"/>
            <w:vAlign w:val="bottom"/>
          </w:tcPr>
          <w:p>
            <w:pPr>
              <w:spacing w:after="0"/>
              <w:rPr>
                <w:sz w:val="20"/>
                <w:szCs w:val="20"/>
                <w:color w:val="auto"/>
              </w:rPr>
            </w:pPr>
          </w:p>
        </w:tc>
      </w:tr>
      <w:tr>
        <w:trPr>
          <w:trHeight w:val="237"/>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6"/>
              </w:rPr>
              <w:t>41,213</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Related-Party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collaborations discussed in Note 5, the Company had no related party transactions for the periods presented in the accompanying condensed consolidated financial statements, which have not otherwise been discussed in these notes to the condensed consolidated financial statements.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taxes for the three and nine months ended September 30, 2024 and 2023 have been calculated based on an estimated annual effective tax rate and certain discrete items. The company recorded immaterial income tax expense related to investment income for the three and nine months ended September 30, 2024 and 2023.</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shares outstanding for the period, including the pre-funded warrants given their nominal exercise price (in thousands, except for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4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(62,487 )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(52,867 )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(153,106 )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(132,594 )</w:t>
            </w: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76,125,975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58,421,859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73,330,338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58,312,813</w:t>
            </w:r>
          </w:p>
        </w:tc>
        <w:tc>
          <w:tcPr>
            <w:tcW w:w="100" w:type="dxa"/>
            <w:vAlign w:val="bottom"/>
          </w:tcPr>
          <w:p>
            <w:pPr>
              <w:spacing w:after="0"/>
              <w:rPr>
                <w:sz w:val="20"/>
                <w:szCs w:val="20"/>
                <w:color w:val="auto"/>
              </w:rPr>
            </w:pPr>
          </w:p>
        </w:tc>
      </w:tr>
      <w:tr>
        <w:trPr>
          <w:trHeight w:val="28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(0.90 )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(2.09 )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(2.27 )</w:t>
            </w:r>
          </w:p>
        </w:tc>
      </w:tr>
      <w:tr>
        <w:trPr>
          <w:trHeight w:val="660"/>
        </w:trPr>
        <w:tc>
          <w:tcPr>
            <w:tcW w:w="484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-950595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-933450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-950595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-933450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-950595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September 30, 2024 and 2023 because including them would have had an anti-dilutive effect:</w:t>
      </w:r>
    </w:p>
    <w:p>
      <w:pPr>
        <w:spacing w:after="0" w:line="218"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783,295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587,667</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9,623,568</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8,249,939</w:t>
            </w:r>
          </w:p>
        </w:tc>
        <w:tc>
          <w:tcPr>
            <w:tcW w:w="80" w:type="dxa"/>
            <w:vAlign w:val="bottom"/>
          </w:tcPr>
          <w:p>
            <w:pPr>
              <w:spacing w:after="0"/>
              <w:rPr>
                <w:sz w:val="20"/>
                <w:szCs w:val="20"/>
                <w:color w:val="auto"/>
              </w:rPr>
            </w:pPr>
          </w:p>
        </w:tc>
      </w:tr>
      <w:tr>
        <w:trPr>
          <w:trHeight w:val="237"/>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10,406,863</w:t>
            </w: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8,837,606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October 30, 2024, Cowen acknowledged and accepted our prior written notice to terminate the Cowen Sales Agreement, which termination was effective on October 30, 2024. As a result of such termination, we will not offer or sell any additional shares of common stock under the Cowen Sales Agreement.</w:t>
      </w:r>
    </w:p>
    <w:p>
      <w:pPr>
        <w:spacing w:after="0" w:line="7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Jefferies Sales Agreement, with Jefferies LLC, or Jefferies, pursuant to which we may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Sales Agreement. As of the date of this Quarterly Report on Form 10-Q, we have not sold any shares of common stock under the Jefferies Sales Agreement.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discovering and developing novel small molecule therapeutics that selectively degrade disease-causing proteins by harnessing the body’s own natural protein degradation system. Our proprietary targeted protein degradation, or TPD, platform, which we refer to as Pegasus™, allows us to discover highly selective small molecule protein degraders with activity against disease-causing proteins throughout the body. We believe that our small molecule protein degraders have unique advantages over existing therapies and allow us to address a large portion of the human genome that was previously intractable with traditional modalities. We focus on biological pathways that have been clinically validated but where key biological nodes/proteins have not been drugged or are inadequately drugged. To date, we have utilized our Pegasus™ platform to design novel protein degraders focused in the areas of immunology-inflammation and oncology, and we continue to apply our platform’s capabilities to additional therapeutic areas. We have a mission to drug all target classes in human cells using TPD.</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current clinical stage programs are IRAK4, STAT6, STAT3 and MDM2. Our programs exemplify our focus on addressing high impact targets that have been elusive to conventional modalities and that drive the pathogenesis of multiple serious diseases with significant unmet medical needs. Our disclosed preclinical program, currently in IND enabling studies, targets TYK2, another protein in a well-validated pathway where we believe our degrader technology has the potential to offer unique advantages as compared to competing therapies. We are focusing our resources and ongoing development efforts primarily on our programs in immunology, each of which addresses high impact targets within biologically proven pathways, providing the opportunity to treat a broad range of immuno-inflammatory diseases.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With respect to our IRAK4 program, we are collaborating with Sanofi S.A, or Sanofi, on the development of drug candidates targeting IRAK4 outside the oncology and immuno-oncology fields. We are developing KT-474, a highly active and selective, orally bioavailable IRAK4 degrader, for the treatment of interleukin-1 receptor/toll-like receptor or IL-1R/TLR-driven immunology-inflammation conditions and diseases with high unmet medical need, including hidradenitis suppurativa, or HS, an inflammatory skin disease, as well as atopic dermatitis, or AD, and potentially other indications. We have completed our Phase 1 trial of KT-474, which included cohorts of healthy volunteers, as well as patients with HS and AD. Phase 2 clinical trials of KT-474, conducted by Sanofi, are initially investigating its potential in HS and AD. Sanofi has initiated clinical trials for both indications and patient dosing is ongoing.</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2024, we initiated dosing in the Phase 1 healthy volunteer clinical trial evaluating single and multiple ascending doses of KT-621, a potent and selective oral degrader of STAT6, an essential transcription factor in the IL-4/IL-13 pathways that is a central driver of TH2 inflammation. The Phase 1 trial will evaluate the safety, tolerability, pharmacokinetics and pharmacodynamics of KT-621 compared to placebo. We expect to report Phase 1 data in the first half of 2025. KT-621 has demonstrated biologic-like activity in preclinical models and has the potential to address multiple allergic and atopic diseases including atopic dermatitis, asthma, and chronic obstructive pulmonary disorder, among others.</w:t>
      </w:r>
    </w:p>
    <w:p>
      <w:pPr>
        <w:spacing w:after="0" w:line="75"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Based on an overall assessment of our clinical oncology programs, and given the opportunities in, and progress across, Kymera’s immunology pipeline, in October 2024 we made the strategic decision not to continue the clinical development of KT-333 (STAT3) and KT-253 (MDM2) beyond Phase</w:t>
      </w:r>
    </w:p>
    <w:p>
      <w:pPr>
        <w:ind w:firstLine="8"/>
        <w:spacing w:after="0" w:line="260" w:lineRule="auto"/>
        <w:tabs>
          <w:tab w:leader="none" w:pos="1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recently completed enrollment and dose escalation for both the KT-333 and KT-253 Phase 1 trials and will only advance beyond this stage with a partner.</w:t>
      </w:r>
    </w:p>
    <w:p>
      <w:pPr>
        <w:spacing w:after="0" w:line="7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$1.71 billion from sales of our convertible preferred stock, the sale of common stock including our August 2020 initial public offering, or IPO, and concurrent private placement, our July 2021 follow-on offering and concurrent private placement, our August 2022 private investment in public equity offering, or PIPE, our January 2024 and August 2024 follow-on offerings, our prior Sales Agreement with Cowen, and through our corporate collaborations.</w:t>
      </w:r>
    </w:p>
    <w:p>
      <w:pPr>
        <w:spacing w:after="0" w:line="12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candidates or any future product candidates. Our net losses were $147.0 million and $154.8 million for the years ended December 31, 2023 and 2022, respectively. We reported net losses of $62.5 million and $52.9 million for the three months ended September 30, 2024 and 2023, respectively and $153.1 million and $132.6 million for the nine months ended September 30, 2024 and 2023, respectively. In addition, as of September 30, 2024 and December 31, 2023 we had an accumulated deficit of $683.9 million and $530.8 million, respectively. We expect that our expense and capital requirements will increase substantially in connection with our ongoing activities, particularly if and as we:</w:t>
      </w:r>
    </w:p>
    <w:p>
      <w:pPr>
        <w:spacing w:after="0" w:line="7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Pegasus™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we had cash, cash equivalents and marketable securities of $911.0 million. We believe the existing cash, cash equivalents and marketable securities on hand will be sufficient to fund our operations into mid 2027, which is expected to take us beyond the Phase 2 data for KT-474, and several clinical inflection points for our STAT6 and TYK2 programs. We have based this estimate on assumptions that may prove to be wrong, and we could exhaust our available capital resources sooner than we expect. See “—Liquidity and capital resources.”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Collaboration Agreement</w:t>
      </w:r>
    </w:p>
    <w:p>
      <w:pPr>
        <w:spacing w:after="0" w:line="121"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7"/>
          <w:szCs w:val="17"/>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Vertex Agreement expired upon the completion of the initial research term on May 9,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made an upfront payment of $150.0 million. In addition to the upfront payment, we are eligible to receive certain development milestone payments of up to $1.48 billion in the aggregate, of which more than $1.0 billion relates to the IRAK4 program, upon the achievement of certain developmental or regulatory events. We will be eligible to receive certain commercial milestone payments up to $700.0 million in the aggregate, of which $400.0 million relates to the IRAK4 program, which are payable upon the achievement of certain net sales thresholds. We will be eligible to receive tiered royalties for each program on net sales ranging from the high single digits to high teens, subject to low-single digits upward adjustments in certain circumstances. As of September 30, 2024 we have achieved $55.0 million of milestones to date under the Sanofi Agreement related to certain IRAK4 clinical milestones.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for which the Company received milestone payments as further set forth in the Amended Sanofi Agreement. Phase 2 clinical trials of KT-474 are initially investigating its potential in HS and AD with the clinical trial for both indications having been initiated and commenced dosing in 2023.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 parties, including clinical research organizations, or CROs, and other third parties that conduct clinical and preclinical activities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and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the COVID-19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three months ended September 30, 2024 and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(987 )</w:t>
            </w: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75,865</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62,237</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(72,124 )</w:t>
            </w:r>
          </w:p>
        </w:tc>
        <w:tc>
          <w:tcPr>
            <w:tcW w:w="3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(57,509 )</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(14,615 )</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(62,487 )</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(52,867 )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(9,620 )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were $3.7 million for the three months ended September 30, 2024, the entirety of which is attributable to our collaboration agreement with Sanofi. Collaboration revenues were $4.7 million for the three months ended September 30, 2023, the entirety of which is attributable to our collaboration agreement with Sanofi.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IRAK4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5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(1,846 )</w:t>
            </w: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STAT3</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(1,467 )</w:t>
            </w:r>
          </w:p>
        </w:tc>
        <w:tc>
          <w:tcPr>
            <w:tcW w:w="0" w:type="dxa"/>
            <w:vAlign w:val="bottom"/>
          </w:tcPr>
          <w:p>
            <w:pPr>
              <w:spacing w:after="0"/>
              <w:rPr>
                <w:sz w:val="1"/>
                <w:szCs w:val="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MDM2</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STAT6</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28,598</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5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-187960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$60.4 million for the three months ended September 30, 2024, compared to $48.1 million for the three months ended September 30, 2023. The increase of $12.3 million was primarily due to a $5.5 million increase in personnel, stock-based compensation, occupancy, and other internal costs due to increase investment in employee talent and facilities in the research and development functions and a $10.2 million increase in costs related to our STAT6 and MDM2. These increases were partially offset by a $3.4 million reduction in activities related to our IRAK4, STAT3 and discovery programs.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$15.5 million for the three months ended September 30, 2024, compared to $14.1 million for the three months ended September 30, 2023. This increase of $1.4 million was primarily due to an increase in legal and professional service fees, personnel, facility, occupancy, and other expenses to support our growth. Stock based compensation expenses included in general and administrative expenses were $7.3 million and $5.9 million for the three months ended September 30, 2024 and 2023, respectively.</w:t>
      </w:r>
    </w:p>
    <w:p>
      <w:pPr>
        <w:spacing w:after="0" w:line="3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$9.6 million for the three months ended September 30, 2024, compared to $4.6 million for the three months ended September 30, 2023. The $5.0 million increase was primarily due to the increase in our investments balance as a result of 2024 financing activities as well as prevailing interest rates in the respective periods.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nine months ended September 30, 2024 and 2023</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gridSpan w:val="2"/>
            <w:shd w:val="clear" w:color="auto" w:fill="CFF0FC"/>
          </w:tcPr>
          <w:p>
            <w:pPr>
              <w:jc w:val="center"/>
              <w:ind w:left="8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1"/>
                <w:szCs w:val="21"/>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136,111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34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220,558</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176,925</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43,633</w:t>
            </w:r>
          </w:p>
        </w:tc>
        <w:tc>
          <w:tcPr>
            <w:tcW w:w="80" w:type="dxa"/>
            <w:vAlign w:val="bottom"/>
            <w:tcBorders>
              <w:top w:val="single" w:sz="8" w:color="CFF0FC"/>
            </w:tcBorders>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1"/>
                <w:szCs w:val="21"/>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(180,880 )</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(146,218 )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(34,662 )</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2"/>
                <w:szCs w:val="22"/>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FF0FC"/>
          </w:tcPr>
          <w:p>
            <w:pPr>
              <w:spacing w:after="0"/>
              <w:rPr>
                <w:sz w:val="22"/>
                <w:szCs w:val="22"/>
                <w:color w:val="auto"/>
              </w:rPr>
            </w:pPr>
          </w:p>
        </w:tc>
        <w:tc>
          <w:tcPr>
            <w:tcW w:w="340" w:type="dxa"/>
            <w:vAlign w:val="bottom"/>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(153,106 )</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(132,594 )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(20,512 )</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10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9"/>
              </w:rPr>
              <w:t>27</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-1567815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-1567815</wp:posOffset>
            </wp:positionV>
            <wp:extent cx="51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-1567815</wp:posOffset>
            </wp:positionV>
            <wp:extent cx="514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-933450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-916305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-933450</wp:posOffset>
            </wp:positionV>
            <wp:extent cx="51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-916305</wp:posOffset>
            </wp:positionV>
            <wp:extent cx="51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-933450</wp:posOffset>
            </wp:positionV>
            <wp:extent cx="514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-916305</wp:posOffset>
            </wp:positionV>
            <wp:extent cx="514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00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were $39.7 million for the nine months ended September 30, 2024, the entirety of which is attributable to our collaboration agreement with Sanofi. Collaboration revenues were $30.7 million for the nine months ended September 30, 2023, of which $22.3 million and $8.4 million were attributable to our collaboration agreements with Sanofi and Vertex, respectively.</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26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IRAK4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7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(5,754 )</w:t>
            </w: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STAT3</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(2,556 )</w:t>
            </w: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MDM2</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STAT6</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(553 )</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85,288</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69,781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168,431</w:t>
            </w:r>
          </w:p>
        </w:tc>
        <w:tc>
          <w:tcPr>
            <w:tcW w:w="7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-187960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-187960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-187960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$168.4 million for the nine months ended September 30, 2024, compared to $136.1 million for the nine months ended September 30, 2023. The increase of $32.3 million was primarily due to an increase of $15.5 million in personnel, stock-based compensation, occupancy, and other internal costs in the research and development functions as well as an increase of $25.7 million in costs related to our STAT6 and MDM2 program. These increases were partially offset by a $8.9 million reduction in activities related to our IRAK4, STAT3, and discovery programs.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$47.2 million for the nine months ended September 30, 2024, compared to $40.8 million for the nine months ended September 30, 2023. The $6.4 million increase was primarily due to an increase in legal and professional service fees, personnel, facility, occupancy, and other expenses to support our growth. Stock based compensation expenses included in general and administrative expenses were $20.3 million and $16.0 million for the nine months ended September 30, 2024 and 2023, respectively.</w:t>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Impairment of long-lived assets was $4.9 million for the nine months ended September 30, 2024, compared to $0 for nine months ended September 30, 2023. The increase of $4.9 million was as a result of the occupancy of the 2021 Lease facility in February of 2024 and the corresponding exit of the 2019 Lease facility, resulting in an impairment charge of $4.9 million in the nine months ended September 30, 2024.</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Other income, net was $27.8 million for the nine months ended September 30, 2024, compared to $13.6 million for the nine months ended September 30, 2023. The $14.2 million increase was primarily due to an increase in our investments balance as a result of 2024 financing activities as well as prevailing interest rates in the respective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$1.71 billion from sales of our convertible preferred stock, the sale of common stock including our August 2020 IPO and concurrent private placement, our July 2021 follow-on offering and concurrent private placement, our August 2022 PIPE offering, January 2024 follow-on offering, August 2024 offering, our prior Sales Agreement with Cowen, and through our corporate collaborations. As of September 30, 2024 we had cash and cash equivalents and marketable securities of $911.0 million.</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2021, we entered into a sales agreement, or Cowen Sales Agreement, with Cowen, pursuant to which we were able to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As of September 30, 2024, we have sold 1,519,453 shares of common stock under the Sales Agreement resulting in gross proceeds of approximately $50 million. On October 30, 2024, Cowen acknowledged and accepted our prior written notice to terminate the Cowen Sales Agreement, which termination was effective on October 30, 2024. As a result of such termination, we will not offer or sell any additional shares of common stock under the Cowen Sales Agreement.</w:t>
      </w:r>
    </w:p>
    <w:p>
      <w:pPr>
        <w:spacing w:after="0" w:line="8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Jefferies Sales Agreement, with Jefferies LLC, or Jefferies, pursuant to which we may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Sales Agreement. As of the date of this Quarterly Report on Form 10-Q, we have not sold any shares of common stock under the Jefferies Sales Agreement.</w:t>
      </w: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5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(132,717 )</w:t>
            </w:r>
          </w:p>
        </w:tc>
        <w:tc>
          <w:tcPr>
            <w:tcW w:w="3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(110,871 )</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240" w:type="dxa"/>
            <w:vAlign w:val="bottom"/>
          </w:tcPr>
          <w:p>
            <w:pPr>
              <w:spacing w:after="0"/>
              <w:rPr>
                <w:sz w:val="20"/>
                <w:szCs w:val="20"/>
                <w:color w:val="auto"/>
              </w:rPr>
            </w:pPr>
          </w:p>
        </w:tc>
        <w:tc>
          <w:tcPr>
            <w:tcW w:w="10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(472,645 )</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120,934</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606,086</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20"/>
                <w:szCs w:val="20"/>
                <w:color w:val="auto"/>
              </w:rPr>
            </w:pPr>
          </w:p>
        </w:tc>
        <w:tc>
          <w:tcPr>
            <w:tcW w:w="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operating activities was $132.7 million, primarily resulting from our net loss of $153.1 million during the period and the $34.6 million change in deferred revenue related to our collaboration agreements. These were offset by a $14.2 million net decrease in other operating assets and liabilities primarily driven by changes in accounts receivable, accounts payable, accrued expenses and operating lease liabilities and adjustments for non-cash items of $40.8 million (primarily consisting of stock-based compensation, lease impairment charge, depreciation &amp; amortization and premiums &amp; discounts on available-sale-securities).</w:t>
      </w:r>
    </w:p>
    <w:p>
      <w:pPr>
        <w:spacing w:after="0" w:line="29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cash used in operating activities was $110.9 million, primarily resulting from our net loss of $132.6 million during the period, the $19.5 million change in deferred revenue under our Sanofi and Vertex collaboration agreements, and a $10.2 million net decrease in other operating assets and liabilities primarily driven by changes in accounts receivable, accounts payable, accrued expenses and operating lease liabilities. These were offset by adjustments for non-cash items of $30.9 million (primarily consisting of stock-based compensation, depreciation &amp; amortization and premiums &amp; discounts on available-sale-securities).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Investing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investing activities was $472.6 million comprised of purchases of marketable securities of $822.8 million and purchases of property and equipment of $11.9 million, partially offset by maturities of marketable securities of $362.1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cash provided by investing activities was $121.0 million comprised of maturities of marketable securities of $287.4 million, partially offset by purchases of marketable securities of $143.6 million and purchases of property and equipment of $22.8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Financing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financing activities was $606.1 million, consisting of $547.9 million in proceeds from issuance of common stock and accompanying pre-funded warrants, net of offering costs, $48.7 million in proceeds from the issuance of common stock through an Sales Agreement, net of issuance costs, $9.6 million in proceeds from the exercise of employee stock options, $1.1 million from proceeds from the employee stock purchase plan, partially offset by finance lease payments of $1.3 million.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net cash provided by financing activities was $2.3 million, consisting of $2.3 million in proceeds from the exercise of employee stock options and $1.0 million in proceeds from the employee stock purchase plan, partially offset by finance lease payments of $1.0 million.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$911.0 million as of September 30, 2024, will enable us to fund our operating expenses and capital expenditure requirements into mid 2027.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commercial revenues, if any, will be derived from sales of products that we do not expect to be commercially available for many years, if ever.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need to obtain substantial additional funds to achieve our business objectives.</w:t>
      </w:r>
    </w:p>
    <w:p>
      <w:pPr>
        <w:spacing w:after="0" w:line="9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2023.</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nine months ended September 30, 2024, there were no material changes to our critical accounting policies from those described in our Annual Report Form 10-K filed with the SEC on February 22, 2024.</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September 30, 2024,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September 30, 2024,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limited operating history and have not generated any revenue to date from drug sales, and may never become profitable.</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Typically, it takes many years to develop one new pharmaceutical drug from the time it is discovered to when it is available for treating patients. Consequently,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the pandemics or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focused substantially all of our efforts and financial resources on developing our proprietary targeted protein degradation drug discovery platform, or the PegasusTM platform, and initial product candidates as well as supporting our collaborations and partnerships. To date, we have financed our operations primarily through the issuance and sale of our convertible preferred stock to outside investors and collaborators in private equity financings, upfront payments under our collaborations and our initial public offering (IPO), follow-on offerings, PIPE offering and at-the market sales program. As of September 30, 2024, our cash and cash equivalents and investments were $911.0 million. We have incurred net losses in each year since our inception, and we had an accumulated deficit of $683.9 million as of September 30, 2024. For the years ended December 31, 2023, 2022 and 2021, we reported net losses of $147.0 million, $154.8 million, $100.2 million, respectively. We reported net losses of $62.5 million and $153.1 million for the three and nine months ended September 30, 2024, respectively, and $52.9 million and $132.6 million for the three and nine months ended September 30, 2023,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 adverse effect on our stockholders’ deficit and working capital. We expect our expenses to significantly increase in connection with our ongoing activities, as we: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r>
        <w:rPr>
          <w:rFonts w:ascii="Times New Roman" w:cs="Times New Roman" w:eastAsia="Times New Roman" w:hAnsi="Times New Roman"/>
          <w:sz w:val="21"/>
          <w:szCs w:val="21"/>
          <w:color w:val="auto"/>
        </w:rPr>
        <w:t>;</w:t>
      </w:r>
    </w:p>
    <w:p>
      <w:pPr>
        <w:spacing w:after="0" w:line="11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2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are engaged in clinical development activities on various programs and are also currently advancing multiple development candidates through preclinical development across a number of potential indications.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we had approximately $911.0 million of cash and cash equivalents and investments, which we expect will be sufficient to fund our operations into mid 2027.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72"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3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Securities and Exchange Commission, or the SEC, annual, quarterly and current reports with respect to our business and financial condition. In addition, the Sarbanes-Oxley Act of 2002, as amended, or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We were required to implement these requirements beginning in 2022 and incurred unexpected expenses in connection with such implementation.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that date, SVB has announced they have been acquired by First Citizens Bank and have resumed mostly normal operations. Similarly, on March 12, 2023, Signature Bank and Silvergate Capital Corp. were each swept into receivership. Since then, additional financial institutions have experienced similar failures and have been placed into receivership.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0"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IRAK4, STAT6, STAT3 and MDM2 programs are in early clinical development. If we are unable to advance them through the clinic for safety or effective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future product candidates, and/or clinical trial costs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Pegasus platform is novel and unproven, which makes it difficult to predict the time, cost of development and likelihood of successfully developing any products.</w:t>
      </w:r>
    </w:p>
    <w:p>
      <w:pPr>
        <w:spacing w:after="0" w:line="16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utilizes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9"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any similar or competitive platforms, will result in the development and marketing approval of any products. Any development problems we experience in the future related to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3"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 key element of our strategy is to apply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9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We are currently focused on our immunology portfolio, consisting of IRAK4, STAT6 and TYK2 programs, which target key signaling pathways implicated in multiple inflammatory and autoimmune diseases. In some instances, we may decide to discontinue our investment in programs. For example, in November 2023, we announced the decision to discontinue the development of our KT-413 (IRAKIMID) and in October 2024, we announced the decision to discontinue the development of our KT-333 and KT-253 programs in order to focus resources to support our growing immunology pipeline. As a result, we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ind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This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 For example, in December 2020, we submitted an IND application for KT-474 to initiate a first-in-human Phase 1 randomized, double-blind, placebo-controlled clinical trial in healthy volunteers and patients with HS or AD. The program was initially placed on partial clinical hold regarding the multiple ascending dose, or MAD, portion of the Phase 1 trial, pending FDA review of the interim data in healthy volunteers from the SAD portion of the trial. In June 2021, the FDA lifted the partial clinical hold on the MAD portion of the Phase 1 trial of KT-474 following review of interim SAD results, and the Phase 1 trial has since been completed.</w:t>
      </w:r>
    </w:p>
    <w:p>
      <w:pPr>
        <w:spacing w:after="0" w:line="1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following scientific evaluation by the EMA,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4" w:name="page45"/>
    <w:bookmarkEnd w:id="44"/>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may be delays in trial initiation,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June 2024, we announced positive interim results from our Phase 1 trial of KT-333 and in November 2023, we announced positive interim results from our Phase 1a trial of KT-253. However, there can be no assurance that the final topline data from either trial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ongoing clinical trials of KT-474, KT-621, KT-333 and KT-253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KT-474, KT-621 and KT-295, may not be replicated in subsequent preclinical studies or clinical trials. In particular, while we have conducted certain preclinical studies of KT-621 and KT-295, we do not know whether either of these product candidates will perform in our planned clinical trials as it has performed in these prior preclinical studies. For example, in preclinical studies, (i) KT-621 demonstrated full inhibition of IL-4/IL-13 pathway in all relevant human cell contexts with picomolar potency that was superior to dupilumab, and equivalent or superior activity to dupilumab, and (ii) KT-295 demonstrated picomolar to nanomolar potencies across all relevant human cell types evaluated.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such as the open-label patient portion of our completed Phase 1 clinical trial of KT-474 and ongoing Phase 1 clinical trials of KT-333 and KT-253.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including our completed Phase 1 trial of KT-474 and ongoing Phase 1 clinical trials of KT-333 and KT-253, may not be predictive of future clinical trial results with any of our product candidates for which we include an open-label clinical trial when studied in a controlled environment with a placebo or active control.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KT-474 for the treatment of a broad set of immunology-inflammation diseases, such as HS, an inflammatory skin disease, AD, and rheumatoid arthritis.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Infectious diseases may also affect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 For example, in February 2020, one of our vendors for active pharmaceutical ingredient, or API, starting materials based in Wuhan, China ceased its operations for several weeks due to the COVID-19 pandemic, which caused a minor delay in the delivery of API starting materials to a separate vendor who manufactures API;</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This includes proposed legislation currently pending in the U.S. Senate and House of Representatives.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 Our current or future product candidates could be delayed in receiving, or fail to receive, regulatory approval for many reasons, including the following</w:t>
      </w:r>
      <w:r>
        <w:rPr>
          <w:rFonts w:ascii="Times New Roman" w:cs="Times New Roman" w:eastAsia="Times New Roman" w:hAnsi="Times New Roman"/>
          <w:sz w:val="21"/>
          <w:szCs w:val="21"/>
          <w:color w:val="auto"/>
        </w:rPr>
        <w:t>:</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Fast Track Designation for one or more of our current or future product candidates. In the third quarter of 2023, the U.S. Food and Drug Administration granted Fast Track designation to KT-333 for the treatment of both relapsed/refractory CTCL and relapsed/refractory PTCL.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KT-474, KT-621, KT-295,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of KT-474, KT-621, KT-295,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orphan drug designation for some of our product candidates. We may also seek Orphan Drug Designation for certain of our other current or future product candidates, and we may be unsuccessful or may be unable to maintain the benefits associated with Orphan Drug Designation, including the potential for market exclusivity.</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granted Orphan Drug Designation for KT-333 for the treatment of peripheral T cell lymphoma and cutaneous T cell lymphoma and for KT-253 for the treatment of acute myeloid leukemia. As part of our business strategy, we may also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may grant orphan designation with respect products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product would be of significant benefit to those affected by the applicable condition). Additionally, designation may be granted for products intended for the diagnosis, prevention, or treatment of a life-threatening, seriously debilitating or serious and chronic condition when, without incentives, it is unlikely that sales of the product in the European Union would be sufficient to justify the necessary investment in developing the product. In the European Union, orphan designation entitles a party to financial incentives such as reduction of fees or fee waivers.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U.S. and ten years in the European Union. The exclusivity period in the European Union can be reduced to six years if at the end of the fifth year, it is established that a product no longer meets the criteria for Orphan Designation, including where it is shown that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the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18"/>
          <w:szCs w:val="18"/>
          <w:color w:val="auto"/>
        </w:rPr>
        <w:t>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The acceptance of study data from clinical trials conducted outside the U.S. or another jurisdiction by the FDA or comparable foreign regulatory authority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70" w:lineRule="auto"/>
        <w:rPr>
          <w:sz w:val="20"/>
          <w:szCs w:val="20"/>
          <w:color w:val="auto"/>
        </w:rPr>
      </w:pPr>
      <w:r>
        <w:rPr>
          <w:rFonts w:ascii="Times New Roman" w:cs="Times New Roman" w:eastAsia="Times New Roman" w:hAnsi="Times New Roman"/>
          <w:sz w:val="17"/>
          <w:szCs w:val="17"/>
          <w:color w:val="auto"/>
        </w:rPr>
        <w:t>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U.S. and in other countries, sales of any products for which we may receive regulatory marketing approval for commercial sale will depend, in part, on the availability of coverage and reimbursement from third-party payors. Third-party payors include government healthcare programs (e.g., Medicare and Medicaid), managed care providers, private health insurers, health maintenance organizations and other organizations. These third-party payors decide which medications they will pay for and establish reimbursement levels. The availability of coverage and extent of reimbursement by governmental and other third-party payors is essential for most patients to be able to afford treatments such as targeted protein degradation therapies.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Private payors tend to follow CMS to a substantial degree. Factors payors consider in determining reimbursement are based on whether the product is:</w:t>
      </w:r>
    </w:p>
    <w:p>
      <w:pPr>
        <w:spacing w:after="0" w:line="7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commercialize any current or future product candidates successfully also will depend in part on the extent to which coverage and reimbursement for these current or future product candidates and related treatments will be available from government authorities, private health insurers and other organizations. Moreover, a payor’s decision to provide coverage for a product does not imply that an adequate reimbursement rate will be approved. We cannot be sure that coverage will be available for any product candidate that we commercialize. If coverage is available, but reimbursement is available only to limited levels, we may not be able to successfully commercialize any product candidate for which we obtain marketing approval.</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expands the types of entities eligible for the 340B drug discount program, addresses a new methodology by which rebates owed by manufacturers under the Medicaid Drug Rebate Program are calculated for drugs that are inhaled, infused, instilled, implanted or injected, increases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administrative, executive and Congressional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In addition, President Biden has issued multiple executive orders that have sought to address the issue of prescription drug costs. It is unclear how other healthcare reform measures of the Biden administration or other efforts, if any, to challenge, repeal or replace the ACA will impact our business.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among other things, created measures for spending reductions by Congress that included, along with subsequent legislation, aggregate reductions of Medicare payments to providers of up to 2% per fiscal year will remain in effect through 2032 unless additional Congressional action is taken.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Taxpayer Relief Act of 2012 among other things, further reduced Medicare payments to several providers, including hospitals, imaging centers and cancer treatment centers, and increased the statute of limitations period for the government to recover overpayments to providers from three to five years. The BBA also amended the ACA, effective January 1, 2019, by increasing the point-of-sale discount that is owed by pharmaceutical manufacturers who participate in Medicare Part D and closing the coverage gap in most Medicare drug plans, commonly referred to as the “donut hole.”</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Rescue Plan Act of 2021 eliminates the statutory Medicaid drug rebate cap, currently set at 100% of a drug’s average manufacturer price, for single source and innovator multiple source drugs, effective January 1, 2024.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68" w:lineRule="exact"/>
        <w:rPr>
          <w:sz w:val="20"/>
          <w:szCs w:val="20"/>
          <w:color w:val="auto"/>
        </w:rPr>
      </w:pPr>
    </w:p>
    <w:p>
      <w:pPr>
        <w:jc w:val="both"/>
        <w:ind w:left="1020" w:hanging="503"/>
        <w:spacing w:after="0" w:line="253"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annual out-of-pocket spending cap for Medicare Part D beneficiaries from $7,050 to $2,000 starting in 2025, thereby effectively eliminating the coverage gap; impose new manufacturer financial liability on many drugs reimbursed under Medicare Part D; allow the U.S. government to negotiate Medicare Part B and Part D pricing for certain high-cost drugs and biologics without generic or biosimilar competition; and require companies to pay rebates to Medicare for drug prices that increase faster than inflation.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marketed products. Such scrutiny has resulted in several recent U.S. Congressional inquiries and has further resulted in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jc w:val="both"/>
        <w:ind w:firstLine="559"/>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the IRA further delayed implementation of this rule to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 results of operations and prospects.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parties are not able to maintain regulatory compliance, our product candidates may lose any regulatory approval that may have been obtained and we may not achieve or sustain profitability.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See the section of the Annual Report titled “Government Regulation -other Regulatory Matters – Other Healthcare Laws” for additional information.</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right="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patent protection and establish collaborative arrangements for research, development, manufacturing and commercialization of new drugs.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Competitors in our efforts to develop small molecule protein degraders therapies for patients, include, but are not limited to, Arvinas, Inc., C4 Therapeutics, Inc., Foghorn Therapeutics Inc. and Nurix Therapeutics, Inc., some of which have entered clinical development. Further, several large pharmaceutical companies have disclosed preclinical and clinical investments in this field.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and TYK2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63"/>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manufacturing organizations and strategic partners to help conduct our preclinical studies. We do not have the ability to independently conduct clinical trials. We rely on medical institutions, clinical investigators, contract laboratories, and other third parties, including collaboration partners, to conduct or otherwise support clinical trials for our current product candidates, and we expect to rely on such third parties for our future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color w:val="auto"/>
        </w:rPr>
        <w:t>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trials of KT-474, KT-621, KT-333 and KT-253,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companies and institutions that accept U.S. funding for projects that utilize biotechnology equipment and services produced or provided by certain biotechnology providers having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18"/>
          <w:szCs w:val="18"/>
          <w:color w:val="auto"/>
        </w:rPr>
        <w:t>relationships with foreign adversaries and which pose a threat to national security. This includes proposed legislation currently pending in the U.S. Senate, following a vote by the Senate Homeland Security and Government Affairs Committee in March of this year.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discussed elsewhere in our Annual Report on Form 10-K and this Quarterly Report on Form 10-Q, our collaboration partner, Sanofi, is conducting a randomized Phase 2 clinical trial evaluating KT-474 in HS and a second randomized Phase 2 trial in AD. Sanofi will have significant discretion in determining the efforts and resources that it will apply to advance those clinical trials.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our initial IRAK4, STAT6, STAT3 and MDM2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patents related to our platform E3 ligase ligand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our patent portfolio covering novel compounds, and the methods of making and using thereof, included 100 patent families. While patents generally expire 20 years from their filing date, patent term adjustments, supplementary protection certificate filings, or patent term extensions could result in later expiration dates in various countries, while terminal disclaimers could result in earlier expiration dates in the U.S.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9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9"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in all countries. Filing, prosecuting and defending patents on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other technologies in all countries throughout the world would be prohibitively expensive, and intellectual property rights in some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18"/>
          <w:szCs w:val="18"/>
          <w:color w:val="auto"/>
        </w:rPr>
        <w:t>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Patent Protection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or impediments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jc w:val="both"/>
        <w:spacing w:after="0" w:line="256" w:lineRule="auto"/>
        <w:rPr>
          <w:sz w:val="20"/>
          <w:szCs w:val="20"/>
          <w:color w:val="auto"/>
        </w:rPr>
      </w:pPr>
      <w:r>
        <w:rPr>
          <w:rFonts w:ascii="Times New Roman" w:cs="Times New Roman" w:eastAsia="Times New Roman" w:hAnsi="Times New Roman"/>
          <w:sz w:val="18"/>
          <w:szCs w:val="18"/>
          <w:color w:val="auto"/>
        </w:rPr>
        <w:t>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are rightfully owned by their former or concurrent employer. Litigation may be necessary to defend against these claims.</w:t>
      </w:r>
    </w:p>
    <w:p>
      <w:pPr>
        <w:spacing w:after="0" w:line="20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jc w:val="both"/>
        <w:ind w:left="1020" w:hanging="503"/>
        <w:spacing w:after="0" w:line="24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unless the third-party licenses its product rights to us, which it is not required to do on commercially reasonable terms or at all;</w:t>
      </w:r>
    </w:p>
    <w:p>
      <w:pPr>
        <w:spacing w:after="0" w:line="90"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may be impaired or delayed, which could in turn significantly harm our business. Even if we obtain a license, it may be nonexclusive, thereby giving our competitors access to the same technologies licensed to us.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reasonable terms, if at all. In that event, we would be unable to further develop and commercialize our current or future product candidates or technologies, which could harm our business significantly.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Ellen Chiniara, our Chief Legal Officer and Jeremy Chadwick, our Chief Operating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2024, we had 184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current space in Watertown, Massachusetts for occupancy now that we have moved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original space to third parties. In the event that we are unable to sublease our excess space on favorable terms, or at all, or if we are able to sublease our space but our subtenants fail to make lease payments to us or otherwise default on their obligations to us, we could incur unanticipated payment obligations or further impairment.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 with Sanofi;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global economic and geopolitical conditions may have serious adverse consequences on our business, financial condition, stock price and results of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the 2024 presidential election in the United States, military conflict, including the ongoing conflicts between Russia and Ukraine, and Israel and Hamas, terrorism, or other geopolitical events. Sanctions imposed by the United States and other countries in response to such conflicts, including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2024, the existing holdings of our executive officers, directors, principal stockholders and their affiliates represent beneficial ownership, in the aggregate, of approximately 25%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approximately 15,159,753 shares of our common stock were reserved for issuance upon exercise of pre-funded warrants. Additionally, 10,406,863 shares of our common stock were reserved for issuance upon exercise of outstanding stock options and vested restricted stock units. The exercise or conversion of these securities will result in a significant increase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3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 capital will be needed in the future to continue our planned operations. To the extent we issue additional equity securities to raise capital or pursuant to our equity incentive plans or other contractual obligations, our stockholders may experience substantial dilution. We may sell common stock, convertible securities or other equity securities in one or more transactions at prices and in a manner we determine from time to time. If we sell or issue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8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because we expect we will need to raise additional capital to fund our future activities, we may in the future sell substantial amounts of common stock or securities convertible into or exchangeable for common stock. Future issuances of common stock or common stock-related securities, together with the exercise of outstanding stock options or warrants, the vesting and settlement of outstanding restricted stock units, and new equity awards granted under our equity incentive plans, if any, may result in further dilution. Pursuant to our prior sales agreement, or Cowen Sales Agreement, with Cowen and Company, LLC, or Cowen, we had the ability to offer and sell up to an aggregate amount of $250.0 million of our common stock from time to time in “at-the-market” offerings, subject to the limitations thereof. As of September 30, 2024, approximately $50 million worth of common stock had been sold under the Cowen Sales Agreement. From October 1, 2021 through September 30, 2024, we have sold 1,519,453 shares of common stock through the Cowen Sales Agreement.</w:t>
      </w:r>
    </w:p>
    <w:p>
      <w:pPr>
        <w:spacing w:after="0" w:line="19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the Jefferies Sales Agreement, with Jefferies LLC pursuant to which we may offer and sell our common stock, subject to certain limitations in the sales agreement and compliance with applicable law, at any time throughout the term of the Jefferies Sales Agreement. The number of shares that are sold by Jefferies after delivering a placement notice will fluctuate based on the market price of the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Sales to, or through, Jefferies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There have not yet been any sales made pursuant to the Jefferies Sales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8"/>
          <w:szCs w:val="18"/>
          <w:color w:val="auto"/>
        </w:rPr>
        <w:t>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For example, under Section 174 of the Code, in taxable years beginning after December 31, 2021, expenses that are incurred for research and development in the U.S. will be capitalized and amortized, which may have an adverse effect on our cash flow.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$160.5 million and $161.3 million, respectively, which begin to expire in various amounts in 2036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2023, we also had federal and state research and development tax credit carryforwards of $19.5 million and $8.1 million, respectively, which begin to expire in 2036.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18"/>
          <w:szCs w:val="18"/>
          <w:color w:val="auto"/>
        </w:rPr>
        <w:t>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September 30, 2024, we did not have any sales of unregistered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Cowen Sales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2024, TD Securities (USA) LLC (f/k/a Cowen and Company, LLC) acknowledged and accepted our prior written notice to terminate the Cowen Sales Agreement, effective immediately.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Entrance into Jefferies Sales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2024, we entered into the Jefferies Sales Agreement with Jefferies with respect to an “at-the-market” offering program under which we may issue and sell, from time to time at our sole discretion, shares of our common stock, having an aggregate offering price of up to $300,000,000, or the Shares, through Jefferies. The issuance and sale, if any, of the Shares may be by any method permitted by law deemed to be an “at the market offering” as defined in Rule 415 of the Securities Act, including, without limitation, sales made directly on the Nasdaq Global Market, or Nasdaq.</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obligated to sell any of the Shares, and Jefferies is not required to sell any specific number or dollar amount of the Shares under the Jefferies Sales Agreement. We or Jefferies may suspend or terminate the offering of the Shares upon notice to the other party and subject to other conditions.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our request to sell the Shares, Jefferies will act on a best efforts basis and use commercially reasonable efforts to sell the Shares on our behalf, from time to time consistent with its normal sales practices and applicable state and federal laws, rules and regulations and Nasdaq rules, based upon instructions from us (including any price, time or size limits or other customary parameters or conditions we may impose). We will pay Jefferies a commission of up to 3.0 percent (3.0%) of the gross proceeds of any of the Shares sold through Jefferies under the Jefferies Sales Agreement. Pursuant to the Jefferies Sales Agreement we have also provided Jefferies with customary indemnification and contribution rights.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Jefferies Sales Agreement is not complete and is qualified in its entirety by reference to the full text of such agreement, a copy of which is filed herewith as Exhibit 10.2 and incorporated herein by reference. This Quarterly Report on Form 10-Q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Securities Exchange Act of 1934, as amended) or director who adopted a Rule 10b5-1 trading arrangement or non-Rule 10b5-1 trading arrangement (as such terms are defined in Item 408 of Regulation S-K) during the three months ended September 30, 2024:</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400" w:type="dxa"/>
            <w:vAlign w:val="bottom"/>
            <w:tcBorders>
              <w:top w:val="single" w:sz="8" w:color="auto"/>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or End</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224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Description of Trading</w:t>
            </w:r>
          </w:p>
        </w:tc>
      </w:tr>
      <w:tr>
        <w:trPr>
          <w:trHeight w:val="265"/>
        </w:trPr>
        <w:tc>
          <w:tcPr>
            <w:tcW w:w="240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 be 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r>
      <w:tr>
        <w:trPr>
          <w:trHeight w:val="189"/>
        </w:trPr>
        <w:tc>
          <w:tcPr>
            <w:tcW w:w="24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Nello Mainolfi</w:t>
            </w:r>
          </w:p>
        </w:tc>
        <w:tc>
          <w:tcPr>
            <w:tcW w:w="16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Trading plan intended</w:t>
            </w:r>
          </w:p>
        </w:tc>
        <w:tc>
          <w:tcPr>
            <w:tcW w:w="1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Adoption</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August 25,</w:t>
            </w:r>
          </w:p>
        </w:tc>
        <w:tc>
          <w:tcPr>
            <w:tcW w:w="22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280,000</w:t>
            </w:r>
          </w:p>
        </w:tc>
        <w:tc>
          <w:tcPr>
            <w:tcW w:w="2240" w:type="dxa"/>
            <w:vAlign w:val="bottom"/>
            <w:tcBorders>
              <w:right w:val="single" w:sz="8" w:color="auto"/>
            </w:tcBorders>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Exercises of vested stock</w:t>
            </w:r>
          </w:p>
        </w:tc>
      </w:tr>
      <w:tr>
        <w:trPr>
          <w:trHeight w:val="216"/>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Founder, President, Chief</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satisfy the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6,</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options and sales of shares of</w:t>
            </w:r>
          </w:p>
        </w:tc>
      </w:tr>
      <w:tr>
        <w:trPr>
          <w:trHeight w:val="218"/>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affirmative defense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conditions of</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terms of the trading plan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 Rule 10b5- 1(c)</w:t>
            </w:r>
          </w:p>
        </w:tc>
        <w:tc>
          <w:tcPr>
            <w:tcW w:w="13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44"/>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186"/>
        </w:trPr>
        <w:tc>
          <w:tcPr>
            <w:tcW w:w="2400" w:type="dxa"/>
            <w:vAlign w:val="bottom"/>
            <w:tcBorders>
              <w:left w:val="single" w:sz="8" w:color="auto"/>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18"/>
                <w:szCs w:val="18"/>
                <w:color w:val="auto"/>
              </w:rPr>
              <w:t>Bruce Jacobs</w:t>
            </w:r>
          </w:p>
        </w:tc>
        <w:tc>
          <w:tcPr>
            <w:tcW w:w="16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Trading plan intended</w:t>
            </w:r>
          </w:p>
        </w:tc>
        <w:tc>
          <w:tcPr>
            <w:tcW w:w="13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Adoption</w:t>
            </w:r>
          </w:p>
        </w:tc>
        <w:tc>
          <w:tcPr>
            <w:tcW w:w="13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December 31,</w:t>
            </w:r>
          </w:p>
        </w:tc>
        <w:tc>
          <w:tcPr>
            <w:tcW w:w="22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rPr>
              <w:t>79,220</w:t>
            </w:r>
          </w:p>
        </w:tc>
        <w:tc>
          <w:tcPr>
            <w:tcW w:w="2240" w:type="dxa"/>
            <w:vAlign w:val="bottom"/>
            <w:tcBorders>
              <w:right w:val="single" w:sz="8" w:color="auto"/>
            </w:tcBorders>
          </w:tcPr>
          <w:p>
            <w:pPr>
              <w:jc w:val="center"/>
              <w:ind w:right="10"/>
              <w:spacing w:after="0" w:line="186" w:lineRule="exact"/>
              <w:rPr>
                <w:sz w:val="20"/>
                <w:szCs w:val="20"/>
                <w:color w:val="auto"/>
              </w:rPr>
            </w:pPr>
            <w:r>
              <w:rPr>
                <w:rFonts w:ascii="Times New Roman" w:cs="Times New Roman" w:eastAsia="Times New Roman" w:hAnsi="Times New Roman"/>
                <w:sz w:val="18"/>
                <w:szCs w:val="18"/>
                <w:color w:val="auto"/>
              </w:rPr>
              <w:t>Exercises of vested stock</w:t>
            </w:r>
          </w:p>
        </w:tc>
      </w:tr>
      <w:tr>
        <w:trPr>
          <w:trHeight w:val="218"/>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satisfy the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6,</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options and sales of shares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affirmative defense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conditions of</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terms of the trading plan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 Rule 10b5- 1(c)</w:t>
            </w:r>
          </w:p>
        </w:tc>
        <w:tc>
          <w:tcPr>
            <w:tcW w:w="13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09"/>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Jeffrey Albers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plan intended</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22,</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16,349</w:t>
            </w:r>
          </w:p>
        </w:tc>
        <w:tc>
          <w:tcPr>
            <w:tcW w:w="2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Exercises of vested stock</w:t>
            </w:r>
          </w:p>
        </w:tc>
      </w:tr>
      <w:tr>
        <w:trPr>
          <w:trHeight w:val="218"/>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satisfy the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20,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options and sales of shares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affirmative defense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conditions of</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terms of the trading plan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 Rule 10b5- 1(c)</w:t>
            </w:r>
          </w:p>
        </w:tc>
        <w:tc>
          <w:tcPr>
            <w:tcW w:w="13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disclosed above, no other officer or director adopted, modified or terminated a Rule 10b5-1 trading arrangement or non-Rule 10b5-1 trading arrangement (as such terms are defined in Item 408 of Regulation S-K) during the three months ended September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820" w:type="dxa"/>
            <w:vAlign w:val="bottom"/>
            <w:gridSpan w:val="9"/>
            <w:vMerge w:val="restart"/>
          </w:tcPr>
          <w:p>
            <w:pPr>
              <w:jc w:val="center"/>
              <w:ind w:right="4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582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Form of Pre-Funded Warrant (Incorporated by reference to Exhibit 4.1 to the Registrant’s Current Report on Form 8-K filed with the</w:t>
              </w:r>
            </w:hyperlink>
          </w:p>
        </w:tc>
        <w:tc>
          <w:tcPr>
            <w:tcW w:w="5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Securities and Exchange Commission on August 20, 2024).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Letter between the Registrant and Genzyme Corporation, dated as of July 31, 2024.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Open Market Sale Agreement</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1"/>
              </w:rPr>
              <w:t>SM</w:t>
            </w:r>
          </w:p>
        </w:tc>
        <w:tc>
          <w:tcPr>
            <w:tcW w:w="54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FF"/>
              </w:rPr>
              <w:t>, by and between the Registrant and Jefferies LLC, dated October 31, 2024.</w:t>
            </w:r>
          </w:p>
        </w:tc>
        <w:tc>
          <w:tcPr>
            <w:tcW w:w="236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tcBorders>
              <w:bottom w:val="single" w:sz="8" w:color="0000FF"/>
            </w:tcBorders>
            <w:gridSpan w:val="3"/>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5440" w:type="dxa"/>
            <w:vAlign w:val="bottom"/>
            <w:tcBorders>
              <w:bottom w:val="single" w:sz="8" w:color="0000FF"/>
            </w:tcBorders>
            <w:gridSpan w:val="5"/>
            <w:vMerge w:val="continue"/>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20" w:hanging="1099"/>
        <w:spacing w:after="0"/>
        <w:tabs>
          <w:tab w:leader="none" w:pos="11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(formatted as Inline XBRL and contained in Exhibit 101)</w:t>
      </w:r>
    </w:p>
    <w:p>
      <w:pPr>
        <w:spacing w:after="0" w:line="211"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were omitted in accordance with the rules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19030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Kymera Therapeutics, Inc.</w:t>
      </w:r>
    </w:p>
    <w:p>
      <w:pPr>
        <w:spacing w:after="0" w:line="252" w:lineRule="exact"/>
        <w:rPr>
          <w:sz w:val="20"/>
          <w:szCs w:val="20"/>
          <w:color w:val="auto"/>
        </w:rPr>
      </w:pPr>
    </w:p>
    <w:p>
      <w:pPr>
        <w:ind w:left="20"/>
        <w:spacing w:after="0"/>
        <w:tabs>
          <w:tab w:leader="none" w:pos="5560" w:val="left"/>
          <w:tab w:leader="none" w:pos="772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47" w:lineRule="exact"/>
        <w:rPr>
          <w:sz w:val="20"/>
          <w:szCs w:val="20"/>
          <w:color w:val="auto"/>
        </w:rPr>
      </w:pPr>
    </w:p>
    <w:p>
      <w:pPr>
        <w:ind w:left="20"/>
        <w:spacing w:after="0"/>
        <w:tabs>
          <w:tab w:leader="none" w:pos="5560" w:val="left"/>
          <w:tab w:leader="none" w:pos="756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Bruce Jacobs, CFA, MBA</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68" w:lineRule="exact"/>
        <w:rPr>
          <w:sz w:val="20"/>
          <w:szCs w:val="20"/>
          <w:color w:val="auto"/>
        </w:rPr>
      </w:pPr>
    </w:p>
    <w:p>
      <w:pPr>
        <w:jc w:val="both"/>
        <w:ind w:left="140" w:right="120"/>
        <w:spacing w:after="0" w:line="295" w:lineRule="auto"/>
        <w:rPr>
          <w:sz w:val="20"/>
          <w:szCs w:val="20"/>
          <w:color w:val="auto"/>
        </w:rPr>
      </w:pPr>
      <w:r>
        <w:rPr>
          <w:rFonts w:ascii="Times New Roman" w:cs="Times New Roman" w:eastAsia="Times New Roman" w:hAnsi="Times New Roman"/>
          <w:sz w:val="19"/>
          <w:szCs w:val="19"/>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Kymera Therapeutics, Inc.</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500 North Beacon Street, 4th Floor, Watertown, MA 02472</w:t>
      </w:r>
    </w:p>
    <w:p>
      <w:pPr>
        <w:ind w:left="140"/>
        <w:spacing w:after="0"/>
        <w:rPr>
          <w:sz w:val="20"/>
          <w:szCs w:val="20"/>
          <w:color w:val="auto"/>
        </w:rPr>
      </w:pPr>
      <w:r>
        <w:rPr>
          <w:rFonts w:ascii="Times New Roman" w:cs="Times New Roman" w:eastAsia="Times New Roman" w:hAnsi="Times New Roman"/>
          <w:sz w:val="20"/>
          <w:szCs w:val="20"/>
          <w:color w:val="auto"/>
        </w:rPr>
        <w:t>Attn: Chief Executive Officer</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with a copy (which will not constitute notice) to: Goodwin Procter</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LLP</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Attn: Sarah Solomon 100 Northern</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Avenue</w:t>
      </w:r>
    </w:p>
    <w:p>
      <w:pPr>
        <w:ind w:left="140"/>
        <w:spacing w:after="0"/>
        <w:rPr>
          <w:sz w:val="20"/>
          <w:szCs w:val="20"/>
          <w:color w:val="auto"/>
        </w:rPr>
      </w:pPr>
      <w:r>
        <w:rPr>
          <w:rFonts w:ascii="Times New Roman" w:cs="Times New Roman" w:eastAsia="Times New Roman" w:hAnsi="Times New Roman"/>
          <w:sz w:val="20"/>
          <w:szCs w:val="20"/>
          <w:color w:val="auto"/>
        </w:rPr>
        <w:t>Boston, MA 02210 By Email and FedEx</w:t>
      </w:r>
    </w:p>
    <w:p>
      <w:pPr>
        <w:spacing w:after="0" w:line="6"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20"/>
          <w:szCs w:val="20"/>
          <w:color w:val="auto"/>
        </w:rPr>
        <w:t>July 31, 2024</w:t>
      </w: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 Amended and Restated Collaboration and License Agreement, dated November 15, 2022 [***]</w:t>
      </w: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189" w:lineRule="exact"/>
        <w:rPr>
          <w:sz w:val="20"/>
          <w:szCs w:val="20"/>
          <w:color w:val="auto"/>
        </w:rPr>
      </w:pPr>
    </w:p>
    <w:p>
      <w:pPr>
        <w:jc w:val="both"/>
        <w:ind w:left="140" w:right="120"/>
        <w:spacing w:after="0" w:line="245" w:lineRule="auto"/>
        <w:rPr>
          <w:sz w:val="20"/>
          <w:szCs w:val="20"/>
          <w:color w:val="auto"/>
        </w:rPr>
      </w:pPr>
      <w:r>
        <w:rPr>
          <w:rFonts w:ascii="Times New Roman" w:cs="Times New Roman" w:eastAsia="Times New Roman" w:hAnsi="Times New Roman"/>
          <w:sz w:val="20"/>
          <w:szCs w:val="20"/>
          <w:color w:val="auto"/>
        </w:rPr>
        <w:t>Reference is hereby made to the Amended and Restated Collaboration and License Agreement, entered into as of November 15, 2022, by and between Kymera Therapeutics, Inc., a corporation organized under the laws of the State of Delaware (“</w:t>
      </w:r>
      <w:r>
        <w:rPr>
          <w:rFonts w:ascii="Times New Roman" w:cs="Times New Roman" w:eastAsia="Times New Roman" w:hAnsi="Times New Roman"/>
          <w:sz w:val="20"/>
          <w:szCs w:val="20"/>
          <w:b w:val="1"/>
          <w:bCs w:val="1"/>
          <w:color w:val="auto"/>
        </w:rPr>
        <w:t>Kymera</w:t>
      </w:r>
      <w:r>
        <w:rPr>
          <w:rFonts w:ascii="Times New Roman" w:cs="Times New Roman" w:eastAsia="Times New Roman" w:hAnsi="Times New Roman"/>
          <w:sz w:val="20"/>
          <w:szCs w:val="20"/>
          <w:color w:val="auto"/>
        </w:rPr>
        <w:t>”), and Genzyme Corporation, a corporation organized under the laws of the Commonwealth of Massachusetts (“</w:t>
      </w:r>
      <w:r>
        <w:rPr>
          <w:rFonts w:ascii="Times New Roman" w:cs="Times New Roman" w:eastAsia="Times New Roman" w:hAnsi="Times New Roman"/>
          <w:sz w:val="20"/>
          <w:szCs w:val="20"/>
          <w:b w:val="1"/>
          <w:bCs w:val="1"/>
          <w:color w:val="auto"/>
        </w:rPr>
        <w:t>Sanofi</w:t>
      </w:r>
      <w:r>
        <w:rPr>
          <w:rFonts w:ascii="Times New Roman" w:cs="Times New Roman" w:eastAsia="Times New Roman" w:hAnsi="Times New Roman"/>
          <w:sz w:val="20"/>
          <w:szCs w:val="20"/>
          <w:color w:val="auto"/>
        </w:rPr>
        <w:t>”), as amended by that certain Letter, entered into as of November 14, 2023, by and between Kymera and Sanofi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Kymera and Sanofi are referred to in this Letter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Capitalized terms used but not defined herein will have the meanings ascribed to such terms in the Agreement.</w:t>
      </w:r>
    </w:p>
    <w:p>
      <w:pPr>
        <w:spacing w:after="0" w:line="171" w:lineRule="exact"/>
        <w:rPr>
          <w:sz w:val="20"/>
          <w:szCs w:val="20"/>
          <w:color w:val="auto"/>
        </w:rPr>
      </w:pPr>
    </w:p>
    <w:p>
      <w:pPr>
        <w:jc w:val="both"/>
        <w:ind w:left="140" w:right="120"/>
        <w:spacing w:after="0" w:line="269" w:lineRule="auto"/>
        <w:rPr>
          <w:sz w:val="20"/>
          <w:szCs w:val="20"/>
          <w:color w:val="auto"/>
        </w:rPr>
      </w:pPr>
      <w:r>
        <w:rPr>
          <w:rFonts w:ascii="Times New Roman" w:cs="Times New Roman" w:eastAsia="Times New Roman" w:hAnsi="Times New Roman"/>
          <w:sz w:val="20"/>
          <w:szCs w:val="20"/>
          <w:color w:val="auto"/>
        </w:rPr>
        <w:t>The Parties desire to collaborate on a [***], and pursuant to Section 18.5 of the Agreement, the Parties desire to amend the Agreement in accordance with the terms and conditions set forth herein.</w:t>
      </w:r>
    </w:p>
    <w:p>
      <w:pPr>
        <w:spacing w:after="0" w:line="1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In consideration of the foregoing premises and the mutual covenants herein contained, the Parties hereby agree as follows:</w:t>
      </w:r>
    </w:p>
    <w:p>
      <w:pPr>
        <w:spacing w:after="0" w:line="198" w:lineRule="exact"/>
        <w:rPr>
          <w:sz w:val="20"/>
          <w:szCs w:val="20"/>
          <w:color w:val="auto"/>
        </w:rPr>
      </w:pPr>
    </w:p>
    <w:p>
      <w:pPr>
        <w:jc w:val="both"/>
        <w:ind w:left="860" w:right="120" w:hanging="740"/>
        <w:spacing w:after="0" w:line="273" w:lineRule="auto"/>
        <w:tabs>
          <w:tab w:leader="none" w:pos="840" w:val="left"/>
        </w:tabs>
        <w:rPr>
          <w:sz w:val="20"/>
          <w:szCs w:val="20"/>
          <w:color w:val="auto"/>
        </w:rPr>
      </w:pPr>
      <w:r>
        <w:rPr>
          <w:rFonts w:ascii="Times New Roman" w:cs="Times New Roman" w:eastAsia="Times New Roman" w:hAnsi="Times New Roman"/>
          <w:sz w:val="20"/>
          <w:szCs w:val="20"/>
          <w:b w:val="1"/>
          <w:bCs w:val="1"/>
          <w:u w:val="single" w:color="auto"/>
          <w:color w:val="auto"/>
        </w:rPr>
        <w:t>1.1</w:t>
      </w:r>
      <w:r>
        <w:rPr>
          <w:sz w:val="20"/>
          <w:szCs w:val="20"/>
          <w:color w:val="auto"/>
        </w:rPr>
        <w:tab/>
      </w:r>
      <w:r>
        <w:rPr>
          <w:rFonts w:ascii="Times New Roman" w:cs="Times New Roman" w:eastAsia="Times New Roman" w:hAnsi="Times New Roman"/>
          <w:sz w:val="20"/>
          <w:szCs w:val="20"/>
          <w:b w:val="1"/>
          <w:bCs w:val="1"/>
          <w:u w:val="single" w:color="auto"/>
          <w:color w:val="auto"/>
        </w:rPr>
        <w:t>Transfer of Materials</w:t>
      </w:r>
      <w:r>
        <w:rPr>
          <w:rFonts w:ascii="Times New Roman" w:cs="Times New Roman" w:eastAsia="Times New Roman" w:hAnsi="Times New Roman"/>
          <w:sz w:val="20"/>
          <w:szCs w:val="20"/>
          <w:color w:val="auto"/>
        </w:rPr>
        <w:t>. Sections 2.9.1, 2.9.2 and 2.9.3 of the Agreement are hereby amended and restated in their entirety as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follows:</w:t>
      </w:r>
    </w:p>
    <w:p>
      <w:pPr>
        <w:spacing w:after="0" w:line="125" w:lineRule="exact"/>
        <w:rPr>
          <w:sz w:val="20"/>
          <w:szCs w:val="20"/>
          <w:color w:val="auto"/>
        </w:rPr>
      </w:pPr>
    </w:p>
    <w:p>
      <w:pPr>
        <w:ind w:left="880"/>
        <w:spacing w:after="0"/>
        <w:tabs>
          <w:tab w:leader="none" w:pos="1600" w:val="left"/>
        </w:tabs>
        <w:rPr>
          <w:sz w:val="20"/>
          <w:szCs w:val="20"/>
          <w:color w:val="auto"/>
        </w:rPr>
      </w:pPr>
      <w:r>
        <w:rPr>
          <w:rFonts w:ascii="Times New Roman" w:cs="Times New Roman" w:eastAsia="Times New Roman" w:hAnsi="Times New Roman"/>
          <w:sz w:val="20"/>
          <w:szCs w:val="20"/>
          <w:u w:val="single" w:color="auto"/>
          <w:color w:val="auto"/>
        </w:rPr>
        <w:t>2.9</w:t>
      </w:r>
      <w:r>
        <w:rPr>
          <w:sz w:val="20"/>
          <w:szCs w:val="20"/>
          <w:color w:val="auto"/>
        </w:rPr>
        <w:tab/>
      </w:r>
      <w:r>
        <w:rPr>
          <w:rFonts w:ascii="Times New Roman" w:cs="Times New Roman" w:eastAsia="Times New Roman" w:hAnsi="Times New Roman"/>
          <w:sz w:val="19"/>
          <w:szCs w:val="19"/>
          <w:b w:val="1"/>
          <w:bCs w:val="1"/>
          <w:u w:val="single" w:color="auto"/>
          <w:color w:val="auto"/>
        </w:rPr>
        <w:t>Transfer of Materials</w:t>
      </w:r>
      <w:r>
        <w:rPr>
          <w:rFonts w:ascii="Times New Roman" w:cs="Times New Roman" w:eastAsia="Times New Roman" w:hAnsi="Times New Roman"/>
          <w:sz w:val="19"/>
          <w:szCs w:val="19"/>
          <w:color w:val="auto"/>
        </w:rPr>
        <w:t>.</w:t>
      </w:r>
    </w:p>
    <w:p>
      <w:pPr>
        <w:spacing w:after="0" w:line="71" w:lineRule="exact"/>
        <w:rPr>
          <w:sz w:val="20"/>
          <w:szCs w:val="20"/>
          <w:color w:val="auto"/>
        </w:rPr>
      </w:pPr>
    </w:p>
    <w:p>
      <w:pPr>
        <w:jc w:val="both"/>
        <w:ind w:left="880" w:right="120" w:firstLine="749"/>
        <w:spacing w:after="0" w:line="246" w:lineRule="auto"/>
        <w:rPr>
          <w:sz w:val="20"/>
          <w:szCs w:val="20"/>
          <w:color w:val="auto"/>
        </w:rPr>
      </w:pPr>
      <w:r>
        <w:rPr>
          <w:rFonts w:ascii="Times New Roman" w:cs="Times New Roman" w:eastAsia="Times New Roman" w:hAnsi="Times New Roman"/>
          <w:sz w:val="20"/>
          <w:szCs w:val="20"/>
          <w:color w:val="auto"/>
        </w:rPr>
        <w:t>2.9.1To facilitate the conduct of activities under each Research Plan and the [***], as applicable: (a) Sanofi may, at its election, provide Materials to Kymera to facilitate Kymera’s Research activities under the Research Plan or [***], as applicable (in which case the transfer of such Materials shall be specified in the Research Plan or [***], as applicable, or the minutes of the JRDC), and (b) Kymera (i) will provide to Sanofi reasonable quantities of such Materials as are reasonably necessary to permit Sanofi to [***].</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 xml:space="preserve">2.9.2All Materials transferred pursuant to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 will remain the sole</w:t>
      </w:r>
    </w:p>
    <w:p>
      <w:pPr>
        <w:spacing w:after="0" w:line="7"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ACTIVE/131770235.4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0" w:name="page91"/>
    <w:bookmarkEnd w:id="90"/>
    <w:p>
      <w:pPr>
        <w:spacing w:after="0" w:line="81"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property of the supplying Party (it being understood that jointly-owned Materials will remain jointly-owned, notwithstanding any physical transfer between the Parties), (b) will be used only in the fulfillment of the receiving Party’s obligations or exercise of rights under this Agreement, (c) will remain solely under the control of the receiving Party, (d) will not be used or delivered by the receiving Party to or for the benefit of any Third Party (other than a permitted Subcontractor or Sublicensee) without the prior written consent of the supplying Party, and (e) will not be used in research or testing involving human subjects, unless expressly agreed in writing. The receiving Party will use the Materials in compliance with Applicable Laws and the terms and conditions of this Agreement, and will not reverse engineer or chemically analyze such Materials, except as specified in the Research Plan or [***], as applicable.</w:t>
      </w:r>
    </w:p>
    <w:p>
      <w:pPr>
        <w:spacing w:after="0" w:line="176" w:lineRule="exact"/>
        <w:rPr>
          <w:sz w:val="20"/>
          <w:szCs w:val="20"/>
          <w:color w:val="auto"/>
        </w:rPr>
      </w:pPr>
    </w:p>
    <w:p>
      <w:pPr>
        <w:jc w:val="both"/>
        <w:ind w:left="7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2.9.3Any intellectual property generated by or on behalf of either Party in connection with the use of Materials transferred pursuant to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will be governed by the following:</w:t>
      </w:r>
    </w:p>
    <w:p>
      <w:pPr>
        <w:spacing w:after="0" w:line="132" w:lineRule="exact"/>
        <w:rPr>
          <w:sz w:val="20"/>
          <w:szCs w:val="20"/>
          <w:color w:val="auto"/>
        </w:rPr>
      </w:pPr>
    </w:p>
    <w:p>
      <w:pPr>
        <w:jc w:val="both"/>
        <w:ind w:left="760" w:firstLine="745"/>
        <w:spacing w:after="0" w:line="263" w:lineRule="auto"/>
        <w:tabs>
          <w:tab w:leader="none" w:pos="192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licenses granted under </w:t>
      </w:r>
      <w:r>
        <w:rPr>
          <w:rFonts w:ascii="Times New Roman" w:cs="Times New Roman" w:eastAsia="Times New Roman" w:hAnsi="Times New Roman"/>
          <w:sz w:val="19"/>
          <w:szCs w:val="19"/>
          <w:u w:val="single" w:color="auto"/>
          <w:color w:val="auto"/>
        </w:rPr>
        <w:t>Article 10</w:t>
      </w:r>
      <w:r>
        <w:rPr>
          <w:rFonts w:ascii="Times New Roman" w:cs="Times New Roman" w:eastAsia="Times New Roman" w:hAnsi="Times New Roman"/>
          <w:sz w:val="19"/>
          <w:szCs w:val="19"/>
          <w:color w:val="auto"/>
        </w:rPr>
        <w:t xml:space="preserve">, the supplying Party will solely own all right, title and interest in and to any data, information, results and reports generated by or on behalf of either Party directly from the use of any transferred Materials that comprise Collaboration Compounds, Collaboration Candidates or Licensed Products, solely within any MTA Research Studies permitted and conducted under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xml:space="preserve"> (including [***]) or the [***] permitted and conducted under </w:t>
      </w:r>
      <w:r>
        <w:rPr>
          <w:rFonts w:ascii="Times New Roman" w:cs="Times New Roman" w:eastAsia="Times New Roman" w:hAnsi="Times New Roman"/>
          <w:sz w:val="19"/>
          <w:szCs w:val="19"/>
          <w:u w:val="single" w:color="auto"/>
          <w:color w:val="auto"/>
        </w:rPr>
        <w:t>Section 2.4.8</w:t>
      </w:r>
      <w:r>
        <w:rPr>
          <w:rFonts w:ascii="Times New Roman" w:cs="Times New Roman" w:eastAsia="Times New Roman" w:hAnsi="Times New Roman"/>
          <w:sz w:val="19"/>
          <w:szCs w:val="19"/>
          <w:color w:val="auto"/>
        </w:rPr>
        <w:t>, as applicable, and such data, information, results and reports will be shared with the supplying Party via the JRDC,</w:t>
      </w:r>
    </w:p>
    <w:p>
      <w:pPr>
        <w:spacing w:after="0" w:line="152" w:lineRule="exact"/>
        <w:rPr>
          <w:rFonts w:ascii="Times New Roman" w:cs="Times New Roman" w:eastAsia="Times New Roman" w:hAnsi="Times New Roman"/>
          <w:sz w:val="19"/>
          <w:szCs w:val="19"/>
          <w:color w:val="auto"/>
        </w:rPr>
      </w:pPr>
    </w:p>
    <w:p>
      <w:pPr>
        <w:jc w:val="both"/>
        <w:ind w:left="760" w:firstLine="745"/>
        <w:spacing w:after="0" w:line="249" w:lineRule="auto"/>
        <w:tabs>
          <w:tab w:leader="none" w:pos="192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Section 2.9.3(a)</w:t>
      </w:r>
      <w:r>
        <w:rPr>
          <w:rFonts w:ascii="Times New Roman" w:cs="Times New Roman" w:eastAsia="Times New Roman" w:hAnsi="Times New Roman"/>
          <w:sz w:val="20"/>
          <w:szCs w:val="20"/>
          <w:color w:val="auto"/>
        </w:rPr>
        <w:t xml:space="preserve">, all intellectual property created, conceived or generated by or on behalf of either Party using Collaboration Compounds, Collaboration Candidates or Licensed Products under this Agreement in connection with the MTA Research Studies or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as applicable, will be governed by the provisions of this Agreement, including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12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u w:val="single" w:color="auto"/>
          <w:color w:val="auto"/>
        </w:rPr>
        <w:t>1.2</w:t>
      </w:r>
      <w:r>
        <w:rPr>
          <w:sz w:val="20"/>
          <w:szCs w:val="20"/>
          <w:color w:val="auto"/>
        </w:rPr>
        <w:tab/>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new Section 2.4.8 is hereby added to the Agreement as follows:</w:t>
      </w:r>
    </w:p>
    <w:p>
      <w:pPr>
        <w:spacing w:after="0" w:line="26" w:lineRule="exact"/>
        <w:rPr>
          <w:sz w:val="20"/>
          <w:szCs w:val="20"/>
          <w:color w:val="auto"/>
        </w:rPr>
      </w:pPr>
    </w:p>
    <w:p>
      <w:pPr>
        <w:jc w:val="both"/>
        <w:ind w:left="760"/>
        <w:spacing w:after="0" w:line="241" w:lineRule="auto"/>
        <w:rPr>
          <w:sz w:val="20"/>
          <w:szCs w:val="20"/>
          <w:color w:val="auto"/>
        </w:rPr>
      </w:pPr>
      <w:r>
        <w:rPr>
          <w:rFonts w:ascii="Times New Roman" w:cs="Times New Roman" w:eastAsia="Times New Roman" w:hAnsi="Times New Roman"/>
          <w:sz w:val="20"/>
          <w:szCs w:val="20"/>
          <w:color w:val="auto"/>
        </w:rPr>
        <w:t>2.4.8</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During the First Additional Degrader Research Term, the Parties will conduct a [***], subject to and in accordance with the terms of this Agreement and a mutually agreed written plan (such plan,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 copy of the current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is attached hereto as Schedule 1. For the avoidance of doubt, the [***] will be conducted by the Parties separately from the Research activities under the Research Plan.</w:t>
      </w:r>
    </w:p>
    <w:p>
      <w:pPr>
        <w:spacing w:after="0" w:line="184" w:lineRule="exact"/>
        <w:rPr>
          <w:sz w:val="20"/>
          <w:szCs w:val="20"/>
          <w:color w:val="auto"/>
        </w:rPr>
      </w:pPr>
    </w:p>
    <w:p>
      <w:pPr>
        <w:jc w:val="both"/>
        <w:ind w:left="2240" w:hanging="735"/>
        <w:spacing w:after="0" w:line="256" w:lineRule="auto"/>
        <w:tabs>
          <w:tab w:leader="none" w:pos="2240" w:val="left"/>
        </w:tabs>
        <w:numPr>
          <w:ilvl w:val="0"/>
          <w:numId w:val="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Amendments</w:t>
      </w:r>
      <w:r>
        <w:rPr>
          <w:rFonts w:ascii="Times New Roman" w:cs="Times New Roman" w:eastAsia="Times New Roman" w:hAnsi="Times New Roman"/>
          <w:sz w:val="20"/>
          <w:szCs w:val="20"/>
          <w:color w:val="auto"/>
        </w:rPr>
        <w:t>. The JRDC will discuss, propose and approve updates and amendments to the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subject to Section 2.4.8(d), no amendment to the [***] will be effective unless and until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approved by the JRDC.</w:t>
      </w:r>
    </w:p>
    <w:p>
      <w:pPr>
        <w:spacing w:after="0" w:line="249" w:lineRule="exact"/>
        <w:rPr>
          <w:rFonts w:ascii="Times New Roman" w:cs="Times New Roman" w:eastAsia="Times New Roman" w:hAnsi="Times New Roman"/>
          <w:sz w:val="20"/>
          <w:szCs w:val="20"/>
          <w:u w:val="single" w:color="auto"/>
          <w:color w:val="auto"/>
        </w:rPr>
      </w:pPr>
    </w:p>
    <w:p>
      <w:pPr>
        <w:ind w:left="2240" w:hanging="735"/>
        <w:spacing w:after="0"/>
        <w:tabs>
          <w:tab w:leader="none" w:pos="2240" w:val="left"/>
        </w:tabs>
        <w:numPr>
          <w:ilvl w:val="0"/>
          <w:numId w:val="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Diligence</w:t>
      </w:r>
      <w:r>
        <w:rPr>
          <w:rFonts w:ascii="Times New Roman" w:cs="Times New Roman" w:eastAsia="Times New Roman" w:hAnsi="Times New Roman"/>
          <w:sz w:val="20"/>
          <w:szCs w:val="20"/>
          <w:color w:val="auto"/>
        </w:rPr>
        <w:t>.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each Party will use Commercially Reasonable Efforts to [***].</w:t>
      </w:r>
    </w:p>
    <w:p>
      <w:pPr>
        <w:spacing w:after="0" w:line="219" w:lineRule="exact"/>
        <w:rPr>
          <w:rFonts w:ascii="Times New Roman" w:cs="Times New Roman" w:eastAsia="Times New Roman" w:hAnsi="Times New Roman"/>
          <w:sz w:val="20"/>
          <w:szCs w:val="20"/>
          <w:u w:val="single" w:color="auto"/>
          <w:color w:val="auto"/>
        </w:rPr>
      </w:pPr>
    </w:p>
    <w:p>
      <w:pPr>
        <w:ind w:left="2240" w:hanging="735"/>
        <w:spacing w:after="0"/>
        <w:tabs>
          <w:tab w:leader="none" w:pos="2240" w:val="left"/>
        </w:tabs>
        <w:numPr>
          <w:ilvl w:val="0"/>
          <w:numId w:val="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u w:val="single" w:color="auto"/>
          <w:color w:val="auto"/>
        </w:rPr>
      </w:pPr>
    </w:p>
    <w:p>
      <w:pPr>
        <w:jc w:val="both"/>
        <w:ind w:left="2240" w:hanging="735"/>
        <w:spacing w:after="0" w:line="246" w:lineRule="auto"/>
        <w:tabs>
          <w:tab w:leader="none" w:pos="2240" w:val="left"/>
        </w:tabs>
        <w:numPr>
          <w:ilvl w:val="0"/>
          <w:numId w:val="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Operational Discretion</w:t>
      </w:r>
      <w:r>
        <w:rPr>
          <w:rFonts w:ascii="Times New Roman" w:cs="Times New Roman" w:eastAsia="Times New Roman" w:hAnsi="Times New Roman"/>
          <w:sz w:val="20"/>
          <w:szCs w:val="20"/>
          <w:color w:val="auto"/>
        </w:rPr>
        <w:t>. Subject to the terms and conditions of this Agreement, including Section 9.9,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Party to which an activity under the [***]is assigned will have the right to make decisions with respect to how such activity is conducted from an operational perspective;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decisions are consistent with this Agreement and the [***];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notwithstanding anything in this Agreement, Sanofi will have final decision- making authority with respect to [***], and Kymera will have final decision-making authority with respect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768985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91" w:name="page92"/>
    <w:bookmarkEnd w:id="91"/>
    <w:p>
      <w:pPr>
        <w:spacing w:after="0" w:line="91" w:lineRule="exact"/>
        <w:rPr>
          <w:sz w:val="20"/>
          <w:szCs w:val="20"/>
          <w:color w:val="auto"/>
        </w:rPr>
      </w:pPr>
    </w:p>
    <w:p>
      <w:pPr>
        <w:ind w:left="2260" w:hanging="755"/>
        <w:spacing w:after="0"/>
        <w:tabs>
          <w:tab w:leader="none" w:pos="2260" w:val="left"/>
        </w:tabs>
        <w:numPr>
          <w:ilvl w:val="0"/>
          <w:numId w:val="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Information Rights</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2260" w:firstLine="742"/>
        <w:spacing w:after="0" w:line="254" w:lineRule="auto"/>
        <w:tabs>
          <w:tab w:leader="none" w:pos="3452"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 each Party will provide the JRDC with a summary of the material activities conducted by or on behalf of such Party or any of its Affiliates or Sublicensees for the [***]. Such summary will be provided to the JRDC at least [***].</w:t>
      </w:r>
    </w:p>
    <w:p>
      <w:pPr>
        <w:spacing w:after="0" w:line="174" w:lineRule="exact"/>
        <w:rPr>
          <w:rFonts w:ascii="Times New Roman" w:cs="Times New Roman" w:eastAsia="Times New Roman" w:hAnsi="Times New Roman"/>
          <w:sz w:val="20"/>
          <w:szCs w:val="20"/>
          <w:color w:val="auto"/>
        </w:rPr>
      </w:pPr>
    </w:p>
    <w:p>
      <w:pPr>
        <w:jc w:val="both"/>
        <w:ind w:left="2260" w:firstLine="742"/>
        <w:spacing w:after="0" w:line="245" w:lineRule="auto"/>
        <w:tabs>
          <w:tab w:leader="none" w:pos="3452"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 each Party will provide a written report to the JRDC summarizing the results and deliverables of its activities for the [***] and containing all raw data generated in connection with such activities (the “[***]”) within [***] after the earliest of (a) [***] and (b) mutual agreement by the Parties (such agreement not to be unreasonably withheld, conditioned or delayed). Upon a Party’s request, the JRDC will convene a special meeting to review and discuss the [***] within [***] (the “[***]”); otherwise such review and discussion will occur at the next scheduled JRDC meeting.</w:t>
      </w:r>
    </w:p>
    <w:p>
      <w:pPr>
        <w:spacing w:after="0" w:line="180" w:lineRule="exact"/>
        <w:rPr>
          <w:rFonts w:ascii="Times New Roman" w:cs="Times New Roman" w:eastAsia="Times New Roman" w:hAnsi="Times New Roman"/>
          <w:sz w:val="20"/>
          <w:szCs w:val="20"/>
          <w:color w:val="auto"/>
        </w:rPr>
      </w:pPr>
    </w:p>
    <w:p>
      <w:pPr>
        <w:jc w:val="both"/>
        <w:ind w:left="2240" w:hanging="735"/>
        <w:spacing w:after="0" w:line="243" w:lineRule="auto"/>
        <w:tabs>
          <w:tab w:leader="none" w:pos="2240" w:val="left"/>
        </w:tabs>
        <w:numPr>
          <w:ilvl w:val="0"/>
          <w:numId w:val="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Subcontracting</w:t>
      </w:r>
      <w:r>
        <w:rPr>
          <w:rFonts w:ascii="Times New Roman" w:cs="Times New Roman" w:eastAsia="Times New Roman" w:hAnsi="Times New Roman"/>
          <w:sz w:val="20"/>
          <w:szCs w:val="20"/>
          <w:color w:val="auto"/>
        </w:rPr>
        <w:t>. Sanofi may engage Third Party contractors to perform the [***] activities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that (a) each contract between Sanofi and a Third Party contractor will include confidentiality and non-use provisions that are substantially similar to those set forth in Article 16 (or such other terms as are otherwise agreed by Kymera) (but of duration customary in confidentiality agreements entered into for a similar purpose, provided that the duration of confidentiality for any information which constitutes a trade secret will be for as long as such information remains a trade secret under Applicable Law), (b) Sanofi will remain at all times fully liable for the acts and omissions by such Third Party contractors under this Agreement as if they were acts or omissions by Sanofi, (c) Sanofi will be responsible for the effective and timely management of and payment of its Approved Third Party contractors hereunder and (d) each contract between Sanofi and a Third Party contractor will provide that [***].</w:t>
      </w:r>
    </w:p>
    <w:p>
      <w:pPr>
        <w:spacing w:after="0" w:line="18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u w:val="single" w:color="auto"/>
          <w:color w:val="auto"/>
        </w:rPr>
        <w:t>1.3</w:t>
      </w:r>
      <w:r>
        <w:rPr>
          <w:sz w:val="20"/>
          <w:szCs w:val="20"/>
          <w:color w:val="auto"/>
        </w:rPr>
        <w:tab/>
      </w:r>
      <w:r>
        <w:rPr>
          <w:rFonts w:ascii="Times New Roman" w:cs="Times New Roman" w:eastAsia="Times New Roman" w:hAnsi="Times New Roman"/>
          <w:sz w:val="19"/>
          <w:szCs w:val="19"/>
          <w:b w:val="1"/>
          <w:bCs w:val="1"/>
          <w:u w:val="single" w:color="auto"/>
          <w:color w:val="auto"/>
        </w:rPr>
        <w:t>Joint Research and Development Committee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1.3.1</w:t>
      </w:r>
      <w:r>
        <w:rPr>
          <w:rFonts w:ascii="Times New Roman" w:cs="Times New Roman" w:eastAsia="Times New Roman" w:hAnsi="Times New Roman"/>
          <w:sz w:val="20"/>
          <w:szCs w:val="20"/>
          <w:color w:val="auto"/>
        </w:rPr>
        <w:t>Sections 9.2.2(a) and 9.2.2(b) of the Agreement are hereby amended and restated in their entirety as follows:</w:t>
      </w:r>
    </w:p>
    <w:p>
      <w:pPr>
        <w:spacing w:after="0" w:line="189"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u w:val="single" w:color="auto"/>
          <w:color w:val="auto"/>
        </w:rPr>
        <w:t>9.2.2</w:t>
      </w:r>
      <w:r>
        <w:rPr>
          <w:rFonts w:ascii="Times New Roman" w:cs="Times New Roman" w:eastAsia="Times New Roman" w:hAnsi="Times New Roman"/>
          <w:sz w:val="20"/>
          <w:szCs w:val="20"/>
          <w:b w:val="1"/>
          <w:bCs w:val="1"/>
          <w:u w:val="single" w:color="auto"/>
          <w:color w:val="auto"/>
        </w:rPr>
        <w:t>Specific Responsibilities</w:t>
      </w:r>
      <w:r>
        <w:rPr>
          <w:rFonts w:ascii="Times New Roman" w:cs="Times New Roman" w:eastAsia="Times New Roman" w:hAnsi="Times New Roman"/>
          <w:sz w:val="20"/>
          <w:szCs w:val="20"/>
          <w:color w:val="auto"/>
        </w:rPr>
        <w:t xml:space="preserve">. The JRDC will, subject to the escalation, final decision-making authority and dispute resolution procedures in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760" w:firstLine="745"/>
        <w:spacing w:after="0" w:line="269" w:lineRule="auto"/>
        <w:tabs>
          <w:tab w:leader="none" w:pos="192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responsible for overseeing the Parties’ performance of their respective activities under the Research Plan, Early Development Plan and [***] and provide support to each Party with respect to such Party’s activities thereunder;</w:t>
      </w:r>
    </w:p>
    <w:p>
      <w:pPr>
        <w:spacing w:after="0" w:line="14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2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(i) each amended Research Plan, Early Development Plan and [***] and approve updates or material amendments to the Research Plan, Early Development Plan and [***] and (ii) the Phase 2 Development Plan and approve updates or material amendments to the Phase 2 Development Plan;</w:t>
      </w:r>
    </w:p>
    <w:p>
      <w:pPr>
        <w:spacing w:after="0" w:line="157"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1.3.2</w:t>
      </w:r>
      <w:r>
        <w:rPr>
          <w:sz w:val="20"/>
          <w:szCs w:val="20"/>
          <w:color w:val="auto"/>
        </w:rPr>
        <w:tab/>
      </w:r>
      <w:r>
        <w:rPr>
          <w:rFonts w:ascii="Times New Roman" w:cs="Times New Roman" w:eastAsia="Times New Roman" w:hAnsi="Times New Roman"/>
          <w:sz w:val="19"/>
          <w:szCs w:val="19"/>
          <w:color w:val="auto"/>
        </w:rPr>
        <w:t>The following subsection (mm) is hereby added to Section 9.2.2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792480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92" w:name="page93"/>
    <w:bookmarkEnd w:id="92"/>
    <w:p>
      <w:pPr>
        <w:ind w:left="1500" w:firstLine="10"/>
        <w:spacing w:after="0" w:line="269" w:lineRule="auto"/>
        <w:tabs>
          <w:tab w:leader="none" w:pos="198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review and discuss summaries, reports and data provided by the Parties pursuant to </w:t>
      </w:r>
      <w:r>
        <w:rPr>
          <w:rFonts w:ascii="Times New Roman" w:cs="Times New Roman" w:eastAsia="Times New Roman" w:hAnsi="Times New Roman"/>
          <w:sz w:val="20"/>
          <w:szCs w:val="20"/>
          <w:u w:val="single" w:color="auto"/>
          <w:color w:val="auto"/>
        </w:rPr>
        <w:t>Section 2.4.8(e)</w:t>
      </w:r>
      <w:r>
        <w:rPr>
          <w:rFonts w:ascii="Times New Roman" w:cs="Times New Roman" w:eastAsia="Times New Roman" w:hAnsi="Times New Roman"/>
          <w:sz w:val="20"/>
          <w:szCs w:val="20"/>
          <w:color w:val="auto"/>
        </w:rPr>
        <w:t xml:space="preserve"> in accordance with the terms thereof;</w:t>
      </w:r>
    </w:p>
    <w:p>
      <w:pPr>
        <w:spacing w:after="0" w:line="1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u w:val="single" w:color="auto"/>
          <w:color w:val="auto"/>
        </w:rPr>
        <w:t>1.4</w:t>
      </w:r>
      <w:r>
        <w:rPr>
          <w:sz w:val="20"/>
          <w:szCs w:val="20"/>
          <w:color w:val="auto"/>
        </w:rPr>
        <w:tab/>
      </w:r>
      <w:r>
        <w:rPr>
          <w:rFonts w:ascii="Times New Roman" w:cs="Times New Roman" w:eastAsia="Times New Roman" w:hAnsi="Times New Roman"/>
          <w:sz w:val="19"/>
          <w:szCs w:val="19"/>
          <w:b w:val="1"/>
          <w:bCs w:val="1"/>
          <w:u w:val="single" w:color="auto"/>
          <w:color w:val="auto"/>
        </w:rPr>
        <w:t>License Grant to Sanofi</w:t>
      </w:r>
      <w:r>
        <w:rPr>
          <w:rFonts w:ascii="Times New Roman" w:cs="Times New Roman" w:eastAsia="Times New Roman" w:hAnsi="Times New Roman"/>
          <w:sz w:val="19"/>
          <w:szCs w:val="19"/>
          <w:color w:val="auto"/>
        </w:rPr>
        <w:t>. Section 10.1.2 of the Agreement is hereby amended and restated in its entirety as follows:</w:t>
      </w:r>
    </w:p>
    <w:p>
      <w:pPr>
        <w:spacing w:after="0" w:line="193" w:lineRule="exact"/>
        <w:rPr>
          <w:sz w:val="20"/>
          <w:szCs w:val="20"/>
          <w:color w:val="auto"/>
        </w:rPr>
      </w:pPr>
    </w:p>
    <w:p>
      <w:pPr>
        <w:jc w:val="both"/>
        <w:ind w:left="760" w:right="20"/>
        <w:spacing w:after="0" w:line="245" w:lineRule="auto"/>
        <w:rPr>
          <w:sz w:val="20"/>
          <w:szCs w:val="20"/>
          <w:color w:val="auto"/>
        </w:rPr>
      </w:pPr>
      <w:r>
        <w:rPr>
          <w:rFonts w:ascii="Times New Roman" w:cs="Times New Roman" w:eastAsia="Times New Roman" w:hAnsi="Times New Roman"/>
          <w:sz w:val="20"/>
          <w:szCs w:val="20"/>
          <w:color w:val="auto"/>
        </w:rPr>
        <w:t>10.1.2 Subject to the terms of this Agreement, on a Collaboration Target-by-Collaboration Target basis, during the Research Term, solely to the extent that Sanofi has any Step-In Activities, CMC activities, Manufacturing activities, or other activities under the Research Plan, Early Development Plan, [***] and Phase 2 Activities, as applicable, Kymera hereby grants to Sanofi a non-exclusive, non-royalty bearing license, including the right to grant Sublicenses in accordance with Section 10.3, under the Licensed Technology to perform such Step-In Activities, CMC activities, Manufacturing activities, or other activities under the Research Plan, Early Development Plan, [***] or Phase 2 Activities, as applicable.</w:t>
      </w:r>
    </w:p>
    <w:p>
      <w:pPr>
        <w:spacing w:after="0" w:line="16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u w:val="single" w:color="auto"/>
          <w:color w:val="auto"/>
        </w:rPr>
        <w:t>1.5</w:t>
      </w:r>
      <w:r>
        <w:rPr>
          <w:sz w:val="20"/>
          <w:szCs w:val="20"/>
          <w:color w:val="auto"/>
        </w:rPr>
        <w:tab/>
      </w:r>
      <w:r>
        <w:rPr>
          <w:rFonts w:ascii="Times New Roman" w:cs="Times New Roman" w:eastAsia="Times New Roman" w:hAnsi="Times New Roman"/>
          <w:sz w:val="19"/>
          <w:szCs w:val="19"/>
          <w:b w:val="1"/>
          <w:bCs w:val="1"/>
          <w:color w:val="auto"/>
        </w:rPr>
        <w:t>License Grant to Kymera</w:t>
      </w:r>
      <w:r>
        <w:rPr>
          <w:rFonts w:ascii="Times New Roman" w:cs="Times New Roman" w:eastAsia="Times New Roman" w:hAnsi="Times New Roman"/>
          <w:sz w:val="19"/>
          <w:szCs w:val="19"/>
          <w:color w:val="auto"/>
        </w:rPr>
        <w:t>. Section 10.2 of the Agreement is hereby amended and restated in its entirety as follows:</w:t>
      </w:r>
    </w:p>
    <w:p>
      <w:pPr>
        <w:spacing w:after="0" w:line="189" w:lineRule="exact"/>
        <w:rPr>
          <w:sz w:val="20"/>
          <w:szCs w:val="20"/>
          <w:color w:val="auto"/>
        </w:rPr>
      </w:pPr>
    </w:p>
    <w:p>
      <w:pPr>
        <w:jc w:val="both"/>
        <w:ind w:left="760" w:right="20" w:hanging="1"/>
        <w:spacing w:after="0" w:line="243"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u w:val="single" w:color="auto"/>
          <w:color w:val="auto"/>
        </w:rPr>
        <w:t>License Grant to Kymera</w:t>
      </w:r>
      <w:r>
        <w:rPr>
          <w:rFonts w:ascii="Times New Roman" w:cs="Times New Roman" w:eastAsia="Times New Roman" w:hAnsi="Times New Roman"/>
          <w:sz w:val="20"/>
          <w:szCs w:val="20"/>
          <w:color w:val="auto"/>
        </w:rPr>
        <w:t xml:space="preserve">. Subject to the terms and conditions of this Agreement, including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on a Collaboration Target-by-Collaboration Target basis during the Term, Sanofi hereby grants to Kymera a non-exclusive license under (i) the Sanofi Technology, and (ii) the Exclusive Licenses under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each including the right to grant Sublicenses in accordance with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solely to perform Kymera’s obligations under this Agreement. The foregoing license to Kymera and its Affiliates includes, on a Collaboration Target-by-Collaboration Target basis, a license to Kymera and its Affiliates to (a) perform activities under the Research Plan, Early Development Plan and Backup Research Plan for a given Collaboration Target, (b) perform activities under the [***], (c) if Kymera exercises the Kymera Co-Promote Right for a Collaboration Target, to perform Co-Promotion activities for Opt-In Products Directed Against such Collaboration Target in the applicable Field in the United States, and (d) perform Manufacturing activities for Collaboration Compounds, Collaboration Candidates and Licensed Products Directed Against such Collaboration Target as set forth in this Agreement.</w:t>
      </w:r>
    </w:p>
    <w:p>
      <w:pPr>
        <w:spacing w:after="0" w:line="1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u w:val="single" w:color="auto"/>
          <w:color w:val="auto"/>
        </w:rPr>
        <w:t>1.6</w:t>
      </w:r>
      <w:r>
        <w:rPr>
          <w:sz w:val="20"/>
          <w:szCs w:val="20"/>
          <w:color w:val="auto"/>
        </w:rPr>
        <w:tab/>
      </w:r>
      <w:r>
        <w:rPr>
          <w:rFonts w:ascii="Times New Roman" w:cs="Times New Roman" w:eastAsia="Times New Roman" w:hAnsi="Times New Roman"/>
          <w:sz w:val="19"/>
          <w:szCs w:val="19"/>
          <w:b w:val="1"/>
          <w:bCs w:val="1"/>
          <w:color w:val="auto"/>
        </w:rPr>
        <w:t>Ownership of [***] Technology</w:t>
      </w:r>
      <w:r>
        <w:rPr>
          <w:rFonts w:ascii="Times New Roman" w:cs="Times New Roman" w:eastAsia="Times New Roman" w:hAnsi="Times New Roman"/>
          <w:sz w:val="19"/>
          <w:szCs w:val="19"/>
          <w:color w:val="auto"/>
        </w:rPr>
        <w:t>. Section 12.1.2(b) of the Agreement is hereby amended and restated in its entirety as follows:</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w:t>
      </w:r>
    </w:p>
    <w:p>
      <w:pPr>
        <w:spacing w:after="0" w:line="202" w:lineRule="exact"/>
        <w:rPr>
          <w:sz w:val="20"/>
          <w:szCs w:val="20"/>
          <w:color w:val="auto"/>
        </w:rPr>
      </w:pPr>
    </w:p>
    <w:p>
      <w:pPr>
        <w:jc w:val="both"/>
        <w:ind w:left="760" w:right="20" w:firstLine="715"/>
        <w:spacing w:after="0" w:line="254" w:lineRule="auto"/>
        <w:tabs>
          <w:tab w:leader="none" w:pos="192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between the Parties, Kymera will be the sole owner of any Foreground Know-How that [***], and will own and retain all rights, title and interest thereto, subject to any rights or licenses expressly granted by Kymera to Sanofi under this Agreement. For clarity, [***]. Any dispute of whether any [***] will be governed by </w:t>
      </w:r>
      <w:r>
        <w:rPr>
          <w:rFonts w:ascii="Times New Roman" w:cs="Times New Roman" w:eastAsia="Times New Roman" w:hAnsi="Times New Roman"/>
          <w:sz w:val="20"/>
          <w:szCs w:val="20"/>
          <w:u w:val="single" w:color="auto"/>
          <w:color w:val="auto"/>
        </w:rPr>
        <w:t>Sections 9.9.2(b)(iii)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9.9.2(b)(iv)</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960" w:hanging="485"/>
        <w:spacing w:after="0"/>
        <w:tabs>
          <w:tab w:leader="none" w:pos="1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Kymera will be the sole owner of all Foreground Know-How [***]. For clarity, [***].</w:t>
      </w:r>
    </w:p>
    <w:p>
      <w:pPr>
        <w:spacing w:after="0" w:line="189" w:lineRule="exact"/>
        <w:rPr>
          <w:sz w:val="20"/>
          <w:szCs w:val="20"/>
          <w:color w:val="auto"/>
        </w:rPr>
      </w:pPr>
    </w:p>
    <w:p>
      <w:pPr>
        <w:jc w:val="both"/>
        <w:ind w:left="80" w:right="20"/>
        <w:spacing w:after="0" w:line="244" w:lineRule="auto"/>
        <w:rPr>
          <w:sz w:val="20"/>
          <w:szCs w:val="20"/>
          <w:color w:val="auto"/>
        </w:rPr>
      </w:pPr>
      <w:r>
        <w:rPr>
          <w:rFonts w:ascii="Times New Roman" w:cs="Times New Roman" w:eastAsia="Times New Roman" w:hAnsi="Times New Roman"/>
          <w:sz w:val="20"/>
          <w:szCs w:val="20"/>
          <w:color w:val="auto"/>
        </w:rPr>
        <w:t>Except as specifically set forth in this Letter, the Agreement will continue in full force and effect without change. This Letter (together with all schedules and exhibits attached hereto) constitutes and contains the complete, final and exclusive understanding and agreement of the Parties and cancels and supersedes all prior negotiations, correspondence, understandings and agreements, whether oral or written, between the Parties respecting the subject matter hereof. No amendment, modification or supplement of any provision of this Letter will be valid or effective unless made in writing and signed by a duly authorized officer of each of Sanofi and Kymera. No provision of this Letter will be waived by any act, omission or knowledge of a Party or its agents or employees except by an instrument in writing expressly waiving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779780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399" w:right="439" w:bottom="1440" w:gutter="0" w:footer="0" w:header="0"/>
        </w:sectPr>
      </w:pPr>
    </w:p>
    <w:bookmarkStart w:id="93" w:name="page94"/>
    <w:bookmarkEnd w:id="93"/>
    <w:p>
      <w:pPr>
        <w:spacing w:after="0" w:line="81" w:lineRule="exact"/>
        <w:rPr>
          <w:sz w:val="20"/>
          <w:szCs w:val="20"/>
          <w:color w:val="auto"/>
        </w:rPr>
      </w:pPr>
    </w:p>
    <w:p>
      <w:pPr>
        <w:ind w:left="60"/>
        <w:spacing w:after="0" w:line="269" w:lineRule="auto"/>
        <w:rPr>
          <w:sz w:val="20"/>
          <w:szCs w:val="20"/>
          <w:color w:val="auto"/>
        </w:rPr>
      </w:pPr>
      <w:r>
        <w:rPr>
          <w:rFonts w:ascii="Times New Roman" w:cs="Times New Roman" w:eastAsia="Times New Roman" w:hAnsi="Times New Roman"/>
          <w:sz w:val="20"/>
          <w:szCs w:val="20"/>
          <w:color w:val="auto"/>
        </w:rPr>
        <w:t>and signed by a duly authorized officer of the waiving Party. The waiver by either Party of any breach of any provision hereof by the other Party will not be construed to be a waiver of any succeeding breach of such provision or a waiver of the provision itself.</w:t>
      </w:r>
    </w:p>
    <w:p>
      <w:pPr>
        <w:spacing w:after="0" w:line="1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Letter, and all claims arising under or in connection therewith, will be governed by and interpreted in accordance with the substantive laws of the State of New York, without regard to conflict of law principles thereof.</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Sincerely,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behalf of Genzyme Corporation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Bertin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Name: John Bertin</w:t>
      </w:r>
    </w:p>
    <w:p>
      <w:pPr>
        <w:ind w:left="60"/>
        <w:spacing w:after="0"/>
        <w:rPr>
          <w:sz w:val="20"/>
          <w:szCs w:val="20"/>
          <w:color w:val="auto"/>
        </w:rPr>
      </w:pPr>
      <w:r>
        <w:rPr>
          <w:rFonts w:ascii="Times New Roman" w:cs="Times New Roman" w:eastAsia="Times New Roman" w:hAnsi="Times New Roman"/>
          <w:sz w:val="20"/>
          <w:szCs w:val="20"/>
          <w:color w:val="auto"/>
        </w:rPr>
        <w:t>Title: Head of Immunology Research</w:t>
      </w:r>
    </w:p>
    <w:p>
      <w:pPr>
        <w:ind w:left="6040"/>
        <w:spacing w:after="0"/>
        <w:rPr>
          <w:sz w:val="20"/>
          <w:szCs w:val="20"/>
          <w:color w:val="auto"/>
        </w:rPr>
      </w:pPr>
      <w:r>
        <w:rPr>
          <w:rFonts w:ascii="Times New Roman" w:cs="Times New Roman" w:eastAsia="Times New Roman" w:hAnsi="Times New Roman"/>
          <w:sz w:val="20"/>
          <w:szCs w:val="20"/>
          <w:color w:val="auto"/>
        </w:rPr>
        <w:t>Acknowledged and Agreed:</w:t>
      </w:r>
    </w:p>
    <w:p>
      <w:pPr>
        <w:spacing w:after="0" w:line="20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On behalf of Kymera Therapeutics, Inc.</w:t>
      </w:r>
    </w:p>
    <w:p>
      <w:pPr>
        <w:spacing w:after="0" w:line="2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/s/Nello Mainolfi</w:t>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Name: Nello Mainolfi</w:t>
      </w:r>
    </w:p>
    <w:p>
      <w:pPr>
        <w:ind w:left="6040"/>
        <w:spacing w:after="0"/>
        <w:rPr>
          <w:sz w:val="20"/>
          <w:szCs w:val="20"/>
          <w:color w:val="auto"/>
        </w:rPr>
      </w:pPr>
      <w:r>
        <w:rPr>
          <w:rFonts w:ascii="Times New Roman" w:cs="Times New Roman" w:eastAsia="Times New Roman" w:hAnsi="Times New Roman"/>
          <w:sz w:val="20"/>
          <w:szCs w:val="2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775970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94" w:name="page95"/>
    <w:bookmarkEnd w:id="94"/>
    <w:p>
      <w:pPr>
        <w:ind w:left="1026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OPEN MARKET SALE AGREEMENT</w:t>
      </w:r>
      <w:r>
        <w:rPr>
          <w:rFonts w:ascii="Times New Roman" w:cs="Times New Roman" w:eastAsia="Times New Roman" w:hAnsi="Times New Roman"/>
          <w:sz w:val="28"/>
          <w:szCs w:val="28"/>
          <w:b w:val="1"/>
          <w:bCs w:val="1"/>
          <w:color w:val="auto"/>
          <w:vertAlign w:val="superscript"/>
        </w:rPr>
        <w:t>1</w:t>
      </w:r>
    </w:p>
    <w:p>
      <w:pPr>
        <w:spacing w:after="0" w:line="1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October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Kymera Therapeutics,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shares of the Company’s common stock, par value $0.0001 per share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having an aggregate offering price of up to $300,000,000 on the terms set forth in this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DEFINITIONS</w:t>
      </w:r>
    </w:p>
    <w:p>
      <w:pPr>
        <w:spacing w:after="0" w:line="210" w:lineRule="exact"/>
        <w:rPr>
          <w:sz w:val="20"/>
          <w:szCs w:val="20"/>
          <w:color w:val="auto"/>
        </w:rPr>
      </w:pPr>
    </w:p>
    <w:p>
      <w:pPr>
        <w:ind w:right="20" w:firstLine="757"/>
        <w:spacing w:after="0" w:line="258" w:lineRule="auto"/>
        <w:tabs>
          <w:tab w:leader="none" w:pos="1018" w:val="left"/>
        </w:tabs>
        <w:numPr>
          <w:ilvl w:val="0"/>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capitalized terms used herein and not otherwise defined shall have the following respective meanings:</w:t>
      </w:r>
    </w:p>
    <w:p>
      <w:pPr>
        <w:spacing w:after="0" w:line="15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Agency Period</w:t>
      </w:r>
      <w:r>
        <w:rPr>
          <w:rFonts w:ascii="Times New Roman" w:cs="Times New Roman" w:eastAsia="Times New Roman" w:hAnsi="Times New Roman"/>
          <w:sz w:val="22"/>
          <w:szCs w:val="22"/>
          <w:color w:val="auto"/>
        </w:rPr>
        <w:t>” means the period commencing on the date of this Agreement and expiring on the earliest to occur of</w:t>
      </w:r>
    </w:p>
    <w:p>
      <w:pPr>
        <w:spacing w:after="0" w:line="8"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Agent shall have placed the Maximum Program Amount pursuant to this Agreement and (y) the date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terminated pursuant to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-29210</wp:posOffset>
            </wp:positionV>
            <wp:extent cx="5143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of the Commission thereunder.</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Floor Price</w:t>
      </w:r>
      <w:r>
        <w:rPr>
          <w:rFonts w:ascii="Times New Roman" w:cs="Times New Roman" w:eastAsia="Times New Roman" w:hAnsi="Times New Roman"/>
          <w:sz w:val="22"/>
          <w:szCs w:val="22"/>
          <w:color w:val="auto"/>
        </w:rPr>
        <w:t>” means the minimum price set by the Company in the Issuance Notice below which the Agent shall not sell Shares during the applicable period set forth in the applicable Issuance Notice, which may be adjusted by the Company at any time during the period set forth in the applicable Issuance Notice by delivering written notice of such change to the Agent and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1688465" cy="508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22"/>
          <w:szCs w:val="22"/>
          <w:color w:val="auto"/>
        </w:rPr>
        <w:t>in no event shall be less than $1.00 without the prior written consent of the Agent, which may be withheld in the Agent’s sole discretion.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Amount</w:t>
      </w:r>
      <w:r>
        <w:rPr>
          <w:rFonts w:ascii="Times New Roman" w:cs="Times New Roman" w:eastAsia="Times New Roman" w:hAnsi="Times New Roman"/>
          <w:sz w:val="22"/>
          <w:szCs w:val="22"/>
          <w:color w:val="auto"/>
        </w:rPr>
        <w:t>” means the aggregate Sales Price of the Shares to be sold by the Agent pursuant to any Issuance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7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w:t>
      </w:r>
      <w:r>
        <w:rPr>
          <w:rFonts w:ascii="Times New Roman" w:cs="Times New Roman" w:eastAsia="Times New Roman" w:hAnsi="Times New Roman"/>
          <w:sz w:val="22"/>
          <w:szCs w:val="22"/>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is executed by its Chief Executive Officer, President or Chief Financial Officer.</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 Date</w:t>
      </w:r>
      <w:r>
        <w:rPr>
          <w:rFonts w:ascii="Times New Roman" w:cs="Times New Roman" w:eastAsia="Times New Roman" w:hAnsi="Times New Roman"/>
          <w:sz w:val="22"/>
          <w:szCs w:val="22"/>
          <w:color w:val="auto"/>
        </w:rPr>
        <w:t>” means any Trading Day during the Agency Period that an Issuance Notice is delivered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-46990</wp:posOffset>
            </wp:positionV>
            <wp:extent cx="80391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Price</w:t>
      </w:r>
      <w:r>
        <w:rPr>
          <w:rFonts w:ascii="Times New Roman" w:cs="Times New Roman" w:eastAsia="Times New Roman" w:hAnsi="Times New Roman"/>
          <w:sz w:val="22"/>
          <w:szCs w:val="22"/>
          <w:color w:val="auto"/>
        </w:rPr>
        <w:t>” means the Sales Price less the Selling Commission.</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Program Amount</w:t>
      </w:r>
      <w:r>
        <w:rPr>
          <w:rFonts w:ascii="Times New Roman" w:cs="Times New Roman" w:eastAsia="Times New Roman" w:hAnsi="Times New Roman"/>
          <w:sz w:val="22"/>
          <w:szCs w:val="22"/>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7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Market</w:t>
      </w:r>
      <w:r>
        <w:rPr>
          <w:rFonts w:ascii="Times New Roman" w:cs="Times New Roman" w:eastAsia="Times New Roman" w:hAnsi="Times New Roman"/>
          <w:sz w:val="22"/>
          <w:szCs w:val="22"/>
          <w:color w:val="auto"/>
        </w:rPr>
        <w:t>” means the Nasdaq Global Market or such other national securities exchange on which the Common Shares, including any Shares, are then listed.</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462(b) Registration Statement</w:t>
      </w:r>
      <w:r>
        <w:rPr>
          <w:rFonts w:ascii="Times New Roman" w:cs="Times New Roman" w:eastAsia="Times New Roman" w:hAnsi="Times New Roman"/>
          <w:sz w:val="22"/>
          <w:szCs w:val="22"/>
          <w:color w:val="auto"/>
        </w:rPr>
        <w:t>” means any registration statement filed by the Company pursuant to Rule 462(b) under the Securities Act in connection with the offer and sale of Shares.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Price</w:t>
      </w:r>
      <w:r>
        <w:rPr>
          <w:rFonts w:ascii="Times New Roman" w:cs="Times New Roman" w:eastAsia="Times New Roman" w:hAnsi="Times New Roman"/>
          <w:sz w:val="22"/>
          <w:szCs w:val="22"/>
          <w:color w:val="auto"/>
        </w:rPr>
        <w:t>” means the actual sale execution price of each Share placed by the Agent pursuant to this Agreement.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of the Commission thereunder.</w:t>
      </w:r>
    </w:p>
    <w:p>
      <w:pPr>
        <w:spacing w:after="0" w:line="150"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Selling Commission</w:t>
      </w:r>
      <w:r>
        <w:rPr>
          <w:rFonts w:ascii="Times New Roman" w:cs="Times New Roman" w:eastAsia="Times New Roman" w:hAnsi="Times New Roman"/>
          <w:sz w:val="21"/>
          <w:szCs w:val="21"/>
          <w:color w:val="auto"/>
        </w:rPr>
        <w:t>” means up to three percent (3%) of the gross proceeds of Shares sold pursuant to this Agreement, or as otherwise agreed between the Company and the Agent with respect to any Shares sold pursuant to this Agreement.</w:t>
      </w:r>
    </w:p>
    <w:p>
      <w:pPr>
        <w:spacing w:after="0" w:line="126" w:lineRule="exact"/>
        <w:rPr>
          <w:sz w:val="20"/>
          <w:szCs w:val="20"/>
          <w:color w:val="auto"/>
        </w:rPr>
      </w:pPr>
    </w:p>
    <w:p>
      <w:pPr>
        <w:jc w:val="both"/>
        <w:ind w:firstLine="80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means the first business day following each Trading Day during the period set forth in the Issuance Notice on which Shares are sold pursuant to this Agreement,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6" w:name="page97"/>
    <w:bookmarkEnd w:id="96"/>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shall deliver to the Agent the amount of Shares sold on such Trading Day and the Agent shall deliver to the Company the Issuance Price received on such sales.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shall mean the Company’s Common Shares issued or issuable pursuant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any day on which the Principal Market is open for trading.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REPRESENTATIONS AND WARRANTIES OF THE COMPANY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represents and warrants to, and agrees with, the Agent that as of (1) the date of this Agreement, (2) each Issuance Notice Date, (3) each Settlement Date, (4) each Triggering Event Date (as defined below) and (5) as of each Time of Sale (each of the times referenced above is referred to herein as a “</w:t>
      </w:r>
      <w:r>
        <w:rPr>
          <w:rFonts w:ascii="Times New Roman" w:cs="Times New Roman" w:eastAsia="Times New Roman" w:hAnsi="Times New Roman"/>
          <w:sz w:val="22"/>
          <w:szCs w:val="22"/>
          <w:b w:val="1"/>
          <w:bCs w:val="1"/>
          <w:color w:val="auto"/>
        </w:rPr>
        <w:t>Representation Date</w:t>
      </w:r>
      <w:r>
        <w:rPr>
          <w:rFonts w:ascii="Times New Roman" w:cs="Times New Roman" w:eastAsia="Times New Roman" w:hAnsi="Times New Roman"/>
          <w:sz w:val="22"/>
          <w:szCs w:val="22"/>
          <w:color w:val="auto"/>
        </w:rPr>
        <w:t>”), except as may be disclosed in the Prospectus (including any documents incorporated by reference therein and any supplements thereto) on or before a Representation Date:</w:t>
      </w:r>
    </w:p>
    <w:p>
      <w:pPr>
        <w:spacing w:after="0" w:line="177" w:lineRule="exact"/>
        <w:rPr>
          <w:sz w:val="20"/>
          <w:szCs w:val="20"/>
          <w:color w:val="auto"/>
        </w:rPr>
      </w:pPr>
    </w:p>
    <w:p>
      <w:pPr>
        <w:jc w:val="both"/>
        <w:ind w:firstLine="757"/>
        <w:spacing w:after="0" w:line="232" w:lineRule="auto"/>
        <w:tabs>
          <w:tab w:leader="none" w:pos="1018"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Company has prepared and will file with the Commission an “automatic” shelf registration statement, as defined under Rule 405 of the Securities Act, on Form S-3ASR that contains a base prospectus and a prospectus supplement relating to the Shares. Such registration statement, as supplemented by such prospectus supplement,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430A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22"/>
          <w:szCs w:val="22"/>
          <w:b w:val="1"/>
          <w:bCs w:val="1"/>
          <w:color w:val="auto"/>
        </w:rPr>
        <w:t>Original Registration Statement</w:t>
      </w:r>
      <w:r>
        <w:rPr>
          <w:rFonts w:ascii="Times New Roman" w:cs="Times New Roman" w:eastAsia="Times New Roman" w:hAnsi="Times New Roman"/>
          <w:sz w:val="22"/>
          <w:szCs w:val="22"/>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7" w:name="page98"/>
    <w:bookmarkEnd w:id="97"/>
    <w:p>
      <w:pPr>
        <w:jc w:val="both"/>
        <w:spacing w:after="0" w:line="236" w:lineRule="auto"/>
        <w:rPr>
          <w:sz w:val="20"/>
          <w:szCs w:val="20"/>
          <w:color w:val="auto"/>
        </w:rPr>
      </w:pPr>
      <w:r>
        <w:rPr>
          <w:rFonts w:ascii="Times New Roman" w:cs="Times New Roman" w:eastAsia="Times New Roman" w:hAnsi="Times New Roman"/>
          <w:sz w:val="22"/>
          <w:szCs w:val="22"/>
          <w:color w:val="auto"/>
        </w:rPr>
        <w:t>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At the time the Original Registration Statement was or will become effective and at the time the Company’s most recent annual report on Form 10-K was filed with the Commission, if later, the Company was, or will be, a “well known seasoned issuer” as defined in Rule 405 under the Securities Act. The Original Registration Statement is an “automatic shelf registration statement,” as defined in Rule 405 under the Securities Act, and became effective upon filing. The Company has not received from the Commission any notice pursuant to Rule 401(g)(2) under the Securities Act objecting to the Company’s use of the automatic shelf registration form. The Company meets the requirements for use of Form S-3 under the Securities Act. During the Agency Period, each time the Company files an annual report on Form 10-K the Company will meet the then-applicable requirements for use of Form S-3 under the Securities Act.</w:t>
      </w:r>
    </w:p>
    <w:p>
      <w:pPr>
        <w:spacing w:after="0" w:line="178" w:lineRule="exact"/>
        <w:rPr>
          <w:sz w:val="20"/>
          <w:szCs w:val="20"/>
          <w:color w:val="auto"/>
        </w:rPr>
      </w:pPr>
    </w:p>
    <w:p>
      <w:pPr>
        <w:jc w:val="both"/>
        <w:ind w:firstLine="757"/>
        <w:spacing w:after="0" w:line="236" w:lineRule="auto"/>
        <w:tabs>
          <w:tab w:leader="none" w:pos="1018"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Compliance with Registration Requirements</w:t>
      </w:r>
      <w:r>
        <w:rPr>
          <w:rFonts w:ascii="Times New Roman" w:cs="Times New Roman" w:eastAsia="Times New Roman" w:hAnsi="Times New Roman"/>
          <w:sz w:val="22"/>
          <w:szCs w:val="22"/>
          <w:color w:val="auto"/>
        </w:rPr>
        <w:t>. The Original Registration Statement and any Rule 462(b) Registration Statement have been declared effective by the Commission under the Securities Act or were automatically effective upon filing with the Commission.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1" w:lineRule="exact"/>
        <w:rPr>
          <w:sz w:val="20"/>
          <w:szCs w:val="20"/>
          <w:color w:val="auto"/>
        </w:rPr>
      </w:pPr>
    </w:p>
    <w:p>
      <w:pPr>
        <w:jc w:val="both"/>
        <w:ind w:firstLine="432"/>
        <w:spacing w:after="0" w:line="247" w:lineRule="exact"/>
        <w:rPr>
          <w:sz w:val="20"/>
          <w:szCs w:val="20"/>
          <w:color w:val="auto"/>
        </w:rPr>
      </w:pPr>
      <w:r>
        <w:rPr>
          <w:rFonts w:ascii="Times New Roman" w:cs="Times New Roman" w:eastAsia="Times New Roman" w:hAnsi="Times New Roman"/>
          <w:sz w:val="22"/>
          <w:szCs w:val="22"/>
          <w:color w:val="auto"/>
        </w:rPr>
        <w:t>The Prospectus when filed complied or will comply in all material respects with the Securities Act and, if filed with the Commission through its Electronic Data Gathering, Analysis and Retrieval system (“</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(except as may be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22"/>
          <w:szCs w:val="22"/>
          <w:b w:val="1"/>
          <w:bCs w:val="1"/>
          <w:color w:val="auto"/>
        </w:rPr>
        <w:t>Time of Sale Information</w:t>
      </w:r>
      <w:r>
        <w:rPr>
          <w:rFonts w:ascii="Times New Roman" w:cs="Times New Roman" w:eastAsia="Times New Roman" w:hAnsi="Times New Roman"/>
          <w:sz w:val="22"/>
          <w:szCs w:val="22"/>
          <w:color w:val="auto"/>
        </w:rPr>
        <w:t>”)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jc w:val="both"/>
        <w:spacing w:after="0" w:line="248" w:lineRule="auto"/>
        <w:rPr>
          <w:sz w:val="20"/>
          <w:szCs w:val="20"/>
          <w:color w:val="auto"/>
        </w:rPr>
      </w:pPr>
      <w:r>
        <w:rPr>
          <w:rFonts w:ascii="Times New Roman" w:cs="Times New Roman" w:eastAsia="Times New Roman" w:hAnsi="Times New Roman"/>
          <w:sz w:val="21"/>
          <w:szCs w:val="21"/>
          <w:color w:val="auto"/>
        </w:rPr>
        <w:t>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‎Section 6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-499745</wp:posOffset>
            </wp:positionV>
            <wp:extent cx="5143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83" w:lineRule="exact"/>
        <w:rPr>
          <w:sz w:val="20"/>
          <w:szCs w:val="20"/>
          <w:color w:val="auto"/>
        </w:rPr>
      </w:pPr>
    </w:p>
    <w:p>
      <w:pPr>
        <w:jc w:val="both"/>
        <w:ind w:firstLine="757"/>
        <w:spacing w:after="0" w:line="233" w:lineRule="auto"/>
        <w:tabs>
          <w:tab w:leader="none" w:pos="1018"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Ineligible Issuer Status</w:t>
      </w:r>
      <w:r>
        <w:rPr>
          <w:rFonts w:ascii="Times New Roman" w:cs="Times New Roman" w:eastAsia="Times New Roman" w:hAnsi="Times New Roman"/>
          <w:sz w:val="22"/>
          <w:szCs w:val="22"/>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(such consent not to be unreasonably withheld, conditioned or delayed), prepare, use or refer to, any Free Writing Prospectus.</w:t>
      </w:r>
    </w:p>
    <w:p>
      <w:pPr>
        <w:spacing w:after="0" w:line="182" w:lineRule="exact"/>
        <w:rPr>
          <w:rFonts w:ascii="Times New Roman" w:cs="Times New Roman" w:eastAsia="Times New Roman" w:hAnsi="Times New Roman"/>
          <w:sz w:val="22"/>
          <w:szCs w:val="22"/>
          <w:u w:val="single" w:color="auto"/>
          <w:color w:val="auto"/>
        </w:rPr>
      </w:pPr>
    </w:p>
    <w:p>
      <w:pPr>
        <w:jc w:val="both"/>
        <w:ind w:firstLine="757"/>
        <w:spacing w:after="0" w:line="238" w:lineRule="auto"/>
        <w:tabs>
          <w:tab w:leader="none" w:pos="1018"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Incorporated Documents</w:t>
      </w:r>
      <w:r>
        <w:rPr>
          <w:rFonts w:ascii="Times New Roman" w:cs="Times New Roman" w:eastAsia="Times New Roman" w:hAnsi="Times New Roman"/>
          <w:sz w:val="22"/>
          <w:szCs w:val="22"/>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76" w:lineRule="exact"/>
        <w:rPr>
          <w:rFonts w:ascii="Times New Roman" w:cs="Times New Roman" w:eastAsia="Times New Roman" w:hAnsi="Times New Roman"/>
          <w:sz w:val="22"/>
          <w:szCs w:val="22"/>
          <w:u w:val="single" w:color="auto"/>
          <w:color w:val="auto"/>
        </w:rPr>
      </w:pPr>
    </w:p>
    <w:p>
      <w:pPr>
        <w:jc w:val="both"/>
        <w:ind w:firstLine="757"/>
        <w:spacing w:after="0" w:line="248" w:lineRule="auto"/>
        <w:tabs>
          <w:tab w:leader="none" w:pos="1018" w:val="left"/>
        </w:tabs>
        <w:numPr>
          <w:ilvl w:val="0"/>
          <w:numId w:val="5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Exchange Act Compliance</w:t>
      </w:r>
      <w:r>
        <w:rPr>
          <w:rFonts w:ascii="Times New Roman" w:cs="Times New Roman" w:eastAsia="Times New Roman" w:hAnsi="Times New Roman"/>
          <w:sz w:val="21"/>
          <w:szCs w:val="21"/>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jc w:val="both"/>
        <w:ind w:left="-757" w:firstLine="757"/>
        <w:spacing w:after="0" w:line="249" w:lineRule="auto"/>
        <w:tabs>
          <w:tab w:leader="none" w:pos="261" w:val="left"/>
        </w:tabs>
        <w:numPr>
          <w:ilvl w:val="0"/>
          <w:numId w:val="5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Disclosure Controls and Procedures.</w:t>
      </w:r>
      <w:r>
        <w:rPr>
          <w:rFonts w:ascii="Times New Roman" w:cs="Times New Roman" w:eastAsia="Times New Roman" w:hAnsi="Times New Roman"/>
          <w:sz w:val="21"/>
          <w:szCs w:val="21"/>
          <w:color w:val="auto"/>
        </w:rPr>
        <w:t xml:space="preserve">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is made known to the Company’s principal executive officer and principal financial officer by others within the Company; such disclosure controls and procedures are effective at the reasonable assurance level; and the Company has carried out evaluations of the effectiveness of its disclosure controls and procedures as required by Rule 13a-15 of the Exchange Act through December 31, 2023.</w:t>
      </w:r>
    </w:p>
    <w:p>
      <w:pPr>
        <w:spacing w:after="0" w:line="170" w:lineRule="exact"/>
        <w:rPr>
          <w:rFonts w:ascii="Times New Roman" w:cs="Times New Roman" w:eastAsia="Times New Roman" w:hAnsi="Times New Roman"/>
          <w:sz w:val="21"/>
          <w:szCs w:val="21"/>
          <w:u w:val="single" w:color="auto"/>
          <w:color w:val="auto"/>
        </w:rPr>
      </w:pPr>
    </w:p>
    <w:p>
      <w:pPr>
        <w:ind w:left="263" w:hanging="263"/>
        <w:spacing w:after="0"/>
        <w:tabs>
          <w:tab w:leader="none" w:pos="263"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This Agreement</w:t>
      </w:r>
      <w:r>
        <w:rPr>
          <w:rFonts w:ascii="Times New Roman" w:cs="Times New Roman" w:eastAsia="Times New Roman" w:hAnsi="Times New Roman"/>
          <w:sz w:val="22"/>
          <w:szCs w:val="22"/>
          <w:color w:val="auto"/>
        </w:rPr>
        <w:t>. This Agreement has been duly authorized, executed and delivered by the Company.</w:t>
      </w:r>
    </w:p>
    <w:p>
      <w:pPr>
        <w:spacing w:after="0" w:line="206" w:lineRule="exact"/>
        <w:rPr>
          <w:rFonts w:ascii="Times New Roman" w:cs="Times New Roman" w:eastAsia="Times New Roman" w:hAnsi="Times New Roman"/>
          <w:sz w:val="22"/>
          <w:szCs w:val="22"/>
          <w:u w:val="single" w:color="auto"/>
          <w:color w:val="auto"/>
        </w:rPr>
      </w:pPr>
    </w:p>
    <w:p>
      <w:pPr>
        <w:jc w:val="both"/>
        <w:ind w:left="-757" w:firstLine="757"/>
        <w:spacing w:after="0" w:line="239" w:lineRule="auto"/>
        <w:tabs>
          <w:tab w:leader="none" w:pos="261"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Authorization of the Shares</w:t>
      </w:r>
      <w:r>
        <w:rPr>
          <w:rFonts w:ascii="Times New Roman" w:cs="Times New Roman" w:eastAsia="Times New Roman" w:hAnsi="Times New Roman"/>
          <w:sz w:val="22"/>
          <w:szCs w:val="22"/>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will not be subject to any preemptive or similar rights that have not been validly waived.</w:t>
      </w:r>
    </w:p>
    <w:p>
      <w:pPr>
        <w:spacing w:after="0" w:line="180" w:lineRule="exact"/>
        <w:rPr>
          <w:rFonts w:ascii="Times New Roman" w:cs="Times New Roman" w:eastAsia="Times New Roman" w:hAnsi="Times New Roman"/>
          <w:sz w:val="22"/>
          <w:szCs w:val="22"/>
          <w:u w:val="single" w:color="auto"/>
          <w:color w:val="auto"/>
        </w:rPr>
      </w:pPr>
    </w:p>
    <w:p>
      <w:pPr>
        <w:jc w:val="both"/>
        <w:ind w:left="-757" w:firstLine="757"/>
        <w:spacing w:after="0" w:line="244" w:lineRule="auto"/>
        <w:tabs>
          <w:tab w:leader="none" w:pos="261"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Registration Statement and the Prospectus.</w:t>
      </w:r>
    </w:p>
    <w:p>
      <w:pPr>
        <w:spacing w:after="0" w:line="173" w:lineRule="exact"/>
        <w:rPr>
          <w:rFonts w:ascii="Times New Roman" w:cs="Times New Roman" w:eastAsia="Times New Roman" w:hAnsi="Times New Roman"/>
          <w:sz w:val="22"/>
          <w:szCs w:val="22"/>
          <w:u w:val="single" w:color="auto"/>
          <w:color w:val="auto"/>
        </w:rPr>
      </w:pPr>
    </w:p>
    <w:p>
      <w:pPr>
        <w:jc w:val="both"/>
        <w:ind w:left="-757" w:firstLine="757"/>
        <w:spacing w:after="0" w:line="236" w:lineRule="auto"/>
        <w:tabs>
          <w:tab w:leader="none" w:pos="261"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or incorporated by reference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r>
        <w:rPr>
          <w:rFonts w:ascii="Times New Roman" w:cs="Times New Roman" w:eastAsia="Times New Roman" w:hAnsi="Times New Roman"/>
          <w:sz w:val="22"/>
          <w:szCs w:val="22"/>
          <w:b w:val="1"/>
          <w:bCs w:val="1"/>
          <w:color w:val="auto"/>
        </w:rPr>
        <w:t>PCAOB</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u w:val="single" w:color="auto"/>
          <w:color w:val="auto"/>
        </w:rPr>
      </w:pPr>
    </w:p>
    <w:p>
      <w:pPr>
        <w:jc w:val="both"/>
        <w:ind w:left="-757" w:firstLine="757"/>
        <w:spacing w:after="0" w:line="233" w:lineRule="auto"/>
        <w:tabs>
          <w:tab w:leader="none" w:pos="261"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financial statements included or incorporated by reference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22"/>
          <w:szCs w:val="22"/>
          <w:b w:val="1"/>
          <w:bCs w:val="1"/>
          <w:color w:val="auto"/>
        </w:rPr>
        <w:t>U.S. GAAP</w:t>
      </w:r>
      <w:r>
        <w:rPr>
          <w:rFonts w:ascii="Times New Roman" w:cs="Times New Roman" w:eastAsia="Times New Roman" w:hAnsi="Times New Roman"/>
          <w:sz w:val="22"/>
          <w:szCs w:val="22"/>
          <w:color w:val="auto"/>
        </w:rPr>
        <w:t>”) applied on a consistent basis throughout the periods covered thereby except for any normal year-end adjustments in the Company’s quarterly financial statements. The other financial information included or incorporated by reference in each of the Registration Statement and the Prospectus has been derived from the accounting records of the Company and its consolidated subsidiaries and presents fairly in all material respects the information shown thereby. The statistical, industry-related and market-related data included or incorporated by reference in each of the Registration Statement and the Prospectus are based on or derived from sources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1015365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00" w:name="page101"/>
    <w:bookmarkEnd w:id="100"/>
    <w:p>
      <w:pPr>
        <w:ind w:right="20"/>
        <w:spacing w:after="0" w:line="258" w:lineRule="auto"/>
        <w:rPr>
          <w:sz w:val="20"/>
          <w:szCs w:val="20"/>
          <w:color w:val="auto"/>
        </w:rPr>
      </w:pPr>
      <w:r>
        <w:rPr>
          <w:rFonts w:ascii="Times New Roman" w:cs="Times New Roman" w:eastAsia="Times New Roman" w:hAnsi="Times New Roman"/>
          <w:sz w:val="22"/>
          <w:szCs w:val="22"/>
          <w:color w:val="auto"/>
        </w:rPr>
        <w:t>the Company reasonably and in good faith believes are reliable and accurate and such data is consistent with the sources from which they are derived, in each case in all material respects.</w:t>
      </w:r>
    </w:p>
    <w:p>
      <w:pPr>
        <w:spacing w:after="0" w:line="158" w:lineRule="exact"/>
        <w:rPr>
          <w:sz w:val="20"/>
          <w:szCs w:val="20"/>
          <w:color w:val="auto"/>
        </w:rPr>
      </w:pPr>
    </w:p>
    <w:p>
      <w:pPr>
        <w:jc w:val="both"/>
        <w:ind w:firstLine="757"/>
        <w:spacing w:after="0" w:line="233" w:lineRule="auto"/>
        <w:tabs>
          <w:tab w:leader="none" w:pos="1018"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Company’s Accounting System</w:t>
      </w:r>
      <w:r>
        <w:rPr>
          <w:rFonts w:ascii="Times New Roman" w:cs="Times New Roman" w:eastAsia="Times New Roman" w:hAnsi="Times New Roman"/>
          <w:sz w:val="22"/>
          <w:szCs w:val="22"/>
          <w:color w:val="auto"/>
        </w:rPr>
        <w:t>. The Company and each of its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the eXtensible Business Reporting Language included or incorporated by reference in the Registration Statement fairly presents the information called for in all material respects and has been prepared in accordance with the Commission’s rules and guidelines applicable thereto.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(m)Incorporation and Good Standing of the 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Company and its subsidiaries, taken as a whole.</w:t>
      </w:r>
    </w:p>
    <w:p>
      <w:pPr>
        <w:spacing w:after="0" w:line="180" w:lineRule="exact"/>
        <w:rPr>
          <w:sz w:val="20"/>
          <w:szCs w:val="20"/>
          <w:color w:val="auto"/>
        </w:rPr>
      </w:pPr>
    </w:p>
    <w:p>
      <w:pPr>
        <w:jc w:val="both"/>
        <w:ind w:firstLine="757"/>
        <w:spacing w:after="0" w:line="234" w:lineRule="auto"/>
        <w:tabs>
          <w:tab w:leader="none" w:pos="1018"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w:t>
      </w:r>
    </w:p>
    <w:p>
      <w:pPr>
        <w:spacing w:after="0" w:line="179"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Capitalization and Other Capital Stock Matters</w:t>
      </w:r>
      <w:r>
        <w:rPr>
          <w:rFonts w:ascii="Times New Roman" w:cs="Times New Roman" w:eastAsia="Times New Roman" w:hAnsi="Times New Roman"/>
          <w:sz w:val="22"/>
          <w:szCs w:val="22"/>
          <w:color w:val="auto"/>
        </w:rPr>
        <w:t>. The authorized capital stock of the Company conforms as to legal matters, in all material respects, to the description thereof contained under the heading Description of Capital Stock and otherwise incorporated by reference in each of the Registration Statement and the Prospectus. The shares of Common Stock outstanding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spacing w:after="0" w:line="253" w:lineRule="exact"/>
        <w:rPr>
          <w:sz w:val="20"/>
          <w:szCs w:val="20"/>
          <w:color w:val="auto"/>
        </w:rPr>
      </w:pPr>
      <w:r>
        <w:rPr>
          <w:rFonts w:ascii="Times New Roman" w:cs="Times New Roman" w:eastAsia="Times New Roman" w:hAnsi="Times New Roman"/>
          <w:sz w:val="22"/>
          <w:szCs w:val="22"/>
          <w:color w:val="auto"/>
        </w:rPr>
        <w:t>the issuance of the Shares have been duly authorized and are validly issued, fully paid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assessable.</w:t>
      </w:r>
    </w:p>
    <w:p>
      <w:pPr>
        <w:spacing w:after="0" w:line="254" w:lineRule="exact"/>
        <w:rPr>
          <w:sz w:val="20"/>
          <w:szCs w:val="20"/>
          <w:color w:val="auto"/>
        </w:rPr>
      </w:pPr>
    </w:p>
    <w:p>
      <w:pPr>
        <w:jc w:val="both"/>
        <w:ind w:firstLine="757"/>
        <w:spacing w:after="0" w:line="244" w:lineRule="auto"/>
        <w:tabs>
          <w:tab w:leader="none" w:pos="1018"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Applicable Registration or Other Similar Rights</w:t>
      </w:r>
      <w:r>
        <w:rPr>
          <w:rFonts w:ascii="Times New Roman" w:cs="Times New Roman" w:eastAsia="Times New Roman" w:hAnsi="Times New Roman"/>
          <w:sz w:val="22"/>
          <w:szCs w:val="22"/>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36" w:lineRule="auto"/>
        <w:tabs>
          <w:tab w:leader="none" w:pos="1018"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 Exchange Listing</w:t>
      </w:r>
      <w:r>
        <w:rPr>
          <w:rFonts w:ascii="Times New Roman" w:cs="Times New Roman" w:eastAsia="Times New Roman" w:hAnsi="Times New Roman"/>
          <w:sz w:val="22"/>
          <w:szCs w:val="22"/>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1" w:lineRule="exact"/>
        <w:rPr>
          <w:rFonts w:ascii="Times New Roman" w:cs="Times New Roman" w:eastAsia="Times New Roman" w:hAnsi="Times New Roman"/>
          <w:sz w:val="22"/>
          <w:szCs w:val="22"/>
          <w:u w:val="single" w:color="auto"/>
          <w:color w:val="auto"/>
        </w:rPr>
      </w:pPr>
    </w:p>
    <w:p>
      <w:pPr>
        <w:jc w:val="both"/>
        <w:ind w:firstLine="757"/>
        <w:spacing w:after="0" w:line="248" w:lineRule="exact"/>
        <w:tabs>
          <w:tab w:leader="none" w:pos="1018"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Non-Contravention of Existing Instruments; No Further Authorizations or Approvals Required</w:t>
      </w:r>
      <w:r>
        <w:rPr>
          <w:rFonts w:ascii="Times New Roman" w:cs="Times New Roman" w:eastAsia="Times New Roman" w:hAnsi="Times New Roman"/>
          <w:sz w:val="22"/>
          <w:szCs w:val="22"/>
          <w:color w:val="auto"/>
        </w:rPr>
        <w:t>. The execution and delivery by the Company of, and the performance by the Company of its obligations under, this Agreement will not contravene any provision of (i) applicable law, (ii) the certificate of incorporation or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 (i)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Securities.</w:t>
      </w:r>
    </w:p>
    <w:p>
      <w:pPr>
        <w:spacing w:after="0" w:line="182" w:lineRule="exact"/>
        <w:rPr>
          <w:rFonts w:ascii="Times New Roman" w:cs="Times New Roman" w:eastAsia="Times New Roman" w:hAnsi="Times New Roman"/>
          <w:sz w:val="22"/>
          <w:szCs w:val="22"/>
          <w:u w:val="single" w:color="auto"/>
          <w:color w:val="auto"/>
        </w:rPr>
      </w:pPr>
    </w:p>
    <w:p>
      <w:pPr>
        <w:jc w:val="both"/>
        <w:ind w:firstLine="757"/>
        <w:spacing w:after="0" w:line="246" w:lineRule="auto"/>
        <w:tabs>
          <w:tab w:leader="none" w:pos="1018" w:val="left"/>
        </w:tabs>
        <w:numPr>
          <w:ilvl w:val="0"/>
          <w:numId w:val="5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No Material Actions or Proceedings</w:t>
      </w:r>
      <w:r>
        <w:rPr>
          <w:rFonts w:ascii="Times New Roman" w:cs="Times New Roman" w:eastAsia="Times New Roman" w:hAnsi="Times New Roman"/>
          <w:sz w:val="21"/>
          <w:szCs w:val="21"/>
          <w:color w:val="auto"/>
        </w:rPr>
        <w:t>.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or incorporated by reference as exhibits to the Registration Statement that are not described in all material respects or filed or incorporated by reference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02" w:name="page103"/>
    <w:bookmarkEnd w:id="102"/>
    <w:p>
      <w:pPr>
        <w:jc w:val="both"/>
        <w:ind w:left="-8" w:firstLine="757"/>
        <w:spacing w:after="0" w:line="243" w:lineRule="auto"/>
        <w:tabs>
          <w:tab w:leader="none" w:pos="1010" w:val="left"/>
        </w:tabs>
        <w:numPr>
          <w:ilvl w:val="1"/>
          <w:numId w:val="5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(i) The Company and its subsidiaries own or have a valid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used in or reasonably necessary to the conduct of their businesses; (ii) the Intellectual Property Rights owned by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neither the Company nor any of its subsidiaries infringes, misappropriates or otherwise violates, or has infringed, misappropriated or otherwise violated, any Intellectual Property Rights;</w:t>
      </w:r>
    </w:p>
    <w:p>
      <w:pPr>
        <w:spacing w:after="0" w:line="4" w:lineRule="exact"/>
        <w:rPr>
          <w:rFonts w:ascii="Times New Roman" w:cs="Times New Roman" w:eastAsia="Times New Roman" w:hAnsi="Times New Roman"/>
          <w:sz w:val="21"/>
          <w:szCs w:val="21"/>
          <w:u w:val="single" w:color="auto"/>
          <w:color w:val="auto"/>
        </w:rPr>
      </w:pPr>
    </w:p>
    <w:p>
      <w:pPr>
        <w:jc w:val="both"/>
        <w:ind w:left="-8" w:firstLine="8"/>
        <w:spacing w:after="0" w:line="231" w:lineRule="auto"/>
        <w:tabs>
          <w:tab w:leader="none" w:pos="37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and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185" w:lineRule="exact"/>
        <w:rPr>
          <w:rFonts w:ascii="Times New Roman" w:cs="Times New Roman" w:eastAsia="Times New Roman" w:hAnsi="Times New Roman"/>
          <w:sz w:val="22"/>
          <w:szCs w:val="22"/>
          <w:color w:val="auto"/>
        </w:rPr>
      </w:pPr>
    </w:p>
    <w:p>
      <w:pPr>
        <w:jc w:val="both"/>
        <w:ind w:left="-8" w:firstLine="757"/>
        <w:spacing w:after="0" w:line="236" w:lineRule="auto"/>
        <w:tabs>
          <w:tab w:leader="none" w:pos="1010" w:val="left"/>
        </w:tabs>
        <w:numPr>
          <w:ilvl w:val="1"/>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All Necessary Permits, etc</w:t>
      </w:r>
      <w:r>
        <w:rPr>
          <w:rFonts w:ascii="Times New Roman" w:cs="Times New Roman" w:eastAsia="Times New Roman" w:hAnsi="Times New Roman"/>
          <w:sz w:val="22"/>
          <w:szCs w:val="22"/>
          <w:color w:val="auto"/>
        </w:rPr>
        <w:t>. The Company and each of its subsidiaries possess all certificates, authorizations and permits issued by the appropriate federal, state or foreign regulatory authorities necessary to conduct their respective businesses, including, without limitation, from the FDA,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except as described in the Prospectus.</w:t>
      </w:r>
    </w:p>
    <w:p>
      <w:pPr>
        <w:spacing w:after="0" w:line="181" w:lineRule="exact"/>
        <w:rPr>
          <w:rFonts w:ascii="Times New Roman" w:cs="Times New Roman" w:eastAsia="Times New Roman" w:hAnsi="Times New Roman"/>
          <w:sz w:val="22"/>
          <w:szCs w:val="22"/>
          <w:u w:val="single" w:color="auto"/>
          <w:color w:val="auto"/>
        </w:rPr>
      </w:pPr>
    </w:p>
    <w:p>
      <w:pPr>
        <w:ind w:left="-8" w:right="20" w:firstLine="757"/>
        <w:spacing w:after="0" w:line="258" w:lineRule="auto"/>
        <w:tabs>
          <w:tab w:leader="none" w:pos="1010" w:val="left"/>
        </w:tabs>
        <w:numPr>
          <w:ilvl w:val="1"/>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Title to Properties</w:t>
      </w:r>
      <w:r>
        <w:rPr>
          <w:rFonts w:ascii="Times New Roman" w:cs="Times New Roman" w:eastAsia="Times New Roman" w:hAnsi="Times New Roman"/>
          <w:sz w:val="22"/>
          <w:szCs w:val="22"/>
          <w:color w:val="auto"/>
        </w:rPr>
        <w:t>. The Company and each of its subsidiaries have good and marketable title in fee simple to all real property and good and marketable title to all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996950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03" w:name="page104"/>
    <w:bookmarkEnd w:id="103"/>
    <w:p>
      <w:pPr>
        <w:jc w:val="both"/>
        <w:spacing w:after="0" w:line="235" w:lineRule="auto"/>
        <w:rPr>
          <w:sz w:val="20"/>
          <w:szCs w:val="20"/>
          <w:color w:val="auto"/>
        </w:rPr>
      </w:pPr>
      <w:r>
        <w:rPr>
          <w:rFonts w:ascii="Times New Roman" w:cs="Times New Roman" w:eastAsia="Times New Roman" w:hAnsi="Times New Roman"/>
          <w:sz w:val="22"/>
          <w:szCs w:val="22"/>
          <w:color w:val="auto"/>
        </w:rPr>
        <w:t>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 in each case except as described in the Prospectus.</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(w)Tax Law Compliance</w:t>
      </w:r>
      <w:r>
        <w:rPr>
          <w:rFonts w:ascii="Times New Roman" w:cs="Times New Roman" w:eastAsia="Times New Roman" w:hAnsi="Times New Roman"/>
          <w:sz w:val="22"/>
          <w:szCs w:val="22"/>
          <w:color w:val="auto"/>
        </w:rPr>
        <w:t>. The Company and each of its subsidiaries have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thereon (except for cases in which the failure to file or pay would not reasonably be expected to, singly or in the aggregate,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187" w:lineRule="exact"/>
        <w:rPr>
          <w:sz w:val="20"/>
          <w:szCs w:val="20"/>
          <w:color w:val="auto"/>
        </w:rPr>
      </w:pPr>
    </w:p>
    <w:p>
      <w:pPr>
        <w:jc w:val="both"/>
        <w:ind w:firstLine="757"/>
        <w:spacing w:after="0" w:line="239" w:lineRule="auto"/>
        <w:tabs>
          <w:tab w:leader="none" w:pos="1018"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Company Not an “Investment Company.”</w:t>
      </w:r>
      <w:r>
        <w:rPr>
          <w:rFonts w:ascii="Times New Roman" w:cs="Times New Roman" w:eastAsia="Times New Roman" w:hAnsi="Times New Roman"/>
          <w:sz w:val="22"/>
          <w:szCs w:val="22"/>
          <w:color w:val="auto"/>
        </w:rPr>
        <w:t xml:space="preserve"> The Company is not, and after giving effect to the offering and sale of the Shares and the application of the proceeds thereof as described in each of the Registration Statement and the Prospectus will not be, required to register as an “investment company” as such term is defined in the Investment Company Act of 1940, as amended (the “</w:t>
      </w: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u w:val="single" w:color="auto"/>
          <w:color w:val="auto"/>
        </w:rPr>
      </w:pPr>
    </w:p>
    <w:p>
      <w:pPr>
        <w:jc w:val="both"/>
        <w:ind w:firstLine="757"/>
        <w:spacing w:after="0" w:line="235" w:lineRule="auto"/>
        <w:tabs>
          <w:tab w:leader="none" w:pos="1018"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each of its subsidiaries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pacing w:after="0" w:line="183" w:lineRule="exact"/>
        <w:rPr>
          <w:rFonts w:ascii="Times New Roman" w:cs="Times New Roman" w:eastAsia="Times New Roman" w:hAnsi="Times New Roman"/>
          <w:sz w:val="22"/>
          <w:szCs w:val="22"/>
          <w:u w:val="single" w:color="auto"/>
          <w:color w:val="auto"/>
        </w:rPr>
      </w:pPr>
    </w:p>
    <w:p>
      <w:pPr>
        <w:jc w:val="both"/>
        <w:ind w:firstLine="757"/>
        <w:spacing w:after="0" w:line="238" w:lineRule="auto"/>
        <w:tabs>
          <w:tab w:leader="none" w:pos="1018"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Price Stabilization or Manipulation; Compliance with Regulation M</w:t>
      </w:r>
      <w:r>
        <w:rPr>
          <w:rFonts w:ascii="Times New Roman" w:cs="Times New Roman" w:eastAsia="Times New Roman" w:hAnsi="Times New Roman"/>
          <w:sz w:val="22"/>
          <w:szCs w:val="22"/>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22"/>
          <w:szCs w:val="22"/>
          <w:b w:val="1"/>
          <w:bCs w:val="1"/>
          <w:color w:val="auto"/>
        </w:rPr>
        <w:t>“Regulation M”</w:t>
      </w:r>
      <w:r>
        <w:rPr>
          <w:rFonts w:ascii="Times New Roman" w:cs="Times New Roman" w:eastAsia="Times New Roman" w:hAnsi="Times New Roman"/>
          <w:sz w:val="22"/>
          <w:szCs w:val="22"/>
          <w:color w:val="auto"/>
        </w:rPr>
        <w:t>)) with respect to the Common Shares, whether to facilitate the sale or resale of the Shares or otherwise, and has taken no action which would directly or indirectly violate Regulation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4" w:name="page105"/>
    <w:bookmarkEnd w:id="104"/>
    <w:p>
      <w:pPr>
        <w:jc w:val="both"/>
        <w:ind w:firstLine="749"/>
        <w:spacing w:after="0" w:line="247" w:lineRule="exact"/>
        <w:rPr>
          <w:sz w:val="20"/>
          <w:szCs w:val="20"/>
          <w:color w:val="auto"/>
        </w:rPr>
      </w:pPr>
      <w:r>
        <w:rPr>
          <w:rFonts w:ascii="Times New Roman" w:cs="Times New Roman" w:eastAsia="Times New Roman" w:hAnsi="Times New Roman"/>
          <w:sz w:val="22"/>
          <w:szCs w:val="22"/>
          <w:u w:val="single" w:color="auto"/>
          <w:color w:val="auto"/>
        </w:rPr>
        <w:t>(aa)Compliance with Environmental Laws</w:t>
      </w:r>
      <w:r>
        <w:rPr>
          <w:rFonts w:ascii="Times New Roman" w:cs="Times New Roman" w:eastAsia="Times New Roman" w:hAnsi="Times New Roman"/>
          <w:sz w:val="22"/>
          <w:szCs w:val="22"/>
          <w:color w:val="auto"/>
        </w:rPr>
        <w:t>.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u w:val="single" w:color="auto"/>
          <w:color w:val="auto"/>
        </w:rPr>
        <w:t>(bb)ERISA Compliance</w:t>
      </w:r>
      <w:r>
        <w:rPr>
          <w:rFonts w:ascii="Times New Roman" w:cs="Times New Roman" w:eastAsia="Times New Roman" w:hAnsi="Times New Roman"/>
          <w:sz w:val="21"/>
          <w:szCs w:val="21"/>
          <w:color w:val="auto"/>
        </w:rPr>
        <w:t>. 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and the regulations and published interpretations thereunder with respect to a Plan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would reasonably be expected to have a material adverse effect; (iii) any breach of any contractual obligation, or any violation of law or applicable qualification standards, with respect to the employment or compensation of employees by the Company or any of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a plan (within the meaning of Section 3(3) of ERISA) subject to Title IV of ERISA with respect to which the Company or any of its subsidiaries may have any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(cc)Brokers</w:t>
      </w:r>
      <w:r>
        <w:rPr>
          <w:rFonts w:ascii="Times New Roman" w:cs="Times New Roman" w:eastAsia="Times New Roman" w:hAnsi="Times New Roman"/>
          <w:sz w:val="22"/>
          <w:szCs w:val="22"/>
          <w:color w:val="auto"/>
        </w:rPr>
        <w:t>. Except pursuant to this Agreement, there is no broker, finder or other party that is entitled to receive from the Company any brokerage or finder’s fee or other fee or commission as a result of any transactions contemplated by this Agreement.</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(dd)Anti-Corruption and Anti-Bribery Laws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 None of the Company or any of its subsidiaries or controlled affiliates, or any director, officer, or employee thereof, or, to the Company’s knowledge, any of its other Affiliates, or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22"/>
          <w:szCs w:val="22"/>
          <w:b w:val="1"/>
          <w:b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Official</w:t>
      </w:r>
      <w:r>
        <w:rPr>
          <w:rFonts w:ascii="Times New Roman" w:cs="Times New Roman" w:eastAsia="Times New Roman" w:hAnsi="Times New Roman"/>
          <w:sz w:val="22"/>
          <w:szCs w:val="22"/>
          <w:color w:val="auto"/>
        </w:rPr>
        <w:t>”) in order to influence official action, or to any person in violation of any applicable anti-corruption laws; (ii)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each of its subsidiaries and controlled Affiliates, and to the Company’s knowledge, each of its other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8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(ee)Money Laundering Laws</w:t>
      </w:r>
      <w:r>
        <w:rPr>
          <w:rFonts w:ascii="Times New Roman" w:cs="Times New Roman" w:eastAsia="Times New Roman" w:hAnsi="Times New Roman"/>
          <w:sz w:val="22"/>
          <w:szCs w:val="22"/>
          <w:color w:val="auto"/>
        </w:rPr>
        <w: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color w:val="auto"/>
        </w:rPr>
        <w:t>Anti-Money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(ff)Clinical Data and Regulatory Compliance.</w:t>
      </w:r>
      <w:r>
        <w:rPr>
          <w:rFonts w:ascii="Times New Roman" w:cs="Times New Roman" w:eastAsia="Times New Roman" w:hAnsi="Times New Roman"/>
          <w:sz w:val="22"/>
          <w:szCs w:val="22"/>
          <w:color w:val="auto"/>
        </w:rPr>
        <w:t xml:space="preserve"> (i) The preclinical studies and tests and clinical trials conducted by or on behalf of the Company that are described in the Registration Statement and the Prospectus were and, if still pending, are being, conducted in all material respects in accordance with experimental protocols, procedures and controls pursuant to, where applicable, accepted professional scientific standards, and all applicable Health Care Laws and current Good Clinical Practices and Good Laboratory Practices; (ii) the descriptions of the results of such studies and trials contained in the Registration Statement and the Prospectus are accurate in all material respects; (iii) the Company has no knowledge of any other studies or trials not described in the Registration Statement and the Prospectus, the results of which are inconsistent with or call in question the results described or referred to in such documents; (iv)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6" w:name="page107"/>
    <w:bookmarkEnd w:id="106"/>
    <w:p>
      <w:pPr>
        <w:jc w:val="both"/>
        <w:spacing w:after="0" w:line="232" w:lineRule="auto"/>
        <w:rPr>
          <w:sz w:val="20"/>
          <w:szCs w:val="20"/>
          <w:color w:val="auto"/>
        </w:rPr>
      </w:pPr>
      <w:r>
        <w:rPr>
          <w:rFonts w:ascii="Times New Roman" w:cs="Times New Roman" w:eastAsia="Times New Roman" w:hAnsi="Times New Roman"/>
          <w:sz w:val="22"/>
          <w:szCs w:val="22"/>
          <w:color w:val="auto"/>
        </w:rPr>
        <w:t>has provided the Agent with all material written notices, correspondence and summaries of all other communications provided to the Company from FDA; and (v) the Company has not received any notices or correspondence from the FDA requiring the termination, suspension or material modification of any studies or trials that are described in the Registration Statement and the Prospectus, where such termination, suspension or material modification would reasonably be expected to have a material adverse effect and, to the Company’s knowledge, there are no reasonable grounds for the same. Except as would not reasonably be expected to have a material adverse effect,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the Company has not received written notice of any claim, action, suit, proceeding, hearing, enforcement, investigation, arbitration or other action from any court or arbitrator or the FDA, other governmental entity or third party alleging that the Company is in material violation of any Health Care Laws, including, without limitation, any FDA Form 483, notice of adverse finding, warning letter, untitled letter or other written correspondence or notice from the FDA or governmental entity, nor, to the Company’s knowledge, is any such claim, action, suit, proceeding, hearing, enforcement, investigation, arbitration or other action threatened; the Company is not a party to any corporate integrity agreements, monitoring agreements, consent decrees, settlement orders, or similar agreements with or imposed by the FDA or other governmental entity; and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the FDA or other governmental entity that could reasonably be expected to result in debarment, suspension, or exclusion.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(gg)Sanctions.</w:t>
      </w:r>
    </w:p>
    <w:p>
      <w:pPr>
        <w:spacing w:after="0" w:line="206" w:lineRule="exact"/>
        <w:rPr>
          <w:sz w:val="20"/>
          <w:szCs w:val="20"/>
          <w:color w:val="auto"/>
        </w:rPr>
      </w:pPr>
    </w:p>
    <w:p>
      <w:pPr>
        <w:jc w:val="both"/>
        <w:ind w:left="760" w:firstLine="745"/>
        <w:spacing w:after="0" w:line="244" w:lineRule="auto"/>
        <w:tabs>
          <w:tab w:leader="none" w:pos="20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any of its subsidiaries, or any director, officer, or employee thereof, or, to the Company’s knowledge, any agent, Affiliate or representative of the Company or any of its subsidiaries, is a Person that is, or is owned or controlled by one or more Persons that are:</w:t>
      </w:r>
    </w:p>
    <w:p>
      <w:pPr>
        <w:spacing w:after="0" w:line="173" w:lineRule="exact"/>
        <w:rPr>
          <w:rFonts w:ascii="Times New Roman" w:cs="Times New Roman" w:eastAsia="Times New Roman" w:hAnsi="Times New Roman"/>
          <w:sz w:val="22"/>
          <w:szCs w:val="22"/>
          <w:color w:val="auto"/>
        </w:rPr>
      </w:pPr>
    </w:p>
    <w:p>
      <w:pPr>
        <w:jc w:val="both"/>
        <w:ind w:left="2620" w:hanging="366"/>
        <w:spacing w:after="0" w:line="244" w:lineRule="auto"/>
        <w:tabs>
          <w:tab w:leader="none" w:pos="262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or</w:t>
      </w:r>
    </w:p>
    <w:p>
      <w:pPr>
        <w:spacing w:after="0" w:line="173" w:lineRule="exact"/>
        <w:rPr>
          <w:rFonts w:ascii="Times New Roman" w:cs="Times New Roman" w:eastAsia="Times New Roman" w:hAnsi="Times New Roman"/>
          <w:sz w:val="22"/>
          <w:szCs w:val="22"/>
          <w:color w:val="auto"/>
        </w:rPr>
      </w:pPr>
    </w:p>
    <w:p>
      <w:pPr>
        <w:jc w:val="both"/>
        <w:ind w:left="2620" w:hanging="366"/>
        <w:spacing w:after="0" w:line="239" w:lineRule="auto"/>
        <w:tabs>
          <w:tab w:leader="none" w:pos="262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(including, without limitation, Iran, Cuba, North Korea, Syria, the Crimea Region and the nongovernment controlled areas of the Zaporizhzhia and Kherson Regions of Ukraine, and the so-called Luhansk People’s Republic and Donetsk People’s Republic regions of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ind w:left="760" w:firstLine="745"/>
        <w:spacing w:after="0" w:line="258" w:lineRule="auto"/>
        <w:tabs>
          <w:tab w:leader="none" w:pos="20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directly or indirectly, use the proceeds of the offering, or lend, contribute or otherwise make available such proceeds to any subsidiary, joint venture partner or other Person:</w:t>
      </w:r>
    </w:p>
    <w:p>
      <w:pPr>
        <w:spacing w:after="0" w:line="158" w:lineRule="exact"/>
        <w:rPr>
          <w:rFonts w:ascii="Times New Roman" w:cs="Times New Roman" w:eastAsia="Times New Roman" w:hAnsi="Times New Roman"/>
          <w:sz w:val="22"/>
          <w:szCs w:val="22"/>
          <w:color w:val="auto"/>
        </w:rPr>
      </w:pPr>
    </w:p>
    <w:p>
      <w:pPr>
        <w:ind w:left="2620" w:hanging="366"/>
        <w:spacing w:after="0" w:line="258" w:lineRule="auto"/>
        <w:tabs>
          <w:tab w:leader="none" w:pos="262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or facilitate any activities or business of or with any Person or in any country or territory that, at the time of such funding or facilitation, is the subject of Sanctions; or</w:t>
      </w:r>
    </w:p>
    <w:p>
      <w:pPr>
        <w:spacing w:after="0" w:line="158" w:lineRule="exact"/>
        <w:rPr>
          <w:rFonts w:ascii="Times New Roman" w:cs="Times New Roman" w:eastAsia="Times New Roman" w:hAnsi="Times New Roman"/>
          <w:sz w:val="22"/>
          <w:szCs w:val="22"/>
          <w:color w:val="auto"/>
        </w:rPr>
      </w:pPr>
    </w:p>
    <w:p>
      <w:pPr>
        <w:ind w:left="2620" w:hanging="366"/>
        <w:spacing w:after="0" w:line="282" w:lineRule="auto"/>
        <w:tabs>
          <w:tab w:leader="none" w:pos="262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other manner that will result in a violation of Sanctions by any Person (including any Person participating in the offering, whether as underwriter, agent, advisor, investor or otherwise).</w:t>
      </w:r>
    </w:p>
    <w:p>
      <w:pPr>
        <w:spacing w:after="0" w:line="134" w:lineRule="exact"/>
        <w:rPr>
          <w:rFonts w:ascii="Times New Roman" w:cs="Times New Roman" w:eastAsia="Times New Roman" w:hAnsi="Times New Roman"/>
          <w:sz w:val="21"/>
          <w:szCs w:val="21"/>
          <w:color w:val="auto"/>
        </w:rPr>
      </w:pPr>
    </w:p>
    <w:p>
      <w:pPr>
        <w:jc w:val="both"/>
        <w:ind w:left="760" w:right="20" w:firstLine="745"/>
        <w:spacing w:after="0" w:line="244" w:lineRule="auto"/>
        <w:tabs>
          <w:tab w:leader="none" w:pos="20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(hh)Sarbanes-Oxley</w:t>
      </w:r>
      <w:r>
        <w:rPr>
          <w:rFonts w:ascii="Times New Roman" w:cs="Times New Roman" w:eastAsia="Times New Roman" w:hAnsi="Times New Roman"/>
          <w:sz w:val="22"/>
          <w:szCs w:val="22"/>
          <w:color w:val="auto"/>
        </w:rPr>
        <w:t>. The Company is in compliance with all applicable provisions of the Sarbanes-Oxley Act of 2002 and the rules and regulations promulgated in connection therewith with which the Company is required to comply, including Section 402 relating to loans.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(ii)Duties, Transfer Taxes, Etc</w:t>
      </w:r>
      <w:r>
        <w:rPr>
          <w:rFonts w:ascii="Times New Roman" w:cs="Times New Roman" w:eastAsia="Times New Roman" w:hAnsi="Times New Roman"/>
          <w:sz w:val="22"/>
          <w:szCs w:val="22"/>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8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(jj)Cybersecurity</w:t>
      </w:r>
      <w:r>
        <w:rPr>
          <w:rFonts w:ascii="Times New Roman" w:cs="Times New Roman" w:eastAsia="Times New Roman" w:hAnsi="Times New Roman"/>
          <w:sz w:val="22"/>
          <w:szCs w:val="22"/>
          <w:color w:val="auto"/>
        </w:rPr>
        <w:t>. (i) The Company and each of its subsidiaries have complied and are presently in compliance in all material respects with their respective published privacy policies, contractual obligations, applicable laws relating to the collection, use, transfer, import, export, storage, protection, disposal and disclosure by the Company or any of its subsidiaries of all data concerning an identified natural person (“</w:t>
      </w:r>
      <w:r>
        <w:rPr>
          <w:rFonts w:ascii="Times New Roman" w:cs="Times New Roman" w:eastAsia="Times New Roman" w:hAnsi="Times New Roman"/>
          <w:sz w:val="22"/>
          <w:szCs w:val="22"/>
          <w:b w:val="1"/>
          <w:bCs w:val="1"/>
          <w:color w:val="auto"/>
        </w:rPr>
        <w:t>Data Security Obligations</w:t>
      </w:r>
      <w:r>
        <w:rPr>
          <w:rFonts w:ascii="Times New Roman" w:cs="Times New Roman" w:eastAsia="Times New Roman" w:hAnsi="Times New Roman"/>
          <w:sz w:val="22"/>
          <w:szCs w:val="22"/>
          <w:color w:val="auto"/>
        </w:rPr>
        <w:t>”, and such data, “</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(ii) the Company has not received any notification of or complaint regarding material non-compliance with any Data Security Obligation; and (iii) of there is no action, suit or proceeding by or before any court or governmental agency, authority or body pending or to the Company’s knowledge threatened alleging non-compliance with any Data Security Obligation. The Company and each of its subsidiaries have taken all technical and organizational measures necessary to protect the information technology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22"/>
          <w:szCs w:val="22"/>
          <w:b w:val="1"/>
          <w:bCs w:val="1"/>
          <w:color w:val="auto"/>
        </w:rPr>
        <w:t>Breach</w:t>
      </w:r>
      <w:r>
        <w:rPr>
          <w:rFonts w:ascii="Times New Roman" w:cs="Times New Roman" w:eastAsia="Times New Roman" w:hAnsi="Times New Roman"/>
          <w:sz w:val="22"/>
          <w:szCs w:val="22"/>
          <w:color w:val="auto"/>
        </w:rPr>
        <w:t>”). To the Company’s knowledge, there has been no such Breach, and the Company and its subsidiaries have not been notified of and have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knowledge of any event or condition that would reasonably be expected to result in, any such Breach.</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(kk)Compliance with Health Care Laws</w:t>
      </w:r>
      <w:r>
        <w:rPr>
          <w:rFonts w:ascii="Times New Roman" w:cs="Times New Roman" w:eastAsia="Times New Roman" w:hAnsi="Times New Roman"/>
          <w:sz w:val="22"/>
          <w:szCs w:val="22"/>
          <w:color w:val="auto"/>
        </w:rPr>
        <w:t>. The Company has operated at all times and is currently in compliance with all applicable statutes, rules, regulations and policies of the U.S. Food and Drug Administration (the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and applicable U.S. health care and privacy laws, except where failure to be in compliance would not reasonably be expected to have a material adverse effect, including, without limitation:</w:t>
      </w:r>
    </w:p>
    <w:p>
      <w:pPr>
        <w:spacing w:after="0" w:line="180" w:lineRule="exact"/>
        <w:rPr>
          <w:sz w:val="20"/>
          <w:szCs w:val="20"/>
          <w:color w:val="auto"/>
        </w:rPr>
      </w:pPr>
    </w:p>
    <w:p>
      <w:pPr>
        <w:ind w:left="2040" w:hanging="535"/>
        <w:spacing w:after="0"/>
        <w:tabs>
          <w:tab w:leader="none" w:pos="20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Federal Food, Drug, and Cosmetic Act and the regulations promulgated thereunder;</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04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Health Insurance Portability and Accountability Act of 1996 (“</w:t>
      </w:r>
      <w:r>
        <w:rPr>
          <w:rFonts w:ascii="Times New Roman" w:cs="Times New Roman" w:eastAsia="Times New Roman" w:hAnsi="Times New Roman"/>
          <w:sz w:val="22"/>
          <w:szCs w:val="22"/>
          <w:b w:val="1"/>
          <w:bCs w:val="1"/>
          <w:color w:val="auto"/>
        </w:rPr>
        <w:t>HIPAA</w:t>
      </w:r>
      <w:r>
        <w:rPr>
          <w:rFonts w:ascii="Times New Roman" w:cs="Times New Roman" w:eastAsia="Times New Roman" w:hAnsi="Times New Roman"/>
          <w:sz w:val="22"/>
          <w:szCs w:val="22"/>
          <w:color w:val="auto"/>
        </w:rPr>
        <w:t>”) (42 U.S.C. Section 1320d et seq.), the U.S. Physician Payments Sunshine Act (42 U.S.C. Section 1320a-7h), the exclusion law (42 U.S.C. Section 1320a-7), the statutes, regulations and directives of applicable government funded or sponsored healthcare programs, and the regulations promulgated pursuant to such statutes;</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w:t>
      </w:r>
    </w:p>
    <w:p>
      <w:pPr>
        <w:spacing w:after="0" w:line="176"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Patient Protection and Affordable Care Act of 2010, as amended by the Health Care and Education Reconciliation Act of 2010, the regulations promulgated thereunder; and</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licensure, quality, safety and accreditation requirements under applicable federal, state or local laws or regulatory bodies;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local, state, and federal laws and regulations, relating to the regulation of the Company and the testing, development, manufacture, packaging, processing, use, distribution, marketing, labeling, promotion, sale, offer for sale, storage, import, export or disposal of any Company product under development, manufactured or distributed by the Company, including the terms and conditions of any Investigational New Drug authorization from the FDA relating to a Company product; (clauses (i) through (vi), collectively, “</w:t>
      </w:r>
      <w:r>
        <w:rPr>
          <w:rFonts w:ascii="Times New Roman" w:cs="Times New Roman" w:eastAsia="Times New Roman" w:hAnsi="Times New Roman"/>
          <w:sz w:val="22"/>
          <w:szCs w:val="22"/>
          <w:b w:val="1"/>
          <w:bCs w:val="1"/>
          <w:color w:val="auto"/>
        </w:rPr>
        <w:t>Health Care Laws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9" w:name="page110"/>
    <w:bookmarkEnd w:id="109"/>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(ll)Other Agreements</w:t>
      </w:r>
      <w:r>
        <w:rPr>
          <w:rFonts w:ascii="Times New Roman" w:cs="Times New Roman" w:eastAsia="Times New Roman" w:hAnsi="Times New Roman"/>
          <w:sz w:val="22"/>
          <w:szCs w:val="22"/>
          <w:color w:val="auto"/>
        </w:rPr>
        <w:t>. The Company is not a party to any agreement with an agent or underwriter for any other “at the market” or continuous equity transaction.</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(mm)Forward-Looking Statements</w:t>
      </w:r>
      <w:r>
        <w:rPr>
          <w:rFonts w:ascii="Times New Roman" w:cs="Times New Roman" w:eastAsia="Times New Roman" w:hAnsi="Times New Roman"/>
          <w:sz w:val="22"/>
          <w:szCs w:val="22"/>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that was false or misleading with the knowledge of a director or senior manager of the Company that it was false or misleading.</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(nn)Related Party Transactions</w:t>
      </w:r>
      <w:r>
        <w:rPr>
          <w:rFonts w:ascii="Times New Roman" w:cs="Times New Roman" w:eastAsia="Times New Roman" w:hAnsi="Times New Roman"/>
          <w:sz w:val="22"/>
          <w:szCs w:val="22"/>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(oo)FINRA Matters</w:t>
      </w:r>
      <w:r>
        <w:rPr>
          <w:rFonts w:ascii="Times New Roman" w:cs="Times New Roman" w:eastAsia="Times New Roman" w:hAnsi="Times New Roman"/>
          <w:sz w:val="22"/>
          <w:szCs w:val="22"/>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rules and any letters, filings or other supplemental information provided to FINRA pursuant to FINRA Rules or NASD Conduct Rules is true, complete and correct.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acknowledges that the Agent and, for purposes of the opinions to be delivered pursuant to Section‎ 4(o) hereof, counsel to the Company and counsel to the Agent, will rely upon the accuracy and truthfulness of the foregoing representations and hereby consents to such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-343535</wp:posOffset>
            </wp:positionV>
            <wp:extent cx="6915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ISSUANCE AND SALE OF COMMON SHARES</w:t>
      </w:r>
    </w:p>
    <w:p>
      <w:pPr>
        <w:spacing w:after="0" w:line="210" w:lineRule="exact"/>
        <w:rPr>
          <w:sz w:val="20"/>
          <w:szCs w:val="20"/>
          <w:color w:val="auto"/>
        </w:rPr>
      </w:pPr>
    </w:p>
    <w:p>
      <w:pPr>
        <w:jc w:val="both"/>
        <w:ind w:firstLine="757"/>
        <w:spacing w:after="0" w:line="238" w:lineRule="auto"/>
        <w:tabs>
          <w:tab w:leader="none" w:pos="1018"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Sale of Securities</w:t>
      </w:r>
      <w:r>
        <w:rPr>
          <w:rFonts w:ascii="Times New Roman" w:cs="Times New Roman" w:eastAsia="Times New Roman" w:hAnsi="Times New Roman"/>
          <w:sz w:val="22"/>
          <w:szCs w:val="22"/>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1574165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ind w:left="1020" w:hanging="263"/>
        <w:spacing w:after="0"/>
        <w:tabs>
          <w:tab w:leader="none" w:pos="1020" w:val="left"/>
        </w:tabs>
        <w:numPr>
          <w:ilvl w:val="1"/>
          <w:numId w:val="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Mechanics of Issuances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left="780" w:hanging="340"/>
        <w:spacing w:after="0"/>
        <w:tabs>
          <w:tab w:leader="none" w:pos="7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Notice</w:t>
      </w:r>
      <w:r>
        <w:rPr>
          <w:rFonts w:ascii="Times New Roman" w:cs="Times New Roman" w:eastAsia="Times New Roman" w:hAnsi="Times New Roman"/>
          <w:sz w:val="22"/>
          <w:szCs w:val="22"/>
          <w:color w:val="auto"/>
        </w:rPr>
        <w:t>. Upon the terms and subject to the conditions set forth herein, on any Trading Day during the Agency</w:t>
      </w:r>
    </w:p>
    <w:p>
      <w:pPr>
        <w:spacing w:after="0" w:line="14" w:lineRule="exact"/>
        <w:rPr>
          <w:rFonts w:ascii="Times New Roman" w:cs="Times New Roman" w:eastAsia="Times New Roman" w:hAnsi="Times New Roman"/>
          <w:sz w:val="22"/>
          <w:szCs w:val="22"/>
          <w:color w:val="auto"/>
        </w:rPr>
      </w:pPr>
    </w:p>
    <w:p>
      <w:pPr>
        <w:jc w:val="both"/>
        <w:spacing w:after="0" w:line="246"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Period on which the conditions set forth in Section‎ 5(a) and Section‎ 5(b) shall have been satisfied, the Company may exercise its right to request an issuance of Shares by delivering to the Agent an Issuance Notice;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82" w:lineRule="exact"/>
        <w:rPr>
          <w:rFonts w:ascii="Times New Roman" w:cs="Times New Roman" w:eastAsia="Times New Roman" w:hAnsi="Times New Roman"/>
          <w:sz w:val="22"/>
          <w:szCs w:val="22"/>
          <w:color w:val="auto"/>
        </w:rPr>
      </w:pPr>
    </w:p>
    <w:p>
      <w:pPr>
        <w:jc w:val="both"/>
        <w:ind w:firstLine="440"/>
        <w:spacing w:after="0" w:line="236" w:lineRule="auto"/>
        <w:tabs>
          <w:tab w:leader="none" w:pos="86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Efforts</w:t>
      </w:r>
      <w:r>
        <w:rPr>
          <w:rFonts w:ascii="Times New Roman" w:cs="Times New Roman" w:eastAsia="Times New Roman" w:hAnsi="Times New Roman"/>
          <w:sz w:val="22"/>
          <w:szCs w:val="22"/>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81" w:lineRule="exact"/>
        <w:rPr>
          <w:rFonts w:ascii="Times New Roman" w:cs="Times New Roman" w:eastAsia="Times New Roman" w:hAnsi="Times New Roman"/>
          <w:sz w:val="22"/>
          <w:szCs w:val="22"/>
          <w:color w:val="auto"/>
        </w:rPr>
      </w:pPr>
    </w:p>
    <w:p>
      <w:pPr>
        <w:jc w:val="both"/>
        <w:ind w:firstLine="440"/>
        <w:spacing w:after="0" w:line="236" w:lineRule="auto"/>
        <w:tabs>
          <w:tab w:leader="none" w:pos="91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Offer and Sale</w:t>
      </w:r>
      <w:r>
        <w:rPr>
          <w:rFonts w:ascii="Times New Roman" w:cs="Times New Roman" w:eastAsia="Times New Roman" w:hAnsi="Times New Roman"/>
          <w:sz w:val="22"/>
          <w:szCs w:val="22"/>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81" w:lineRule="exact"/>
        <w:rPr>
          <w:rFonts w:ascii="Times New Roman" w:cs="Times New Roman" w:eastAsia="Times New Roman" w:hAnsi="Times New Roman"/>
          <w:sz w:val="22"/>
          <w:szCs w:val="22"/>
          <w:color w:val="auto"/>
        </w:rPr>
      </w:pPr>
    </w:p>
    <w:p>
      <w:pPr>
        <w:jc w:val="both"/>
        <w:ind w:firstLine="440"/>
        <w:spacing w:after="0" w:line="239" w:lineRule="auto"/>
        <w:tabs>
          <w:tab w:leader="none" w:pos="89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 to the Company</w:t>
      </w:r>
      <w:r>
        <w:rPr>
          <w:rFonts w:ascii="Times New Roman" w:cs="Times New Roman" w:eastAsia="Times New Roman" w:hAnsi="Times New Roman"/>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80"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Each issuance of Shares will be settled on the applicable Settlement Date for such issuance of Shares and,</w:t>
      </w:r>
    </w:p>
    <w:p>
      <w:pPr>
        <w:spacing w:after="0" w:line="25"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subject to the provisions of Section‎ 5,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2391410</wp:posOffset>
            </wp:positionH>
            <wp:positionV relativeFrom="paragraph">
              <wp:posOffset>-5217795</wp:posOffset>
            </wp:positionV>
            <wp:extent cx="160718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607185" cy="8255"/>
                    </a:xfrm>
                    <a:prstGeom prst="rect">
                      <a:avLst/>
                    </a:prstGeom>
                    <a:noFill/>
                  </pic:spPr>
                </pic:pic>
              </a:graphicData>
            </a:graphic>
          </wp:anchor>
        </w:drawing>
        <w:drawing>
          <wp:anchor simplePos="0" relativeHeight="251657728" behindDoc="1" locked="0" layoutInCell="0" allowOverlap="1">
            <wp:simplePos x="0" y="0"/>
            <wp:positionH relativeFrom="column">
              <wp:posOffset>1567815</wp:posOffset>
            </wp:positionH>
            <wp:positionV relativeFrom="paragraph">
              <wp:posOffset>-648335</wp:posOffset>
            </wp:positionV>
            <wp:extent cx="52260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Agent will deliver, by wire transfer of immediately available funds, the related Issuance Price in same day funds delivered to an account designated by the Company prior to the Settlement Date. The Company may sell Shares to the Agent as principal at a price agreed upon by the parties at each relevant time Shares are sold pursuant to this Agreement (each, a “</w:t>
      </w:r>
      <w:r>
        <w:rPr>
          <w:rFonts w:ascii="Times New Roman" w:cs="Times New Roman" w:eastAsia="Times New Roman" w:hAnsi="Times New Roman"/>
          <w:sz w:val="22"/>
          <w:szCs w:val="22"/>
          <w:b w:val="1"/>
          <w:bCs w:val="1"/>
          <w:color w:val="auto"/>
        </w:rPr>
        <w:t>Time of Sale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440"/>
        <w:spacing w:after="0" w:line="235" w:lineRule="auto"/>
        <w:tabs>
          <w:tab w:leader="none" w:pos="8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or Termination of Sales</w:t>
      </w:r>
      <w:r>
        <w:rPr>
          <w:rFonts w:ascii="Times New Roman" w:cs="Times New Roman" w:eastAsia="Times New Roman" w:hAnsi="Times New Roman"/>
          <w:sz w:val="22"/>
          <w:szCs w:val="22"/>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such suspension and termination shall not affect or impair either party’s obligations with respect to any Shares placed or sold hereunder prior to the receipt of such notice; (B) if the Company suspends or terminates any sale of Shares after the Agent</w:t>
      </w:r>
    </w:p>
    <w:p>
      <w:pPr>
        <w:jc w:val="both"/>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confirms such sale to the Company, the Company shall still be obligated to comply with Section‎ 3(b)(v)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w:t>
      </w:r>
    </w:p>
    <w:p>
      <w:pPr>
        <w:spacing w:after="0" w:line="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unless it is made to the persons identified in writing by the Agent pursuant to Section‎ 3(b)(i).</w:t>
      </w:r>
    </w:p>
    <w:p>
      <w:pPr>
        <w:spacing w:after="0" w:line="182" w:lineRule="exact"/>
        <w:rPr>
          <w:rFonts w:ascii="Times New Roman" w:cs="Times New Roman" w:eastAsia="Times New Roman" w:hAnsi="Times New Roman"/>
          <w:sz w:val="22"/>
          <w:szCs w:val="22"/>
          <w:color w:val="auto"/>
        </w:rPr>
      </w:pPr>
    </w:p>
    <w:p>
      <w:pPr>
        <w:jc w:val="both"/>
        <w:ind w:firstLine="440"/>
        <w:spacing w:after="0" w:line="239" w:lineRule="auto"/>
        <w:tabs>
          <w:tab w:leader="none" w:pos="8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Placement, Etc.</w:t>
      </w:r>
      <w:r>
        <w:rPr>
          <w:rFonts w:ascii="Times New Roman" w:cs="Times New Roman" w:eastAsia="Times New Roman" w:hAnsi="Times New Roman"/>
          <w:sz w:val="22"/>
          <w:szCs w:val="22"/>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61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5095240</wp:posOffset>
            </wp:positionH>
            <wp:positionV relativeFrom="paragraph">
              <wp:posOffset>-2469515</wp:posOffset>
            </wp:positionV>
            <wp:extent cx="8426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42645" cy="889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-1389380</wp:posOffset>
            </wp:positionV>
            <wp:extent cx="8039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53" w:lineRule="exact"/>
        <w:rPr>
          <w:sz w:val="20"/>
          <w:szCs w:val="20"/>
          <w:color w:val="auto"/>
        </w:rPr>
      </w:pPr>
    </w:p>
    <w:p>
      <w:pPr>
        <w:jc w:val="both"/>
        <w:ind w:firstLine="757"/>
        <w:spacing w:after="0" w:line="244" w:lineRule="auto"/>
        <w:tabs>
          <w:tab w:leader="none" w:pos="1018" w:val="left"/>
        </w:tabs>
        <w:numPr>
          <w:ilvl w:val="0"/>
          <w:numId w:val="6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22"/>
          <w:szCs w:val="22"/>
          <w:u w:val="single" w:color="auto"/>
          <w:color w:val="auto"/>
        </w:rPr>
        <w:t>Section 3(b)(vi))</w:t>
      </w:r>
      <w:r>
        <w:rPr>
          <w:rFonts w:ascii="Times New Roman" w:cs="Times New Roman" w:eastAsia="Times New Roman" w:hAnsi="Times New Roman"/>
          <w:sz w:val="22"/>
          <w:szCs w:val="22"/>
          <w:color w:val="auto"/>
        </w:rPr>
        <w:t xml:space="preserve"> by the Agent deducting the Selling Commission from the applicable Issuance Amount.</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49" w:lineRule="auto"/>
        <w:tabs>
          <w:tab w:leader="none" w:pos="1018" w:val="left"/>
        </w:tabs>
        <w:numPr>
          <w:ilvl w:val="0"/>
          <w:numId w:val="6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jc w:val="both"/>
        <w:spacing w:after="0" w:line="232" w:lineRule="auto"/>
        <w:rPr>
          <w:sz w:val="20"/>
          <w:szCs w:val="20"/>
          <w:color w:val="auto"/>
        </w:rPr>
      </w:pPr>
      <w:r>
        <w:rPr>
          <w:rFonts w:ascii="Times New Roman" w:cs="Times New Roman" w:eastAsia="Times New Roman" w:hAnsi="Times New Roman"/>
          <w:sz w:val="22"/>
          <w:szCs w:val="22"/>
          <w:color w:val="auto"/>
        </w:rPr>
        <w:t>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22"/>
          <w:szCs w:val="22"/>
          <w:b w:val="1"/>
          <w:bCs w:val="1"/>
          <w:color w:val="auto"/>
        </w:rPr>
        <w:t>Blue Sky Survey</w:t>
      </w:r>
      <w:r>
        <w:rPr>
          <w:rFonts w:ascii="Times New Roman" w:cs="Times New Roman" w:eastAsia="Times New Roman" w:hAnsi="Times New Roman"/>
          <w:sz w:val="22"/>
          <w:szCs w:val="22"/>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execution of this Agreement, (B) $25,000 in connection with each Triggering Event Date (as defined below) in connection with the filing of the Company’s annual report on Form 10-K on which the Company is required to provide a certificate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and (C) $15,000 in connection with each other Triggering Event Date on which the Company is required to provide a certificate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ADDITIONAL COVENANTS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 covenants and agrees with the Agent as follows, in addition to any other covenants and agreements made elsewhere in this Agreement:</w:t>
      </w:r>
    </w:p>
    <w:p>
      <w:pPr>
        <w:spacing w:after="0" w:line="158" w:lineRule="exact"/>
        <w:rPr>
          <w:sz w:val="20"/>
          <w:szCs w:val="20"/>
          <w:color w:val="auto"/>
        </w:rPr>
      </w:pPr>
    </w:p>
    <w:p>
      <w:pPr>
        <w:jc w:val="both"/>
        <w:ind w:firstLine="757"/>
        <w:spacing w:after="0" w:line="234" w:lineRule="auto"/>
        <w:tabs>
          <w:tab w:leader="none" w:pos="1018"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Exchange Act Compliance</w:t>
      </w:r>
      <w:r>
        <w:rPr>
          <w:rFonts w:ascii="Times New Roman" w:cs="Times New Roman" w:eastAsia="Times New Roman" w:hAnsi="Times New Roman"/>
          <w:sz w:val="22"/>
          <w:szCs w:val="22"/>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Prospectus Supplement”)</w:t>
      </w:r>
      <w:r>
        <w:rPr>
          <w:rFonts w:ascii="Times New Roman" w:cs="Times New Roman" w:eastAsia="Times New Roman" w:hAnsi="Times New Roman"/>
          <w:sz w:val="22"/>
          <w:szCs w:val="22"/>
          <w:color w:val="auto"/>
        </w:rPr>
        <w:t>, such summary information and, at least once a quarter and subject to this Section 4, file such Interim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Supplement pursuant to Rule 424(b) under the Securities Act (and within the time periods required by Rule 424(b) and Rule 430B under the Securities Act)).</w:t>
      </w:r>
    </w:p>
    <w:p>
      <w:pPr>
        <w:spacing w:after="0" w:line="183" w:lineRule="exact"/>
        <w:rPr>
          <w:rFonts w:ascii="Times New Roman" w:cs="Times New Roman" w:eastAsia="Times New Roman" w:hAnsi="Times New Roman"/>
          <w:sz w:val="22"/>
          <w:szCs w:val="22"/>
          <w:u w:val="single" w:color="auto"/>
          <w:color w:val="auto"/>
        </w:rPr>
      </w:pPr>
    </w:p>
    <w:p>
      <w:pPr>
        <w:ind w:right="20" w:firstLine="757"/>
        <w:spacing w:after="0" w:line="258" w:lineRule="auto"/>
        <w:tabs>
          <w:tab w:leader="none" w:pos="1018"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Securities Act Compliance</w:t>
      </w:r>
      <w:r>
        <w:rPr>
          <w:rFonts w:ascii="Times New Roman" w:cs="Times New Roman" w:eastAsia="Times New Roman" w:hAnsi="Times New Roman"/>
          <w:sz w:val="22"/>
          <w:szCs w:val="22"/>
          <w:color w:val="auto"/>
        </w:rPr>
        <w:t>. After the date of this Agreement, the Company shall promptly advise the Agent in writing (i) of the receipt of any comments of, or requests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jc w:val="both"/>
        <w:spacing w:after="0" w:line="233" w:lineRule="auto"/>
        <w:rPr>
          <w:sz w:val="20"/>
          <w:szCs w:val="20"/>
          <w:color w:val="auto"/>
        </w:rPr>
      </w:pPr>
      <w:r>
        <w:rPr>
          <w:rFonts w:ascii="Times New Roman" w:cs="Times New Roman" w:eastAsia="Times New Roman" w:hAnsi="Times New Roman"/>
          <w:sz w:val="22"/>
          <w:szCs w:val="22"/>
          <w:color w:val="auto"/>
        </w:rPr>
        <w:t>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2" w:lineRule="exact"/>
        <w:rPr>
          <w:sz w:val="20"/>
          <w:szCs w:val="20"/>
          <w:color w:val="auto"/>
        </w:rPr>
      </w:pPr>
    </w:p>
    <w:p>
      <w:pPr>
        <w:jc w:val="both"/>
        <w:ind w:firstLine="757"/>
        <w:spacing w:after="0" w:line="233" w:lineRule="auto"/>
        <w:tabs>
          <w:tab w:leader="none" w:pos="1018" w:val="left"/>
        </w:tabs>
        <w:numPr>
          <w:ilvl w:val="0"/>
          <w:numId w:val="7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Amendments and Supplements to the Prospectus and Other Securities Act Matters</w:t>
      </w:r>
      <w:r>
        <w:rPr>
          <w:rFonts w:ascii="Times New Roman" w:cs="Times New Roman" w:eastAsia="Times New Roman" w:hAnsi="Times New Roman"/>
          <w:sz w:val="22"/>
          <w:szCs w:val="22"/>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be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Notwithstanding the foregoing, the Company shall not be required to file such amendment or supplement if there is no pending Issuance Notice and the Company believes that it is in its best interest not to file such amendment or supplement; provided that in such case, the Company shall not deliver an Issuance Notice until such amendment or supplement has been filed.</w:t>
      </w:r>
    </w:p>
    <w:p>
      <w:pPr>
        <w:spacing w:after="0" w:line="177" w:lineRule="exact"/>
        <w:rPr>
          <w:rFonts w:ascii="Times New Roman" w:cs="Times New Roman" w:eastAsia="Times New Roman" w:hAnsi="Times New Roman"/>
          <w:sz w:val="22"/>
          <w:szCs w:val="22"/>
          <w:u w:val="single" w:color="auto"/>
          <w:color w:val="auto"/>
        </w:rPr>
      </w:pPr>
    </w:p>
    <w:p>
      <w:pPr>
        <w:jc w:val="both"/>
        <w:ind w:firstLine="757"/>
        <w:spacing w:after="0" w:line="249" w:lineRule="auto"/>
        <w:tabs>
          <w:tab w:leader="none" w:pos="1018" w:val="left"/>
        </w:tabs>
        <w:numPr>
          <w:ilvl w:val="0"/>
          <w:numId w:val="7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Agent’s Review of Proposed Amendments and Supplements</w:t>
      </w:r>
      <w:r>
        <w:rPr>
          <w:rFonts w:ascii="Times New Roman" w:cs="Times New Roman" w:eastAsia="Times New Roman" w:hAnsi="Times New Roman"/>
          <w:sz w:val="21"/>
          <w:szCs w:val="21"/>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spacing w:after="0" w:line="258" w:lineRule="auto"/>
        <w:rPr>
          <w:sz w:val="20"/>
          <w:szCs w:val="20"/>
          <w:color w:val="auto"/>
        </w:rPr>
      </w:pPr>
      <w:r>
        <w:rPr>
          <w:rFonts w:ascii="Times New Roman" w:cs="Times New Roman" w:eastAsia="Times New Roman" w:hAnsi="Times New Roman"/>
          <w:sz w:val="22"/>
          <w:szCs w:val="22"/>
          <w:color w:val="auto"/>
        </w:rPr>
        <w:t>and to file with the Commission within the applicable period specified in Rule 424(b) under the Securities Act any prospectus required to be filed pursuant to such Rule.</w:t>
      </w:r>
    </w:p>
    <w:p>
      <w:pPr>
        <w:spacing w:after="0" w:line="158" w:lineRule="exact"/>
        <w:rPr>
          <w:sz w:val="20"/>
          <w:szCs w:val="20"/>
          <w:color w:val="auto"/>
        </w:rPr>
      </w:pPr>
    </w:p>
    <w:p>
      <w:pPr>
        <w:jc w:val="both"/>
        <w:ind w:firstLine="757"/>
        <w:spacing w:after="0" w:line="255" w:lineRule="auto"/>
        <w:tabs>
          <w:tab w:leader="none" w:pos="1018" w:val="left"/>
        </w:tabs>
        <w:numPr>
          <w:ilvl w:val="0"/>
          <w:numId w:val="7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Use of Free Writing Prospectus</w:t>
      </w:r>
      <w:r>
        <w:rPr>
          <w:rFonts w:ascii="Times New Roman" w:cs="Times New Roman" w:eastAsia="Times New Roman" w:hAnsi="Times New Roman"/>
          <w:sz w:val="21"/>
          <w:szCs w:val="21"/>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21"/>
          <w:szCs w:val="21"/>
          <w:b w:val="1"/>
          <w:bCs w:val="1"/>
          <w:color w:val="auto"/>
        </w:rPr>
        <w:t>Free Writing Prospectus</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u w:val="single" w:color="auto"/>
          <w:color w:val="auto"/>
        </w:rPr>
      </w:pPr>
    </w:p>
    <w:p>
      <w:pPr>
        <w:jc w:val="both"/>
        <w:ind w:firstLine="757"/>
        <w:spacing w:after="0" w:line="232" w:lineRule="auto"/>
        <w:tabs>
          <w:tab w:leader="none" w:pos="1018" w:val="left"/>
        </w:tabs>
        <w:numPr>
          <w:ilvl w:val="0"/>
          <w:numId w:val="7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Free Writing Prospectuses</w:t>
      </w:r>
      <w:r>
        <w:rPr>
          <w:rFonts w:ascii="Times New Roman" w:cs="Times New Roman" w:eastAsia="Times New Roman" w:hAnsi="Times New Roman"/>
          <w:sz w:val="22"/>
          <w:szCs w:val="22"/>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(such consent not to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(such consent not to be unreasonably withheld, conditioned or delayed).</w:t>
      </w:r>
    </w:p>
    <w:p>
      <w:pPr>
        <w:spacing w:after="0" w:line="185"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7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Filing of Agent Free Writing Prospectuses</w:t>
      </w:r>
      <w:r>
        <w:rPr>
          <w:rFonts w:ascii="Times New Roman" w:cs="Times New Roman" w:eastAsia="Times New Roman" w:hAnsi="Times New Roman"/>
          <w:sz w:val="22"/>
          <w:szCs w:val="22"/>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7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Copies of Registration Statement and Prospectus</w:t>
      </w:r>
      <w:r>
        <w:rPr>
          <w:rFonts w:ascii="Times New Roman" w:cs="Times New Roman" w:eastAsia="Times New Roman" w:hAnsi="Times New Roman"/>
          <w:sz w:val="22"/>
          <w:szCs w:val="22"/>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jc w:val="both"/>
        <w:spacing w:after="0" w:line="244" w:lineRule="auto"/>
        <w:rPr>
          <w:sz w:val="20"/>
          <w:szCs w:val="20"/>
          <w:color w:val="auto"/>
        </w:rPr>
      </w:pPr>
      <w:r>
        <w:rPr>
          <w:rFonts w:ascii="Times New Roman" w:cs="Times New Roman" w:eastAsia="Times New Roman" w:hAnsi="Times New Roman"/>
          <w:sz w:val="21"/>
          <w:szCs w:val="21"/>
          <w:color w:val="auto"/>
        </w:rPr>
        <w:t>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76" w:lineRule="exact"/>
        <w:rPr>
          <w:sz w:val="20"/>
          <w:szCs w:val="20"/>
          <w:color w:val="auto"/>
        </w:rPr>
      </w:pPr>
    </w:p>
    <w:p>
      <w:pPr>
        <w:jc w:val="both"/>
        <w:ind w:firstLine="757"/>
        <w:spacing w:after="0" w:line="234" w:lineRule="auto"/>
        <w:tabs>
          <w:tab w:leader="none" w:pos="1018" w:val="left"/>
        </w:tabs>
        <w:numPr>
          <w:ilvl w:val="0"/>
          <w:numId w:val="7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Blue Sky Compliance</w:t>
      </w:r>
      <w:r>
        <w:rPr>
          <w:rFonts w:ascii="Times New Roman" w:cs="Times New Roman" w:eastAsia="Times New Roman" w:hAnsi="Times New Roman"/>
          <w:sz w:val="22"/>
          <w:szCs w:val="22"/>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as soon as practicable.</w:t>
      </w:r>
    </w:p>
    <w:p>
      <w:pPr>
        <w:spacing w:after="0" w:line="179"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7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80"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7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Listing; Reservation of Shares</w:t>
      </w:r>
      <w:r>
        <w:rPr>
          <w:rFonts w:ascii="Times New Roman" w:cs="Times New Roman" w:eastAsia="Times New Roman" w:hAnsi="Times New Roman"/>
          <w:sz w:val="22"/>
          <w:szCs w:val="22"/>
          <w:color w:val="auto"/>
        </w:rPr>
        <w:t>. (a) The Company will use its reasonable best efforts to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ind w:left="1020" w:hanging="263"/>
        <w:spacing w:after="0"/>
        <w:tabs>
          <w:tab w:leader="none" w:pos="1020" w:val="left"/>
        </w:tabs>
        <w:numPr>
          <w:ilvl w:val="0"/>
          <w:numId w:val="7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The Company shall engage and maintain, at its expense, a registrar and transfer agent for the Shares.</w:t>
      </w:r>
    </w:p>
    <w:p>
      <w:pPr>
        <w:spacing w:after="0" w:line="21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(m)Due Diligence</w:t>
      </w:r>
      <w:r>
        <w:rPr>
          <w:rFonts w:ascii="Times New Roman" w:cs="Times New Roman" w:eastAsia="Times New Roman" w:hAnsi="Times New Roman"/>
          <w:sz w:val="22"/>
          <w:szCs w:val="22"/>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w:t>
      </w:r>
    </w:p>
    <w:p>
      <w:pPr>
        <w:spacing w:after="0" w:line="180" w:lineRule="exact"/>
        <w:rPr>
          <w:sz w:val="20"/>
          <w:szCs w:val="20"/>
          <w:color w:val="auto"/>
        </w:rPr>
      </w:pPr>
    </w:p>
    <w:p>
      <w:pPr>
        <w:jc w:val="both"/>
        <w:ind w:firstLine="757"/>
        <w:spacing w:after="0" w:line="234" w:lineRule="auto"/>
        <w:tabs>
          <w:tab w:leader="none" w:pos="1018" w:val="left"/>
        </w:tabs>
        <w:numPr>
          <w:ilvl w:val="0"/>
          <w:numId w:val="7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83"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7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Deliverables at Triggering Event Dates; Certificates.</w:t>
      </w:r>
      <w:r>
        <w:rPr>
          <w:rFonts w:ascii="Times New Roman" w:cs="Times New Roman" w:eastAsia="Times New Roman" w:hAnsi="Times New Roman"/>
          <w:sz w:val="22"/>
          <w:szCs w:val="22"/>
          <w:color w:val="auto"/>
        </w:rPr>
        <w:t xml:space="preserve"> The Company agrees that on or prior to the date of the first Issuance Notice and, during the term of this Agreement after the date of the first Issuance Notice, upon:</w:t>
      </w:r>
    </w:p>
    <w:p>
      <w:pPr>
        <w:spacing w:after="0" w:line="158" w:lineRule="exact"/>
        <w:rPr>
          <w:rFonts w:ascii="Times New Roman" w:cs="Times New Roman" w:eastAsia="Times New Roman" w:hAnsi="Times New Roman"/>
          <w:sz w:val="22"/>
          <w:szCs w:val="22"/>
          <w:u w:val="single" w:color="auto"/>
          <w:color w:val="auto"/>
        </w:rPr>
      </w:pPr>
    </w:p>
    <w:p>
      <w:pPr>
        <w:jc w:val="both"/>
        <w:ind w:firstLine="872"/>
        <w:spacing w:after="0" w:line="239" w:lineRule="auto"/>
        <w:tabs>
          <w:tab w:leader="none" w:pos="12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207" w:lineRule="exact"/>
        <w:rPr>
          <w:rFonts w:ascii="Times New Roman" w:cs="Times New Roman" w:eastAsia="Times New Roman" w:hAnsi="Times New Roman"/>
          <w:sz w:val="22"/>
          <w:szCs w:val="22"/>
          <w:color w:val="auto"/>
        </w:rPr>
      </w:pPr>
    </w:p>
    <w:p>
      <w:pPr>
        <w:jc w:val="both"/>
        <w:ind w:firstLine="872"/>
        <w:spacing w:after="0" w:line="244" w:lineRule="auto"/>
        <w:tabs>
          <w:tab w:leader="none" w:pos="12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200" w:lineRule="exact"/>
        <w:rPr>
          <w:rFonts w:ascii="Times New Roman" w:cs="Times New Roman" w:eastAsia="Times New Roman" w:hAnsi="Times New Roman"/>
          <w:sz w:val="22"/>
          <w:szCs w:val="22"/>
          <w:color w:val="auto"/>
        </w:rPr>
      </w:pPr>
    </w:p>
    <w:p>
      <w:pPr>
        <w:jc w:val="both"/>
        <w:ind w:firstLine="872"/>
        <w:spacing w:after="0" w:line="238" w:lineRule="auto"/>
        <w:tabs>
          <w:tab w:leader="none" w:pos="12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(any such event, a “</w:t>
      </w:r>
      <w:r>
        <w:rPr>
          <w:rFonts w:ascii="Times New Roman" w:cs="Times New Roman" w:eastAsia="Times New Roman" w:hAnsi="Times New Roman"/>
          <w:sz w:val="22"/>
          <w:szCs w:val="22"/>
          <w:b w:val="1"/>
          <w:bCs w:val="1"/>
          <w:color w:val="auto"/>
        </w:rPr>
        <w:t>Triggering Event Date</w:t>
      </w:r>
      <w:r>
        <w:rPr>
          <w:rFonts w:ascii="Times New Roman" w:cs="Times New Roman" w:eastAsia="Times New Roman" w:hAnsi="Times New Roman"/>
          <w:sz w:val="22"/>
          <w:szCs w:val="22"/>
          <w:color w:val="auto"/>
        </w:rPr>
        <w:t>”), the Company shall furnish the Agent (but in the case of clause (C) above only if the Agent reasonably determines that the information contained in such current report on Form 8-K of the Company is material) with a certificate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‎Section 5(a)(iii) hereof, and (C) containing any other certification that the Agent shall reasonably request. The requirement to provide a certificate under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-1419225</wp:posOffset>
            </wp:positionV>
            <wp:extent cx="8718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160" w:lineRule="exact"/>
        <w:rPr>
          <w:sz w:val="20"/>
          <w:szCs w:val="20"/>
          <w:color w:val="auto"/>
        </w:rPr>
      </w:pPr>
    </w:p>
    <w:p>
      <w:pPr>
        <w:jc w:val="both"/>
        <w:ind w:firstLine="757"/>
        <w:spacing w:after="0" w:line="233" w:lineRule="auto"/>
        <w:tabs>
          <w:tab w:leader="none" w:pos="1018" w:val="left"/>
        </w:tabs>
        <w:numPr>
          <w:ilvl w:val="0"/>
          <w:numId w:val="7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Goodwin Procter LLP, counsel to the Company, Wilmer Cutler Pickering Hale and Dorr LLP, counsel to the Agent, and Dechert LLP, intellectual property counsel to the Company, and any other counsel advising the Company on intellectual property that is material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4" w:lineRule="exact"/>
        <w:rPr>
          <w:rFonts w:ascii="Times New Roman" w:cs="Times New Roman" w:eastAsia="Times New Roman" w:hAnsi="Times New Roman"/>
          <w:sz w:val="22"/>
          <w:szCs w:val="22"/>
          <w:u w:val="single" w:color="auto"/>
          <w:color w:val="auto"/>
        </w:rPr>
      </w:pPr>
    </w:p>
    <w:p>
      <w:pPr>
        <w:jc w:val="both"/>
        <w:ind w:firstLine="757"/>
        <w:spacing w:after="0" w:line="234" w:lineRule="auto"/>
        <w:tabs>
          <w:tab w:leader="none" w:pos="1018" w:val="left"/>
        </w:tabs>
        <w:numPr>
          <w:ilvl w:val="0"/>
          <w:numId w:val="7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three (3) Trading Days of occurrence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jc w:val="both"/>
        <w:spacing w:after="0" w:line="244" w:lineRule="auto"/>
        <w:rPr>
          <w:sz w:val="20"/>
          <w:szCs w:val="20"/>
          <w:color w:val="auto"/>
        </w:rPr>
      </w:pPr>
      <w:r>
        <w:rPr>
          <w:rFonts w:ascii="Times New Roman" w:cs="Times New Roman" w:eastAsia="Times New Roman" w:hAnsi="Times New Roman"/>
          <w:sz w:val="22"/>
          <w:szCs w:val="22"/>
          <w:color w:val="auto"/>
        </w:rPr>
        <w:t>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173" w:lineRule="exact"/>
        <w:rPr>
          <w:sz w:val="20"/>
          <w:szCs w:val="20"/>
          <w:color w:val="auto"/>
        </w:rPr>
      </w:pPr>
    </w:p>
    <w:p>
      <w:pPr>
        <w:jc w:val="both"/>
        <w:ind w:firstLine="440"/>
        <w:spacing w:after="0" w:line="235" w:lineRule="auto"/>
        <w:tabs>
          <w:tab w:leader="none" w:pos="95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Agent’s Own Account; Clients’ Account</w:t>
      </w:r>
      <w:r>
        <w:rPr>
          <w:rFonts w:ascii="Times New Roman" w:cs="Times New Roman" w:eastAsia="Times New Roman" w:hAnsi="Times New Roman"/>
          <w:sz w:val="22"/>
          <w:szCs w:val="22"/>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1"/>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Investment Limitation</w:t>
      </w:r>
      <w:r>
        <w:rPr>
          <w:rFonts w:ascii="Times New Roman" w:cs="Times New Roman" w:eastAsia="Times New Roman" w:hAnsi="Times New Roman"/>
          <w:sz w:val="22"/>
          <w:szCs w:val="22"/>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34" w:lineRule="auto"/>
        <w:tabs>
          <w:tab w:leader="none" w:pos="1018" w:val="left"/>
        </w:tabs>
        <w:numPr>
          <w:ilvl w:val="1"/>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Times New Roman" w:cs="Times New Roman" w:eastAsia="Times New Roman" w:hAnsi="Times New Roman"/>
          <w:sz w:val="22"/>
          <w:szCs w:val="22"/>
          <w:b w:val="1"/>
          <w:bCs w:val="1"/>
          <w:color w:val="auto"/>
        </w:rPr>
        <w:t>Rule 102</w:t>
      </w:r>
      <w:r>
        <w:rPr>
          <w:rFonts w:ascii="Times New Roman" w:cs="Times New Roman" w:eastAsia="Times New Roman" w:hAnsi="Times New Roman"/>
          <w:sz w:val="22"/>
          <w:szCs w:val="22"/>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83" w:lineRule="exact"/>
        <w:rPr>
          <w:rFonts w:ascii="Times New Roman" w:cs="Times New Roman" w:eastAsia="Times New Roman" w:hAnsi="Times New Roman"/>
          <w:sz w:val="22"/>
          <w:szCs w:val="22"/>
          <w:u w:val="single" w:color="auto"/>
          <w:color w:val="auto"/>
        </w:rPr>
      </w:pPr>
    </w:p>
    <w:p>
      <w:pPr>
        <w:jc w:val="both"/>
        <w:ind w:firstLine="757"/>
        <w:spacing w:after="0" w:line="249" w:lineRule="auto"/>
        <w:tabs>
          <w:tab w:leader="none" w:pos="1018" w:val="left"/>
        </w:tabs>
        <w:numPr>
          <w:ilvl w:val="1"/>
          <w:numId w:val="7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Notice of Other Sale</w:t>
      </w:r>
      <w:r>
        <w:rPr>
          <w:rFonts w:ascii="Times New Roman" w:cs="Times New Roman" w:eastAsia="Times New Roman" w:hAnsi="Times New Roman"/>
          <w:sz w:val="21"/>
          <w:szCs w:val="21"/>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jc w:val="both"/>
        <w:spacing w:after="0" w:line="234" w:lineRule="auto"/>
        <w:rPr>
          <w:sz w:val="20"/>
          <w:szCs w:val="20"/>
          <w:color w:val="auto"/>
        </w:rPr>
      </w:pPr>
      <w:r>
        <w:rPr>
          <w:rFonts w:ascii="Times New Roman" w:cs="Times New Roman" w:eastAsia="Times New Roman" w:hAnsi="Times New Roman"/>
          <w:sz w:val="22"/>
          <w:szCs w:val="22"/>
          <w:color w:val="auto"/>
        </w:rPr>
        <w:t>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modification of any outstanding options, warrants of any rights to purchase or acquire Common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CONDITIONS TO DELIVERY OF ISSUANCE NOTICES AND TO SETTLEMENT</w:t>
      </w:r>
    </w:p>
    <w:p>
      <w:pPr>
        <w:spacing w:after="0" w:line="210" w:lineRule="exact"/>
        <w:rPr>
          <w:sz w:val="20"/>
          <w:szCs w:val="20"/>
          <w:color w:val="auto"/>
        </w:rPr>
      </w:pPr>
    </w:p>
    <w:p>
      <w:pPr>
        <w:jc w:val="both"/>
        <w:ind w:firstLine="757"/>
        <w:spacing w:after="0" w:line="238" w:lineRule="auto"/>
        <w:tabs>
          <w:tab w:leader="none" w:pos="1018" w:val="left"/>
        </w:tabs>
        <w:numPr>
          <w:ilvl w:val="0"/>
          <w:numId w:val="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22"/>
          <w:szCs w:val="22"/>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76" w:lineRule="exact"/>
        <w:rPr>
          <w:rFonts w:ascii="Times New Roman" w:cs="Times New Roman" w:eastAsia="Times New Roman" w:hAnsi="Times New Roman"/>
          <w:sz w:val="22"/>
          <w:szCs w:val="22"/>
          <w:u w:val="single" w:color="auto"/>
          <w:color w:val="auto"/>
        </w:rPr>
      </w:pPr>
    </w:p>
    <w:p>
      <w:pPr>
        <w:jc w:val="right"/>
        <w:ind w:left="1500" w:hanging="690"/>
        <w:spacing w:after="0" w:line="235" w:lineRule="auto"/>
        <w:tabs>
          <w:tab w:leader="none" w:pos="125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the Company’s Representations and Warranties; Performance by the Company</w:t>
      </w:r>
      <w:r>
        <w:rPr>
          <w:rFonts w:ascii="Times New Roman" w:cs="Times New Roman" w:eastAsia="Times New Roman" w:hAnsi="Times New Roman"/>
          <w:sz w:val="22"/>
          <w:szCs w:val="22"/>
          <w:color w:val="auto"/>
        </w:rPr>
        <w:t xml:space="preserve">.  The Company shall have delivered the certificate required to be delivered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The Company shall have performed, satisfied and complied with all covenants, agreements and conditions required by this Agreement to be performed, satisfied or complied with by the Company at or prior to such date, including, but not limited to, the covenants</w:t>
      </w: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contained in Section‎ 4(p), </w:t>
      </w:r>
      <w:r>
        <w:rPr>
          <w:rFonts w:ascii="Times New Roman" w:cs="Times New Roman" w:eastAsia="Times New Roman" w:hAnsi="Times New Roman"/>
          <w:sz w:val="22"/>
          <w:szCs w:val="22"/>
          <w:u w:val="single" w:color="auto"/>
          <w:color w:val="auto"/>
        </w:rPr>
        <w:t>Section 4(q)</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1500" w:hanging="690"/>
        <w:spacing w:after="0" w:line="236" w:lineRule="auto"/>
        <w:tabs>
          <w:tab w:leader="none" w:pos="125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1" w:lineRule="exact"/>
        <w:rPr>
          <w:rFonts w:ascii="Times New Roman" w:cs="Times New Roman" w:eastAsia="Times New Roman" w:hAnsi="Times New Roman"/>
          <w:sz w:val="22"/>
          <w:szCs w:val="22"/>
          <w:color w:val="auto"/>
        </w:rPr>
      </w:pPr>
    </w:p>
    <w:p>
      <w:pPr>
        <w:ind w:left="1500" w:hanging="690"/>
        <w:spacing w:after="0" w:line="244" w:lineRule="auto"/>
        <w:tabs>
          <w:tab w:leader="none" w:pos="126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Changes</w:t>
      </w:r>
      <w:r>
        <w:rPr>
          <w:rFonts w:ascii="Times New Roman" w:cs="Times New Roman" w:eastAsia="Times New Roman" w:hAnsi="Times New Roman"/>
          <w:sz w:val="22"/>
          <w:szCs w:val="22"/>
          <w:color w:val="auto"/>
        </w:rPr>
        <w:t>. Except as disclosed in the Prospectus and the Time of Sale Information, (a) in the judgment of the Agent there shall not have occurred any change in (I) the condition, financial or otherwise, or in the earnings,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-1697990</wp:posOffset>
            </wp:positionV>
            <wp:extent cx="6743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jc w:val="both"/>
        <w:ind w:left="743"/>
        <w:spacing w:after="0" w:line="246" w:lineRule="auto"/>
        <w:rPr>
          <w:sz w:val="20"/>
          <w:szCs w:val="20"/>
          <w:color w:val="auto"/>
        </w:rPr>
      </w:pPr>
      <w:r>
        <w:rPr>
          <w:rFonts w:ascii="Times New Roman" w:cs="Times New Roman" w:eastAsia="Times New Roman" w:hAnsi="Times New Roman"/>
          <w:sz w:val="21"/>
          <w:szCs w:val="21"/>
          <w:color w:val="auto"/>
        </w:rPr>
        <w:t>properties, operations, operating results, assets, liabilities or prospects, whether or not arising from transactions in the ordinary course of business, of the Company and its subsidiaries, considered as one entity or (II) the ability of the Company to consummate the transactions contemplated by this Agreement or perform its obligations hereunder that had or is reasonably likely to have a material adverse effect on the Company or the Company’s ability to consummate the transactions contemplated by this Agreement.;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75" w:lineRule="exact"/>
        <w:rPr>
          <w:sz w:val="20"/>
          <w:szCs w:val="20"/>
          <w:color w:val="auto"/>
        </w:rPr>
      </w:pPr>
    </w:p>
    <w:p>
      <w:pPr>
        <w:ind w:left="743" w:hanging="690"/>
        <w:spacing w:after="0" w:line="232" w:lineRule="auto"/>
        <w:tabs>
          <w:tab w:leader="none" w:pos="49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 of Trading in or Delisting of Common Shares; Other Events</w:t>
      </w:r>
      <w:r>
        <w:rPr>
          <w:rFonts w:ascii="Times New Roman" w:cs="Times New Roman" w:eastAsia="Times New Roman" w:hAnsi="Times New Roman"/>
          <w:sz w:val="22"/>
          <w:szCs w:val="22"/>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91" w:lineRule="exact"/>
        <w:rPr>
          <w:rFonts w:ascii="Times New Roman" w:cs="Times New Roman" w:eastAsia="Times New Roman" w:hAnsi="Times New Roman"/>
          <w:sz w:val="22"/>
          <w:szCs w:val="22"/>
          <w:color w:val="auto"/>
        </w:rPr>
      </w:pPr>
    </w:p>
    <w:p>
      <w:pPr>
        <w:jc w:val="both"/>
        <w:ind w:left="-757" w:firstLine="757"/>
        <w:spacing w:after="0" w:line="236" w:lineRule="auto"/>
        <w:tabs>
          <w:tab w:leader="none" w:pos="261" w:val="left"/>
        </w:tabs>
        <w:numPr>
          <w:ilvl w:val="0"/>
          <w:numId w:val="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Documents Required to be Delivered on each Issuance Notice Date</w:t>
      </w:r>
      <w:r>
        <w:rPr>
          <w:rFonts w:ascii="Times New Roman" w:cs="Times New Roman" w:eastAsia="Times New Roman" w:hAnsi="Times New Roman"/>
          <w:sz w:val="22"/>
          <w:szCs w:val="22"/>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1" w:lineRule="exact"/>
        <w:rPr>
          <w:rFonts w:ascii="Times New Roman" w:cs="Times New Roman" w:eastAsia="Times New Roman" w:hAnsi="Times New Roman"/>
          <w:sz w:val="22"/>
          <w:szCs w:val="22"/>
          <w:u w:val="single" w:color="auto"/>
          <w:color w:val="auto"/>
        </w:rPr>
      </w:pPr>
    </w:p>
    <w:p>
      <w:pPr>
        <w:ind w:left="-757" w:firstLine="757"/>
        <w:spacing w:after="0" w:line="258" w:lineRule="auto"/>
        <w:tabs>
          <w:tab w:leader="none" w:pos="261" w:val="left"/>
        </w:tabs>
        <w:numPr>
          <w:ilvl w:val="0"/>
          <w:numId w:val="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Agent shall not have advised the Company that the Registration Statement, the Prospectus or the Time of Sale Information, or any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996950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21" w:name="page122"/>
    <w:bookmarkEnd w:id="121"/>
    <w:p>
      <w:pPr>
        <w:jc w:val="both"/>
        <w:spacing w:after="0" w:line="244" w:lineRule="auto"/>
        <w:rPr>
          <w:sz w:val="20"/>
          <w:szCs w:val="20"/>
          <w:color w:val="auto"/>
        </w:rPr>
      </w:pPr>
      <w:r>
        <w:rPr>
          <w:rFonts w:ascii="Times New Roman" w:cs="Times New Roman" w:eastAsia="Times New Roman" w:hAnsi="Times New Roman"/>
          <w:sz w:val="22"/>
          <w:szCs w:val="22"/>
          <w:color w:val="auto"/>
        </w:rPr>
        <w:t>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INDEMNIFICATION AND CONTRIBUTION</w:t>
      </w:r>
    </w:p>
    <w:p>
      <w:pPr>
        <w:spacing w:after="0" w:line="210" w:lineRule="exact"/>
        <w:rPr>
          <w:sz w:val="20"/>
          <w:szCs w:val="20"/>
          <w:color w:val="auto"/>
        </w:rPr>
      </w:pPr>
    </w:p>
    <w:p>
      <w:pPr>
        <w:jc w:val="both"/>
        <w:ind w:firstLine="757"/>
        <w:spacing w:after="0" w:line="242" w:lineRule="auto"/>
        <w:tabs>
          <w:tab w:leader="none" w:pos="1018" w:val="left"/>
        </w:tabs>
        <w:numPr>
          <w:ilvl w:val="0"/>
          <w:numId w:val="8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Indemnification of the Agent</w:t>
      </w:r>
      <w:r>
        <w:rPr>
          <w:rFonts w:ascii="Times New Roman" w:cs="Times New Roman" w:eastAsia="Times New Roman" w:hAnsi="Times New Roman"/>
          <w:sz w:val="21"/>
          <w:szCs w:val="21"/>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w:t>
      </w:r>
    </w:p>
    <w:p>
      <w:pPr>
        <w:spacing w:after="0" w:line="253" w:lineRule="exact"/>
        <w:rPr>
          <w:rFonts w:ascii="Times New Roman" w:cs="Times New Roman" w:eastAsia="Times New Roman" w:hAnsi="Times New Roman"/>
          <w:sz w:val="21"/>
          <w:szCs w:val="21"/>
          <w:u w:val="single" w:color="auto"/>
          <w:color w:val="auto"/>
        </w:rPr>
      </w:pPr>
    </w:p>
    <w:p>
      <w:pPr>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u w:val="single" w:color="auto"/>
          <w:color w:val="auto"/>
        </w:rPr>
        <w:t>6(a)</w:t>
      </w:r>
      <w:r>
        <w:rPr>
          <w:rFonts w:ascii="Times New Roman" w:cs="Times New Roman" w:eastAsia="Times New Roman" w:hAnsi="Times New Roman"/>
          <w:sz w:val="22"/>
          <w:szCs w:val="22"/>
          <w:color w:val="auto"/>
        </w:rPr>
        <w:t xml:space="preserve"> shall be in addition to any liabilities that the Company may otherwise have.</w:t>
      </w:r>
    </w:p>
    <w:p>
      <w:pPr>
        <w:spacing w:after="0" w:line="182" w:lineRule="exact"/>
        <w:rPr>
          <w:rFonts w:ascii="Times New Roman" w:cs="Times New Roman" w:eastAsia="Times New Roman" w:hAnsi="Times New Roman"/>
          <w:sz w:val="21"/>
          <w:szCs w:val="21"/>
          <w:u w:val="single" w:color="auto"/>
          <w:color w:val="auto"/>
        </w:rPr>
      </w:pPr>
    </w:p>
    <w:p>
      <w:pPr>
        <w:ind w:firstLine="757"/>
        <w:spacing w:after="0" w:line="258" w:lineRule="auto"/>
        <w:tabs>
          <w:tab w:leader="none" w:pos="1018" w:val="left"/>
        </w:tabs>
        <w:numPr>
          <w:ilvl w:val="0"/>
          <w:numId w:val="8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Indemnification of the Company, its Directors and Officers</w:t>
      </w:r>
      <w:r>
        <w:rPr>
          <w:rFonts w:ascii="Times New Roman" w:cs="Times New Roman" w:eastAsia="Times New Roman" w:hAnsi="Times New Roman"/>
          <w:sz w:val="22"/>
          <w:szCs w:val="22"/>
          <w:color w:val="auto"/>
        </w:rPr>
        <w:t>. The Agent agrees to indemnify and hold harmless the Company, each of its directors, each of its officers who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2" w:name="page123"/>
    <w:bookmarkEnd w:id="122"/>
    <w:p>
      <w:pPr>
        <w:jc w:val="both"/>
        <w:spacing w:after="0" w:line="232" w:lineRule="auto"/>
        <w:rPr>
          <w:sz w:val="20"/>
          <w:szCs w:val="20"/>
          <w:color w:val="auto"/>
        </w:rPr>
      </w:pPr>
      <w:r>
        <w:rPr>
          <w:rFonts w:ascii="Times New Roman" w:cs="Times New Roman" w:eastAsia="Times New Roman" w:hAnsi="Times New Roman"/>
          <w:sz w:val="22"/>
          <w:szCs w:val="22"/>
          <w:color w:val="auto"/>
        </w:rPr>
        <w:t>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182" w:lineRule="exact"/>
        <w:rPr>
          <w:sz w:val="20"/>
          <w:szCs w:val="20"/>
          <w:color w:val="auto"/>
        </w:rPr>
      </w:pPr>
    </w:p>
    <w:p>
      <w:pPr>
        <w:ind w:left="1020" w:hanging="263"/>
        <w:spacing w:after="0"/>
        <w:tabs>
          <w:tab w:leader="none" w:pos="1020" w:val="left"/>
        </w:tabs>
        <w:numPr>
          <w:ilvl w:val="0"/>
          <w:numId w:val="8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Notifications and Other Indemnification Procedures</w:t>
      </w:r>
      <w:r>
        <w:rPr>
          <w:rFonts w:ascii="Times New Roman" w:cs="Times New Roman" w:eastAsia="Times New Roman" w:hAnsi="Times New Roman"/>
          <w:sz w:val="22"/>
          <w:szCs w:val="22"/>
          <w:color w:val="auto"/>
        </w:rPr>
        <w:t>.  Promptly after receipt by an indemnified party under this</w:t>
      </w:r>
    </w:p>
    <w:p>
      <w:pPr>
        <w:spacing w:after="0" w:line="14" w:lineRule="exact"/>
        <w:rPr>
          <w:rFonts w:ascii="Times New Roman" w:cs="Times New Roman" w:eastAsia="Times New Roman" w:hAnsi="Times New Roman"/>
          <w:sz w:val="22"/>
          <w:szCs w:val="22"/>
          <w:u w:val="single" w:color="auto"/>
          <w:color w:val="auto"/>
        </w:rPr>
      </w:pPr>
    </w:p>
    <w:p>
      <w:pPr>
        <w:spacing w:after="0" w:line="230"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Section‎ 6 of notice of the commencement of any action, such indemnified party will, if a claim in respect thereof is to be made</w:t>
      </w:r>
    </w:p>
    <w:p>
      <w:pPr>
        <w:jc w:val="both"/>
        <w:spacing w:after="0" w:line="241"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1"/>
          <w:szCs w:val="21"/>
          <w:color w:val="auto"/>
        </w:rPr>
        <w:t>against an indemnifying party under this Section‎ 6, notify the indemnifying party in writing of the commencement thereof, but the omission so to notify the indemnifying party will not relieve it from any liability which it may have to any indemnified party</w:t>
      </w:r>
    </w:p>
    <w:p>
      <w:pPr>
        <w:spacing w:after="0" w:line="1" w:lineRule="exact"/>
        <w:rPr>
          <w:rFonts w:ascii="Times New Roman" w:cs="Times New Roman" w:eastAsia="Times New Roman" w:hAnsi="Times New Roman"/>
          <w:sz w:val="22"/>
          <w:szCs w:val="22"/>
          <w:u w:val="single" w:color="auto"/>
          <w:color w:val="auto"/>
        </w:rPr>
      </w:pPr>
    </w:p>
    <w:p>
      <w:pPr>
        <w:jc w:val="both"/>
        <w:spacing w:after="0" w:line="232"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contribution or otherwise than under the indemnity agreement contained in this Section‎ 6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-1884045</wp:posOffset>
            </wp:positionV>
            <wp:extent cx="5143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-1729740</wp:posOffset>
            </wp:positionV>
            <wp:extent cx="5226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-1421130</wp:posOffset>
            </wp:positionV>
            <wp:extent cx="51435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jc w:val="both"/>
        <w:spacing w:after="0" w:line="238" w:lineRule="auto"/>
        <w:rPr>
          <w:sz w:val="20"/>
          <w:szCs w:val="20"/>
          <w:color w:val="auto"/>
        </w:rPr>
      </w:pPr>
      <w:r>
        <w:rPr>
          <w:rFonts w:ascii="Times New Roman" w:cs="Times New Roman" w:eastAsia="Times New Roman" w:hAnsi="Times New Roman"/>
          <w:sz w:val="22"/>
          <w:szCs w:val="22"/>
          <w:color w:val="auto"/>
        </w:rPr>
        <w:t>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w:t>
      </w:r>
    </w:p>
    <w:p>
      <w:pPr>
        <w:jc w:val="both"/>
        <w:spacing w:after="0" w:line="231" w:lineRule="auto"/>
        <w:rPr>
          <w:sz w:val="20"/>
          <w:szCs w:val="20"/>
          <w:color w:val="auto"/>
        </w:rPr>
      </w:pPr>
      <w:r>
        <w:rPr>
          <w:rFonts w:ascii="Times New Roman" w:cs="Times New Roman" w:eastAsia="Times New Roman" w:hAnsi="Times New Roman"/>
          <w:sz w:val="22"/>
          <w:szCs w:val="22"/>
          <w:color w:val="auto"/>
        </w:rPr>
        <w:t>counsel,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‎Section 6(a)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-1569085</wp:posOffset>
            </wp:positionV>
            <wp:extent cx="5143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6461760</wp:posOffset>
            </wp:positionH>
            <wp:positionV relativeFrom="paragraph">
              <wp:posOffset>-797560</wp:posOffset>
            </wp:positionV>
            <wp:extent cx="6750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675005" cy="8255"/>
                    </a:xfrm>
                    <a:prstGeom prst="rect">
                      <a:avLst/>
                    </a:prstGeom>
                    <a:noFill/>
                  </pic:spPr>
                </pic:pic>
              </a:graphicData>
            </a:graphic>
          </wp:anchor>
        </w:drawing>
      </w:r>
    </w:p>
    <w:p>
      <w:pPr>
        <w:spacing w:after="0" w:line="167" w:lineRule="exact"/>
        <w:rPr>
          <w:sz w:val="20"/>
          <w:szCs w:val="20"/>
          <w:color w:val="auto"/>
        </w:rPr>
      </w:pPr>
    </w:p>
    <w:p>
      <w:pPr>
        <w:jc w:val="both"/>
        <w:ind w:firstLine="757"/>
        <w:spacing w:after="0" w:line="247" w:lineRule="auto"/>
        <w:tabs>
          <w:tab w:leader="none" w:pos="1018" w:val="left"/>
        </w:tabs>
        <w:numPr>
          <w:ilvl w:val="0"/>
          <w:numId w:val="8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Settlements</w:t>
      </w:r>
      <w:r>
        <w:rPr>
          <w:rFonts w:ascii="Times New Roman" w:cs="Times New Roman" w:eastAsia="Times New Roman" w:hAnsi="Times New Roman"/>
          <w:sz w:val="21"/>
          <w:szCs w:val="21"/>
          <w:color w:val="auto"/>
        </w:rPr>
        <w:t>. 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w:t>
      </w:r>
    </w:p>
    <w:p>
      <w:pPr>
        <w:spacing w:after="0" w:line="1" w:lineRule="exact"/>
        <w:rPr>
          <w:rFonts w:ascii="Times New Roman" w:cs="Times New Roman" w:eastAsia="Times New Roman" w:hAnsi="Times New Roman"/>
          <w:sz w:val="21"/>
          <w:szCs w:val="21"/>
          <w:u w:val="single" w:color="auto"/>
          <w:color w:val="auto"/>
        </w:rPr>
      </w:pPr>
    </w:p>
    <w:p>
      <w:pPr>
        <w:jc w:val="both"/>
        <w:spacing w:after="0" w:line="232" w:lineRule="auto"/>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indemnifying party to reimburse the indemnified party for fees and expenses of counsel as contemplated by Section‎ 6(b)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78" w:lineRule="exact"/>
        <w:rPr>
          <w:rFonts w:ascii="Times New Roman" w:cs="Times New Roman" w:eastAsia="Times New Roman" w:hAnsi="Times New Roman"/>
          <w:sz w:val="21"/>
          <w:szCs w:val="21"/>
          <w:u w:val="single" w:color="auto"/>
          <w:color w:val="auto"/>
        </w:rPr>
      </w:pPr>
    </w:p>
    <w:p>
      <w:pPr>
        <w:jc w:val="both"/>
        <w:ind w:firstLine="757"/>
        <w:spacing w:after="0" w:line="235" w:lineRule="auto"/>
        <w:tabs>
          <w:tab w:leader="none" w:pos="1018" w:val="left"/>
        </w:tabs>
        <w:numPr>
          <w:ilvl w:val="0"/>
          <w:numId w:val="8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-3255010</wp:posOffset>
            </wp:positionV>
            <wp:extent cx="5226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6024880</wp:posOffset>
            </wp:positionH>
            <wp:positionV relativeFrom="paragraph">
              <wp:posOffset>-2637790</wp:posOffset>
            </wp:positionV>
            <wp:extent cx="6826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68262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-1111885</wp:posOffset>
            </wp:positionV>
            <wp:extent cx="5314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p>
      <w:pPr>
        <w:jc w:val="both"/>
        <w:spacing w:after="0" w:line="234" w:lineRule="auto"/>
        <w:rPr>
          <w:sz w:val="20"/>
          <w:szCs w:val="20"/>
          <w:color w:val="auto"/>
        </w:rPr>
      </w:pPr>
      <w:r>
        <w:rPr>
          <w:rFonts w:ascii="Times New Roman" w:cs="Times New Roman" w:eastAsia="Times New Roman" w:hAnsi="Times New Roman"/>
          <w:sz w:val="22"/>
          <w:szCs w:val="22"/>
          <w:color w:val="auto"/>
        </w:rPr>
        <w:t>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83"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color w:val="auto"/>
        </w:rPr>
        <w:t>The amount paid or payable by a party as a result of the losses, claims, damages, liabilities and expenses referred to above shall be deemed to include, subject to the limitations set forth in ‎Section 6(b), any legal or other fees or expenses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-21590</wp:posOffset>
            </wp:positionV>
            <wp:extent cx="6826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682625" cy="8255"/>
                    </a:xfrm>
                    <a:prstGeom prst="rect">
                      <a:avLst/>
                    </a:prstGeom>
                    <a:noFill/>
                  </pic:spPr>
                </pic:pic>
              </a:graphicData>
            </a:graphic>
          </wp:anchor>
        </w:drawing>
      </w:r>
    </w:p>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incurred by such party in connection with investigating or defending any action or claim. The provisions set forth in Section‎ 6(b) with respect to notice of commencement of any action shall apply if a claim for contribution is to be made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6456045</wp:posOffset>
            </wp:positionH>
            <wp:positionV relativeFrom="paragraph">
              <wp:posOffset>-176530</wp:posOffset>
            </wp:positionV>
            <wp:extent cx="6743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jc w:val="both"/>
        <w:spacing w:after="0" w:line="237" w:lineRule="auto"/>
        <w:rPr>
          <w:sz w:val="20"/>
          <w:szCs w:val="20"/>
          <w:color w:val="auto"/>
        </w:rPr>
      </w:pPr>
      <w:r>
        <w:rPr>
          <w:rFonts w:ascii="Times New Roman" w:cs="Times New Roman" w:eastAsia="Times New Roman" w:hAnsi="Times New Roman"/>
          <w:sz w:val="22"/>
          <w:szCs w:val="22"/>
          <w:u w:val="single" w:color="auto"/>
          <w:color w:val="auto"/>
        </w:rPr>
        <w:t>6(d)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additional notice shall be required with respect to any action for which notice has been given under ‎Section 6(b) for purposes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-31750</wp:posOffset>
            </wp:positionV>
            <wp:extent cx="6743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158" w:lineRule="exact"/>
        <w:rPr>
          <w:sz w:val="20"/>
          <w:szCs w:val="20"/>
          <w:color w:val="auto"/>
        </w:rPr>
      </w:pPr>
    </w:p>
    <w:p>
      <w:pPr>
        <w:ind w:right="200" w:firstLine="432"/>
        <w:spacing w:after="0" w:line="244" w:lineRule="auto"/>
        <w:rPr>
          <w:sz w:val="20"/>
          <w:szCs w:val="20"/>
          <w:color w:val="auto"/>
        </w:rPr>
      </w:pPr>
      <w:r>
        <w:rPr>
          <w:rFonts w:ascii="Times New Roman" w:cs="Times New Roman" w:eastAsia="Times New Roman" w:hAnsi="Times New Roman"/>
          <w:sz w:val="22"/>
          <w:szCs w:val="22"/>
          <w:color w:val="auto"/>
        </w:rPr>
        <w:t>The Company and the Agent agree that it would not be just and equitable if contribution pursuant to this ‎Section 6(d) were determined by pro rata allocation or by any other method of allocation which does not take account of the equitable considerations referred to in this ‎Section 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-343535</wp:posOffset>
            </wp:positionV>
            <wp:extent cx="6743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67437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-34925</wp:posOffset>
            </wp:positionV>
            <wp:extent cx="6743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53"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Notwithstanding the provisions of this ‎Section 6(d),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‎Section 6(d),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-1111885</wp:posOffset>
            </wp:positionV>
            <wp:extent cx="6826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682625" cy="8255"/>
                    </a:xfrm>
                    <a:prstGeom prst="rect">
                      <a:avLst/>
                    </a:prstGeom>
                    <a:noFill/>
                  </pic:spPr>
                </pic:pic>
              </a:graphicData>
            </a:graphic>
          </wp:anchor>
        </w:drawing>
        <w:drawing>
          <wp:anchor simplePos="0" relativeHeight="251657728" behindDoc="1" locked="0" layoutInCell="0" allowOverlap="1">
            <wp:simplePos x="0" y="0"/>
            <wp:positionH relativeFrom="column">
              <wp:posOffset>4767580</wp:posOffset>
            </wp:positionH>
            <wp:positionV relativeFrom="paragraph">
              <wp:posOffset>-648970</wp:posOffset>
            </wp:positionV>
            <wp:extent cx="6743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TERMINATION &amp; SURVIVAL</w:t>
      </w:r>
    </w:p>
    <w:p>
      <w:pPr>
        <w:spacing w:after="0" w:line="210" w:lineRule="exact"/>
        <w:rPr>
          <w:sz w:val="20"/>
          <w:szCs w:val="20"/>
          <w:color w:val="auto"/>
        </w:rPr>
      </w:pPr>
    </w:p>
    <w:p>
      <w:pPr>
        <w:jc w:val="both"/>
        <w:ind w:firstLine="757"/>
        <w:spacing w:after="0" w:line="253" w:lineRule="auto"/>
        <w:tabs>
          <w:tab w:leader="none" w:pos="1018" w:val="left"/>
        </w:tabs>
        <w:numPr>
          <w:ilvl w:val="0"/>
          <w:numId w:val="8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Subject to the provisions of this Section‎ 7,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w:t>
      </w:r>
    </w:p>
    <w:p>
      <w:pPr>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u w:val="single" w:color="auto"/>
          <w:color w:val="auto"/>
        </w:rPr>
      </w:pPr>
    </w:p>
    <w:p>
      <w:pPr>
        <w:ind w:left="1020" w:hanging="263"/>
        <w:spacing w:after="0"/>
        <w:tabs>
          <w:tab w:leader="none" w:pos="1020" w:val="left"/>
        </w:tabs>
        <w:numPr>
          <w:ilvl w:val="0"/>
          <w:numId w:val="8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 Survival Following Termination</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-614045</wp:posOffset>
            </wp:positionV>
            <wp:extent cx="52260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5" w:name="page126"/>
    <w:bookmarkEnd w:id="125"/>
    <w:p>
      <w:pPr>
        <w:jc w:val="both"/>
        <w:ind w:left="1500" w:hanging="369"/>
        <w:spacing w:after="0" w:line="249" w:lineRule="auto"/>
        <w:tabs>
          <w:tab w:leader="none" w:pos="155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w:t>
      </w:r>
    </w:p>
    <w:p>
      <w:pPr>
        <w:spacing w:after="0" w:line="1"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remain obligated to comply with Section‎ 3(b)(v) with respect to such Shares and (B) Section‎ 2, Section‎ 6,</w:t>
      </w:r>
    </w:p>
    <w:p>
      <w:pPr>
        <w:spacing w:after="0" w:line="1" w:lineRule="exact"/>
        <w:rPr>
          <w:rFonts w:ascii="Times New Roman" w:cs="Times New Roman" w:eastAsia="Times New Roman" w:hAnsi="Times New Roman"/>
          <w:sz w:val="21"/>
          <w:szCs w:val="21"/>
          <w:color w:val="auto"/>
        </w:rPr>
      </w:pPr>
    </w:p>
    <w:p>
      <w:pPr>
        <w:jc w:val="both"/>
        <w:ind w:left="150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7 and Section‎ 8 shall survive termination of this Agreement. If termination shall occur prior to the Settlement Date for any sale of Shares, such sale shall nevertheless settle in accordance with the terms of this Agreement. Except as set forth herein, upon termination of this Agreement, the Company shall not have any liability to the Agent for any discount, commission or other compensation with respect to any Shares not otherwise sold by the Agent under this Agreement.</w:t>
      </w:r>
    </w:p>
    <w:p>
      <w:pPr>
        <w:spacing w:after="0" w:line="179" w:lineRule="exact"/>
        <w:rPr>
          <w:rFonts w:ascii="Times New Roman" w:cs="Times New Roman" w:eastAsia="Times New Roman" w:hAnsi="Times New Roman"/>
          <w:sz w:val="21"/>
          <w:szCs w:val="21"/>
          <w:color w:val="auto"/>
        </w:rPr>
      </w:pPr>
    </w:p>
    <w:p>
      <w:pPr>
        <w:jc w:val="both"/>
        <w:ind w:left="1500" w:hanging="369"/>
        <w:spacing w:after="0" w:line="236" w:lineRule="auto"/>
        <w:tabs>
          <w:tab w:leader="none" w:pos="145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survival provision of Section‎ 7(b)(i),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-1864360</wp:posOffset>
            </wp:positionV>
            <wp:extent cx="8343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-1864360</wp:posOffset>
            </wp:positionV>
            <wp:extent cx="11144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-1710055</wp:posOffset>
            </wp:positionV>
            <wp:extent cx="13633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-801370</wp:posOffset>
            </wp:positionV>
            <wp:extent cx="8121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MISCELLANEOUS</w:t>
      </w:r>
    </w:p>
    <w:p>
      <w:pPr>
        <w:spacing w:after="0" w:line="210" w:lineRule="exact"/>
        <w:rPr>
          <w:sz w:val="20"/>
          <w:szCs w:val="20"/>
          <w:color w:val="auto"/>
        </w:rPr>
      </w:pPr>
    </w:p>
    <w:p>
      <w:pPr>
        <w:jc w:val="both"/>
        <w:ind w:firstLine="757"/>
        <w:spacing w:after="0" w:line="247" w:lineRule="exact"/>
        <w:tabs>
          <w:tab w:leader="none" w:pos="1018" w:val="left"/>
        </w:tabs>
        <w:numPr>
          <w:ilvl w:val="0"/>
          <w:numId w:val="8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Press Releases and Disclosure</w:t>
      </w:r>
      <w:r>
        <w:rPr>
          <w:rFonts w:ascii="Times New Roman" w:cs="Times New Roman" w:eastAsia="Times New Roman" w:hAnsi="Times New Roman"/>
          <w:sz w:val="22"/>
          <w:szCs w:val="22"/>
          <w:color w:val="auto"/>
        </w:rPr>
        <w:t>. The Company may issue a press release describing the material terms of the transactions contemplated hereby as soon as practicable following the date of this Agreement, and may file with the Commission a Current Report on Form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82" w:lineRule="exact"/>
        <w:rPr>
          <w:rFonts w:ascii="Times New Roman" w:cs="Times New Roman" w:eastAsia="Times New Roman" w:hAnsi="Times New Roman"/>
          <w:sz w:val="22"/>
          <w:szCs w:val="22"/>
          <w:u w:val="single" w:color="auto"/>
          <w:color w:val="auto"/>
        </w:rPr>
      </w:pPr>
    </w:p>
    <w:p>
      <w:pPr>
        <w:jc w:val="both"/>
        <w:ind w:firstLine="757"/>
        <w:spacing w:after="0" w:line="238" w:lineRule="auto"/>
        <w:tabs>
          <w:tab w:leader="none" w:pos="1018" w:val="left"/>
        </w:tabs>
        <w:numPr>
          <w:ilvl w:val="0"/>
          <w:numId w:val="8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Advisory or Fiduciary Relationship</w:t>
      </w:r>
      <w:r>
        <w:rPr>
          <w:rFonts w:ascii="Times New Roman" w:cs="Times New Roman" w:eastAsia="Times New Roman" w:hAnsi="Times New Roman"/>
          <w:sz w:val="22"/>
          <w:szCs w:val="22"/>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6" w:name="page127"/>
    <w:bookmarkEnd w:id="126"/>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83" w:lineRule="exact"/>
        <w:rPr>
          <w:sz w:val="20"/>
          <w:szCs w:val="20"/>
          <w:color w:val="auto"/>
        </w:rPr>
      </w:pPr>
    </w:p>
    <w:p>
      <w:pPr>
        <w:jc w:val="both"/>
        <w:ind w:firstLine="757"/>
        <w:spacing w:after="0" w:line="235" w:lineRule="auto"/>
        <w:tabs>
          <w:tab w:leader="none" w:pos="1018" w:val="left"/>
        </w:tabs>
        <w:numPr>
          <w:ilvl w:val="0"/>
          <w:numId w:val="8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Research Analyst Independence</w:t>
      </w:r>
      <w:r>
        <w:rPr>
          <w:rFonts w:ascii="Times New Roman" w:cs="Times New Roman" w:eastAsia="Times New Roman" w:hAnsi="Times New Roman"/>
          <w:sz w:val="22"/>
          <w:szCs w:val="22"/>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8"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8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communications hereunder shall be in writing and shall be mailed, hand delivered, sent via electronic mail (if applicable) or telecopied and confirmed to the parties hereto as follows: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If to the Agent:</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520 Madison Avenue</w:t>
      </w:r>
    </w:p>
    <w:p>
      <w:pPr>
        <w:ind w:left="114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Wilmer Cutler Pickering Hale and Dorr LLP</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7 World Trade Center</w:t>
      </w:r>
    </w:p>
    <w:p>
      <w:pPr>
        <w:ind w:left="1140"/>
        <w:spacing w:after="0" w:line="230" w:lineRule="auto"/>
        <w:rPr>
          <w:sz w:val="20"/>
          <w:szCs w:val="20"/>
          <w:color w:val="auto"/>
        </w:rPr>
      </w:pPr>
      <w:r>
        <w:rPr>
          <w:rFonts w:ascii="Times New Roman" w:cs="Times New Roman" w:eastAsia="Times New Roman" w:hAnsi="Times New Roman"/>
          <w:sz w:val="22"/>
          <w:szCs w:val="22"/>
          <w:color w:val="auto"/>
        </w:rPr>
        <w:t>250 Greenwich Street</w:t>
      </w:r>
    </w:p>
    <w:p>
      <w:pPr>
        <w:ind w:left="1140"/>
        <w:spacing w:after="0" w:line="231" w:lineRule="auto"/>
        <w:rPr>
          <w:sz w:val="20"/>
          <w:szCs w:val="20"/>
          <w:color w:val="auto"/>
        </w:rPr>
      </w:pPr>
      <w:r>
        <w:rPr>
          <w:rFonts w:ascii="Times New Roman" w:cs="Times New Roman" w:eastAsia="Times New Roman" w:hAnsi="Times New Roman"/>
          <w:sz w:val="22"/>
          <w:szCs w:val="22"/>
          <w:color w:val="auto"/>
        </w:rPr>
        <w:t>New York, NY 10007</w:t>
      </w:r>
    </w:p>
    <w:p>
      <w:pPr>
        <w:ind w:left="1140"/>
        <w:spacing w:after="0"/>
        <w:rPr>
          <w:sz w:val="20"/>
          <w:szCs w:val="20"/>
          <w:color w:val="auto"/>
        </w:rPr>
      </w:pPr>
      <w:r>
        <w:rPr>
          <w:rFonts w:ascii="Times New Roman" w:cs="Times New Roman" w:eastAsia="Times New Roman" w:hAnsi="Times New Roman"/>
          <w:sz w:val="22"/>
          <w:szCs w:val="22"/>
          <w:color w:val="auto"/>
        </w:rPr>
        <w:t>Attention: Lisa Firenze.</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Kymera Therapeutics, Inc.,</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500 North Beacon Street, 4th Floor</w:t>
      </w:r>
    </w:p>
    <w:p>
      <w:pPr>
        <w:ind w:left="1140"/>
        <w:spacing w:after="0" w:line="230" w:lineRule="auto"/>
        <w:rPr>
          <w:sz w:val="20"/>
          <w:szCs w:val="20"/>
          <w:color w:val="auto"/>
        </w:rPr>
      </w:pPr>
      <w:r>
        <w:rPr>
          <w:rFonts w:ascii="Times New Roman" w:cs="Times New Roman" w:eastAsia="Times New Roman" w:hAnsi="Times New Roman"/>
          <w:sz w:val="22"/>
          <w:szCs w:val="22"/>
          <w:color w:val="auto"/>
        </w:rPr>
        <w:t>Watertown, Massachusetts 02472</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ind w:left="3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100 Northern Avenue</w:t>
      </w:r>
    </w:p>
    <w:p>
      <w:pPr>
        <w:ind w:left="1140"/>
        <w:spacing w:after="0" w:line="230" w:lineRule="auto"/>
        <w:rPr>
          <w:sz w:val="20"/>
          <w:szCs w:val="20"/>
          <w:color w:val="auto"/>
        </w:rPr>
      </w:pPr>
      <w:r>
        <w:rPr>
          <w:rFonts w:ascii="Times New Roman" w:cs="Times New Roman" w:eastAsia="Times New Roman" w:hAnsi="Times New Roman"/>
          <w:sz w:val="22"/>
          <w:szCs w:val="22"/>
          <w:color w:val="auto"/>
        </w:rPr>
        <w:t>Boston, Massachusetts 02210</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Attention: William Collins.</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Any party hereto may change the address for receipt of communications by giving written notice to the others in accordance with this ‎Section 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-44450</wp:posOffset>
            </wp:positionV>
            <wp:extent cx="6743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38" w:lineRule="exact"/>
        <w:rPr>
          <w:sz w:val="20"/>
          <w:szCs w:val="20"/>
          <w:color w:val="auto"/>
        </w:rPr>
      </w:pPr>
    </w:p>
    <w:p>
      <w:pPr>
        <w:ind w:left="1020" w:hanging="263"/>
        <w:spacing w:after="0"/>
        <w:tabs>
          <w:tab w:leader="none" w:pos="1020" w:val="left"/>
        </w:tabs>
        <w:numPr>
          <w:ilvl w:val="0"/>
          <w:numId w:val="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inure to the benefit of and be binding upon the parties hereto, and to the benefit of</w:t>
      </w:r>
    </w:p>
    <w:p>
      <w:pPr>
        <w:spacing w:after="0" w:line="14" w:lineRule="exact"/>
        <w:rPr>
          <w:rFonts w:ascii="Times New Roman" w:cs="Times New Roman" w:eastAsia="Times New Roman" w:hAnsi="Times New Roman"/>
          <w:sz w:val="22"/>
          <w:szCs w:val="22"/>
          <w:u w:val="single" w:color="auto"/>
          <w:color w:val="auto"/>
        </w:rPr>
      </w:pPr>
    </w:p>
    <w:p>
      <w:pPr>
        <w:jc w:val="both"/>
        <w:spacing w:after="0" w:line="235"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employees, officers and directors and controlling persons referred to in Section‎ 6, and in each case their respective successors, and no other person will have any right or obligation hereunder. The term “successors” shall not include any purchaser of the Shares as such from the Agent merely by reason of such purchase.</w:t>
      </w:r>
    </w:p>
    <w:p>
      <w:pPr>
        <w:spacing w:after="0" w:line="177" w:lineRule="exact"/>
        <w:rPr>
          <w:rFonts w:ascii="Times New Roman" w:cs="Times New Roman" w:eastAsia="Times New Roman" w:hAnsi="Times New Roman"/>
          <w:sz w:val="22"/>
          <w:szCs w:val="22"/>
          <w:u w:val="single" w:color="auto"/>
          <w:color w:val="auto"/>
        </w:rPr>
      </w:pPr>
    </w:p>
    <w:p>
      <w:pPr>
        <w:jc w:val="both"/>
        <w:ind w:firstLine="757"/>
        <w:spacing w:after="0" w:line="255" w:lineRule="auto"/>
        <w:tabs>
          <w:tab w:leader="none" w:pos="1018" w:val="left"/>
        </w:tabs>
        <w:numPr>
          <w:ilvl w:val="0"/>
          <w:numId w:val="8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Partial Unenforceability</w:t>
      </w:r>
      <w:r>
        <w:rPr>
          <w:rFonts w:ascii="Times New Roman" w:cs="Times New Roman" w:eastAsia="Times New Roman" w:hAnsi="Times New Roman"/>
          <w:sz w:val="21"/>
          <w:szCs w:val="21"/>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61" w:lineRule="exact"/>
        <w:rPr>
          <w:rFonts w:ascii="Times New Roman" w:cs="Times New Roman" w:eastAsia="Times New Roman" w:hAnsi="Times New Roman"/>
          <w:sz w:val="21"/>
          <w:szCs w:val="21"/>
          <w:u w:val="single" w:color="auto"/>
          <w:color w:val="auto"/>
        </w:rPr>
      </w:pPr>
    </w:p>
    <w:p>
      <w:pPr>
        <w:jc w:val="both"/>
        <w:ind w:firstLine="757"/>
        <w:spacing w:after="0" w:line="233" w:lineRule="auto"/>
        <w:tabs>
          <w:tab w:leader="none" w:pos="1018" w:val="left"/>
        </w:tabs>
        <w:numPr>
          <w:ilvl w:val="0"/>
          <w:numId w:val="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Governing Law Provisions</w:t>
      </w:r>
      <w:r>
        <w:rPr>
          <w:rFonts w:ascii="Times New Roman" w:cs="Times New Roman" w:eastAsia="Times New Roman" w:hAnsi="Times New Roman"/>
          <w:sz w:val="22"/>
          <w:szCs w:val="22"/>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22"/>
          <w:szCs w:val="22"/>
          <w:b w:val="1"/>
          <w:bCs w:val="1"/>
          <w:color w:val="auto"/>
        </w:rPr>
        <w:t>Related Proceedings</w:t>
      </w:r>
      <w:r>
        <w:rPr>
          <w:rFonts w:ascii="Times New Roman" w:cs="Times New Roman" w:eastAsia="Times New Roman" w:hAnsi="Times New Roman"/>
          <w:sz w:val="22"/>
          <w:szCs w:val="22"/>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22"/>
          <w:szCs w:val="22"/>
          <w:b w:val="1"/>
          <w:bCs w:val="1"/>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Courts</w:t>
      </w:r>
      <w:r>
        <w:rPr>
          <w:rFonts w:ascii="Times New Roman" w:cs="Times New Roman" w:eastAsia="Times New Roman" w:hAnsi="Times New Roman"/>
          <w:sz w:val="22"/>
          <w:szCs w:val="22"/>
          <w:color w:val="auto"/>
        </w:rPr>
        <w:t>”), and each party irrevocably submits to the exclusive jurisdiction (except for proceedings instituted in regard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enforcement of a judgment of any such court (a “</w:t>
      </w:r>
      <w:r>
        <w:rPr>
          <w:rFonts w:ascii="Times New Roman" w:cs="Times New Roman" w:eastAsia="Times New Roman" w:hAnsi="Times New Roman"/>
          <w:sz w:val="22"/>
          <w:szCs w:val="22"/>
          <w:b w:val="1"/>
          <w:bCs w:val="1"/>
          <w:color w:val="auto"/>
        </w:rPr>
        <w:t>Related Judgment</w:t>
      </w:r>
      <w:r>
        <w:rPr>
          <w:rFonts w:ascii="Times New Roman" w:cs="Times New Roman" w:eastAsia="Times New Roman" w:hAnsi="Times New Roman"/>
          <w:sz w:val="22"/>
          <w:szCs w:val="22"/>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4" w:lineRule="exact"/>
        <w:rPr>
          <w:rFonts w:ascii="Times New Roman" w:cs="Times New Roman" w:eastAsia="Times New Roman" w:hAnsi="Times New Roman"/>
          <w:sz w:val="22"/>
          <w:szCs w:val="22"/>
          <w:u w:val="single" w:color="auto"/>
          <w:color w:val="auto"/>
        </w:rPr>
      </w:pPr>
    </w:p>
    <w:p>
      <w:pPr>
        <w:jc w:val="both"/>
        <w:ind w:firstLine="757"/>
        <w:spacing w:after="0" w:line="236" w:lineRule="auto"/>
        <w:tabs>
          <w:tab w:leader="none" w:pos="1018" w:val="left"/>
        </w:tabs>
        <w:numPr>
          <w:ilvl w:val="0"/>
          <w:numId w:val="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4131310</wp:posOffset>
            </wp:positionH>
            <wp:positionV relativeFrom="paragraph">
              <wp:posOffset>-4144645</wp:posOffset>
            </wp:positionV>
            <wp:extent cx="5143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jc w:val="both"/>
        <w:spacing w:after="0" w:line="244" w:lineRule="auto"/>
        <w:rPr>
          <w:sz w:val="20"/>
          <w:szCs w:val="20"/>
          <w:color w:val="auto"/>
        </w:rPr>
      </w:pPr>
      <w:r>
        <w:rPr>
          <w:rFonts w:ascii="Times New Roman" w:cs="Times New Roman" w:eastAsia="Times New Roman" w:hAnsi="Times New Roman"/>
          <w:sz w:val="22"/>
          <w:szCs w:val="22"/>
          <w:color w:val="auto"/>
        </w:rPr>
        <w:t>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Immediately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9" w:name="page130"/>
    <w:bookmarkEnd w:id="129"/>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KYMERA THERAPEUTICS, INC.</w:t>
      </w: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/s/ Nello Mainolfi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68783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 Nello Mainolfi</w:t>
      </w:r>
    </w:p>
    <w:p>
      <w:pPr>
        <w:ind w:left="524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22"/>
          <w:szCs w:val="22"/>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JEFFERIES LLC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41351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Michael Magarro</w:t>
      </w: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ISSUANCE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[__________]</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Reference is made to the Open Market Sale Agreement between Kymera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Jefferies LLC (the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dated as of October 31, 2024. The Company confirms that all conditions to the delivery of this Issuance Notice are satisfied as of the date hereof.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Delivery of Issuance Notice (determined pursuant to ‎Section 3(b)(i)):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-13970</wp:posOffset>
            </wp:positionV>
            <wp:extent cx="8039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Amount (equal to the total Sales Price for such Shares):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-13970</wp:posOffset>
            </wp:positionV>
            <wp:extent cx="10287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-13970</wp:posOffset>
            </wp:positionV>
            <wp:extent cx="10972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-13970</wp:posOffset>
            </wp:positionV>
            <wp:extent cx="10972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-13970</wp:posOffset>
            </wp:positionV>
            <wp:extent cx="10972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Settlement Date(s) if other than standard T+1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276860</wp:posOffset>
            </wp:positionV>
            <wp:extent cx="10972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Floor Price Limitation (in no event less than $1.00 without the prior written consent of the Agent, which consent may be withheld in the Agent’s sole discretion): $ ____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-13970</wp:posOffset>
            </wp:positionV>
            <wp:extent cx="31737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3173730" cy="8255"/>
                    </a:xfrm>
                    <a:prstGeom prst="rect">
                      <a:avLst/>
                    </a:prstGeom>
                    <a:noFill/>
                  </pic:spPr>
                </pic:pic>
              </a:graphicData>
            </a:graphic>
          </wp:anchor>
        </w:drawing>
      </w:r>
    </w:p>
    <w:p>
      <w:pPr>
        <w:spacing w:after="0" w:line="1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6878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ind w:left="5680"/>
        <w:spacing w:after="0"/>
        <w:rPr>
          <w:sz w:val="20"/>
          <w:szCs w:val="20"/>
          <w:color w:val="auto"/>
        </w:rPr>
      </w:pPr>
      <w:r>
        <w:rPr>
          <w:rFonts w:ascii="Times New Roman" w:cs="Times New Roman" w:eastAsia="Times New Roman" w:hAnsi="Times New Roman"/>
          <w:sz w:val="22"/>
          <w:szCs w:val="22"/>
          <w:color w:val="auto"/>
        </w:rPr>
        <w:t>Name:</w:t>
      </w:r>
    </w:p>
    <w:p>
      <w:pPr>
        <w:ind w:left="5680"/>
        <w:spacing w:after="0"/>
        <w:rPr>
          <w:sz w:val="20"/>
          <w:szCs w:val="20"/>
          <w:color w:val="auto"/>
        </w:rPr>
      </w:pPr>
      <w:r>
        <w:rPr>
          <w:rFonts w:ascii="Times New Roman" w:cs="Times New Roman" w:eastAsia="Times New Roman" w:hAnsi="Times New Roman"/>
          <w:sz w:val="22"/>
          <w:szCs w:val="22"/>
          <w:color w:val="auto"/>
        </w:rPr>
        <w:t>Title: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tcPr>
          <w:p>
            <w:pPr>
              <w:jc w:val="center"/>
              <w:ind w:left="3352"/>
              <w:spacing w:after="0"/>
              <w:rPr>
                <w:sz w:val="20"/>
                <w:szCs w:val="20"/>
                <w:color w:val="auto"/>
              </w:rPr>
            </w:pPr>
            <w:r>
              <w:rPr>
                <w:rFonts w:ascii="Times New Roman" w:cs="Times New Roman" w:eastAsia="Times New Roman" w:hAnsi="Times New Roman"/>
                <w:sz w:val="22"/>
                <w:szCs w:val="22"/>
                <w:b w:val="1"/>
                <w:bCs w:val="1"/>
                <w:color w:val="auto"/>
                <w:w w:val="98"/>
              </w:rPr>
              <w:t>Schedule A</w:t>
            </w:r>
          </w:p>
        </w:tc>
      </w:tr>
      <w:tr>
        <w:trPr>
          <w:trHeight w:val="486"/>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tcPr>
          <w:p>
            <w:pPr>
              <w:jc w:val="center"/>
              <w:ind w:left="3352"/>
              <w:spacing w:after="0"/>
              <w:rPr>
                <w:sz w:val="20"/>
                <w:szCs w:val="20"/>
                <w:color w:val="auto"/>
              </w:rPr>
            </w:pPr>
            <w:r>
              <w:rPr>
                <w:rFonts w:ascii="Times New Roman" w:cs="Times New Roman" w:eastAsia="Times New Roman" w:hAnsi="Times New Roman"/>
                <w:sz w:val="22"/>
                <w:szCs w:val="22"/>
                <w:b w:val="1"/>
                <w:bCs w:val="1"/>
                <w:color w:val="auto"/>
                <w:w w:val="97"/>
              </w:rPr>
              <w:t>Notice Parties</w:t>
            </w:r>
          </w:p>
        </w:tc>
      </w:tr>
      <w:tr>
        <w:trPr>
          <w:trHeight w:val="4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The Company</w:t>
            </w:r>
          </w:p>
        </w:tc>
        <w:tc>
          <w:tcPr>
            <w:tcW w:w="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76"/>
        </w:trPr>
        <w:tc>
          <w:tcPr>
            <w:tcW w:w="1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Nello Mainolfi</w:t>
            </w:r>
          </w:p>
        </w:tc>
        <w:tc>
          <w:tcPr>
            <w:tcW w:w="47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 President, Chief Executive Officer and Director</w:t>
            </w:r>
          </w:p>
        </w:tc>
      </w:tr>
    </w:tbl>
    <w:p>
      <w:pPr>
        <w:spacing w:after="0"/>
        <w:rPr>
          <w:sz w:val="20"/>
          <w:szCs w:val="20"/>
          <w:color w:val="auto"/>
        </w:rPr>
      </w:pPr>
      <w:r>
        <w:rPr>
          <w:rFonts w:ascii="Times New Roman" w:cs="Times New Roman" w:eastAsia="Times New Roman" w:hAnsi="Times New Roman"/>
          <w:sz w:val="22"/>
          <w:szCs w:val="22"/>
          <w:color w:val="auto"/>
        </w:rPr>
        <w:t>Bruce Jacobs, 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C. Lynaugh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Magarro</w:t>
      </w:r>
    </w:p>
    <w:p>
      <w:pPr>
        <w:spacing w:after="0"/>
        <w:rPr>
          <w:sz w:val="20"/>
          <w:szCs w:val="20"/>
          <w:color w:val="auto"/>
        </w:rPr>
      </w:pPr>
      <w:r>
        <w:rPr>
          <w:rFonts w:ascii="Times New Roman" w:cs="Times New Roman" w:eastAsia="Times New Roman" w:hAnsi="Times New Roman"/>
          <w:sz w:val="22"/>
          <w:szCs w:val="22"/>
          <w:color w:val="auto"/>
        </w:rPr>
        <w:t>Jack 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72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56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CFO,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Bruce Jacobs, CFO, MBA</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580" w:val="left"/>
          <w:tab w:leader="none" w:pos="766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580" w:val="left"/>
          <w:tab w:leader="none" w:pos="750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Bruce Jacobs, CFA, MBA</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6" w:name="page137"/>
    <w:bookmarkEnd w:id="1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lvl w:ilvl="1">
      <w:lvlJc w:val="left"/>
      <w:lvlText w:val="%2"/>
      <w:numFmt w:val="decimal"/>
      <w:start w:val="104"/>
    </w:lvl>
  </w:abstractNum>
  <w:abstractNum w:abstractNumId="43">
    <w:nsid w:val="5DB70AE5"/>
    <w:multiLevelType w:val="hybridMultilevel"/>
    <w:lvl w:ilvl="0">
      <w:lvlJc w:val="left"/>
      <w:lvlText w:val="(%1)"/>
      <w:numFmt w:val="lowerLetter"/>
      <w:start w:val="1"/>
    </w:lvl>
  </w:abstractNum>
  <w:abstractNum w:abstractNumId="44">
    <w:nsid w:val="100F8FCA"/>
    <w:multiLevelType w:val="hybridMultilevel"/>
    <w:lvl w:ilvl="0">
      <w:lvlJc w:val="left"/>
      <w:lvlText w:val="(%1)"/>
      <w:numFmt w:val="lowerLetter"/>
      <w:start w:val="1"/>
    </w:lvl>
  </w:abstractNum>
  <w:abstractNum w:abstractNumId="45">
    <w:nsid w:val="6590700B"/>
    <w:multiLevelType w:val="hybridMultilevel"/>
    <w:lvl w:ilvl="0">
      <w:lvlJc w:val="left"/>
      <w:lvlText w:val="(%1)"/>
      <w:numFmt w:val="lowerLetter"/>
      <w:start w:val="5"/>
    </w:lvl>
    <w:lvl w:ilvl="1">
      <w:lvlJc w:val="left"/>
      <w:lvlText w:val="(%2)"/>
      <w:numFmt w:val="lowerRoman"/>
      <w:start w:val="1"/>
    </w:lvl>
  </w:abstractNum>
  <w:abstractNum w:abstractNumId="46">
    <w:nsid w:val="15014ACB"/>
    <w:multiLevelType w:val="hybridMultilevel"/>
    <w:lvl w:ilvl="0">
      <w:lvlJc w:val="left"/>
      <w:lvlText w:val="(%1)"/>
      <w:numFmt w:val="lowerLetter"/>
      <w:start w:val="1"/>
    </w:lvl>
  </w:abstractNum>
  <w:abstractNum w:abstractNumId="47">
    <w:nsid w:val="5F5E7FD0"/>
    <w:multiLevelType w:val="hybridMultilevel"/>
    <w:lvl w:ilvl="0">
      <w:lvlJc w:val="left"/>
      <w:lvlText w:val="(%1)"/>
      <w:numFmt w:val="lowerLetter"/>
      <w:start w:val="39"/>
    </w:lvl>
  </w:abstractNum>
  <w:abstractNum w:abstractNumId="48">
    <w:nsid w:val="98A3148"/>
    <w:multiLevelType w:val="hybridMultilevel"/>
    <w:lvl w:ilvl="0">
      <w:lvlJc w:val="left"/>
      <w:lvlText w:val="(%1)"/>
      <w:numFmt w:val="lowerRoman"/>
      <w:start w:val="1"/>
    </w:lvl>
  </w:abstractNum>
  <w:abstractNum w:abstractNumId="49">
    <w:nsid w:val="799D0247"/>
    <w:multiLevelType w:val="hybridMultilevel"/>
    <w:lvl w:ilvl="0">
      <w:lvlJc w:val="left"/>
      <w:lvlText w:val="(%1)"/>
      <w:numFmt w:val="lowerLetter"/>
      <w:start w:val="1"/>
    </w:lvl>
  </w:abstractNum>
  <w:abstractNum w:abstractNumId="50">
    <w:nsid w:val="6B94764"/>
    <w:multiLevelType w:val="hybridMultilevel"/>
    <w:lvl w:ilvl="0">
      <w:lvlJc w:val="left"/>
      <w:lvlText w:val="(%1)"/>
      <w:numFmt w:val="lowerRoman"/>
      <w:start w:val="10"/>
    </w:lvl>
  </w:abstractNum>
  <w:abstractNum w:abstractNumId="51">
    <w:nsid w:val="42C296BD"/>
    <w:multiLevelType w:val="hybridMultilevel"/>
    <w:lvl w:ilvl="0">
      <w:lvlJc w:val="left"/>
      <w:lvlText w:val="(%1)"/>
      <w:numFmt w:val="lowerLetter"/>
      <w:start w:val="1"/>
    </w:lvl>
  </w:abstractNum>
  <w:abstractNum w:abstractNumId="52">
    <w:nsid w:val="168E121F"/>
    <w:multiLevelType w:val="hybridMultilevel"/>
    <w:lvl w:ilvl="0">
      <w:lvlJc w:val="left"/>
      <w:lvlText w:val="(%1)"/>
      <w:numFmt w:val="lowerLetter"/>
      <w:start w:val="2"/>
    </w:lvl>
  </w:abstractNum>
  <w:abstractNum w:abstractNumId="53">
    <w:nsid w:val="1EBA5D23"/>
    <w:multiLevelType w:val="hybridMultilevel"/>
    <w:lvl w:ilvl="0">
      <w:lvlJc w:val="left"/>
      <w:lvlText w:val="(%1)"/>
      <w:numFmt w:val="lowerLetter"/>
      <w:start w:val="3"/>
    </w:lvl>
  </w:abstractNum>
  <w:abstractNum w:abstractNumId="54">
    <w:nsid w:val="661E3F1E"/>
    <w:multiLevelType w:val="hybridMultilevel"/>
    <w:lvl w:ilvl="0">
      <w:lvlJc w:val="left"/>
      <w:lvlText w:val="(%1)"/>
      <w:numFmt w:val="lowerLetter"/>
      <w:start w:val="6"/>
    </w:lvl>
  </w:abstractNum>
  <w:abstractNum w:abstractNumId="55">
    <w:nsid w:val="5DC79EA8"/>
    <w:multiLevelType w:val="hybridMultilevel"/>
    <w:lvl w:ilvl="0">
      <w:lvlJc w:val="left"/>
      <w:lvlText w:val="(%1)"/>
      <w:numFmt w:val="lowerLetter"/>
      <w:start w:val="12"/>
    </w:lvl>
  </w:abstractNum>
  <w:abstractNum w:abstractNumId="56">
    <w:nsid w:val="540A471C"/>
    <w:multiLevelType w:val="hybridMultilevel"/>
    <w:lvl w:ilvl="0">
      <w:lvlJc w:val="left"/>
      <w:lvlText w:val="(%1)"/>
      <w:numFmt w:val="lowerLetter"/>
      <w:start w:val="14"/>
    </w:lvl>
  </w:abstractNum>
  <w:abstractNum w:abstractNumId="57">
    <w:nsid w:val="7BD3EE7B"/>
    <w:multiLevelType w:val="hybridMultilevel"/>
    <w:lvl w:ilvl="0">
      <w:lvlJc w:val="left"/>
      <w:lvlText w:val="(%1)"/>
      <w:numFmt w:val="lowerLetter"/>
      <w:start w:val="16"/>
    </w:lvl>
  </w:abstractNum>
  <w:abstractNum w:abstractNumId="58">
    <w:nsid w:val="51D9C564"/>
    <w:multiLevelType w:val="hybridMultilevel"/>
    <w:lvl w:ilvl="0">
      <w:lvlJc w:val="left"/>
      <w:lvlText w:val="%1"/>
      <w:numFmt w:val="lowerRoman"/>
      <w:start w:val="1"/>
    </w:lvl>
    <w:lvl w:ilvl="1">
      <w:lvlJc w:val="left"/>
      <w:lvlText w:val="(%2)"/>
      <w:numFmt w:val="lowerLetter"/>
      <w:start w:val="20"/>
    </w:lvl>
  </w:abstractNum>
  <w:abstractNum w:abstractNumId="59">
    <w:nsid w:val="613EFDC5"/>
    <w:multiLevelType w:val="hybridMultilevel"/>
    <w:lvl w:ilvl="0">
      <w:lvlJc w:val="left"/>
      <w:lvlText w:val="(%1)"/>
      <w:numFmt w:val="lowerRoman"/>
      <w:start w:val="6"/>
    </w:lvl>
    <w:lvl w:ilvl="1">
      <w:lvlJc w:val="left"/>
      <w:lvlText w:val="(%2)"/>
      <w:numFmt w:val="lowerLetter"/>
      <w:start w:val="21"/>
    </w:lvl>
  </w:abstractNum>
  <w:abstractNum w:abstractNumId="60">
    <w:nsid w:val="BF72B14"/>
    <w:multiLevelType w:val="hybridMultilevel"/>
    <w:lvl w:ilvl="0">
      <w:lvlJc w:val="left"/>
      <w:lvlText w:val="(%1)"/>
      <w:numFmt w:val="lowerLetter"/>
      <w:start w:val="24"/>
    </w:lvl>
  </w:abstractNum>
  <w:abstractNum w:abstractNumId="61">
    <w:nsid w:val="11447B73"/>
    <w:multiLevelType w:val="hybridMultilevel"/>
    <w:lvl w:ilvl="0">
      <w:lvlJc w:val="left"/>
      <w:lvlText w:val="%1."/>
      <w:numFmt w:val="lowerRoman"/>
      <w:start w:val="1"/>
    </w:lvl>
    <w:lvl w:ilvl="1">
      <w:lvlJc w:val="left"/>
      <w:lvlText w:val="%2."/>
      <w:numFmt w:val="decimal"/>
      <w:start w:val="1"/>
    </w:lvl>
  </w:abstractNum>
  <w:abstractNum w:abstractNumId="62">
    <w:nsid w:val="42963E5A"/>
    <w:multiLevelType w:val="hybridMultilevel"/>
    <w:lvl w:ilvl="0">
      <w:lvlJc w:val="left"/>
      <w:lvlText w:val="%1."/>
      <w:numFmt w:val="lowerRoman"/>
      <w:start w:val="2"/>
    </w:lvl>
    <w:lvl w:ilvl="1">
      <w:lvlJc w:val="left"/>
      <w:lvlText w:val="%2."/>
      <w:numFmt w:val="decimal"/>
      <w:start w:val="1"/>
    </w:lvl>
  </w:abstractNum>
  <w:abstractNum w:abstractNumId="63">
    <w:nsid w:val="A0382C5"/>
    <w:multiLevelType w:val="hybridMultilevel"/>
    <w:lvl w:ilvl="0">
      <w:lvlJc w:val="left"/>
      <w:lvlText w:val="%1."/>
      <w:numFmt w:val="lowerRoman"/>
      <w:start w:val="1"/>
    </w:lvl>
  </w:abstractNum>
  <w:abstractNum w:abstractNumId="64">
    <w:nsid w:val="8F2B15E"/>
    <w:multiLevelType w:val="hybridMultilevel"/>
    <w:lvl w:ilvl="0">
      <w:lvlJc w:val="left"/>
      <w:lvlText w:val="(%1)"/>
      <w:numFmt w:val="lowerLetter"/>
      <w:start w:val="1"/>
    </w:lvl>
  </w:abstractNum>
  <w:abstractNum w:abstractNumId="65">
    <w:nsid w:val="1A32234B"/>
    <w:multiLevelType w:val="hybridMultilevel"/>
    <w:lvl w:ilvl="0">
      <w:lvlJc w:val="left"/>
      <w:lvlText w:val="%1"/>
      <w:numFmt w:val="lowerRoman"/>
      <w:start w:val="1"/>
    </w:lvl>
    <w:lvl w:ilvl="1">
      <w:lvlJc w:val="left"/>
      <w:lvlText w:val="(%2)"/>
      <w:numFmt w:val="lowerLetter"/>
      <w:start w:val="2"/>
    </w:lvl>
  </w:abstractNum>
  <w:abstractNum w:abstractNumId="66">
    <w:nsid w:val="3B0FD379"/>
    <w:multiLevelType w:val="hybridMultilevel"/>
    <w:lvl w:ilvl="0">
      <w:lvlJc w:val="left"/>
      <w:lvlText w:val="(%1)"/>
      <w:numFmt w:val="lowerRoman"/>
      <w:start w:val="1"/>
    </w:lvl>
    <w:lvl w:ilvl="1">
      <w:lvlJc w:val="left"/>
      <w:lvlText w:val="%2"/>
      <w:numFmt w:val="lowerLetter"/>
      <w:start w:val="1"/>
    </w:lvl>
  </w:abstractNum>
  <w:abstractNum w:abstractNumId="67">
    <w:nsid w:val="68EB2F63"/>
    <w:multiLevelType w:val="hybridMultilevel"/>
    <w:lvl w:ilvl="0">
      <w:lvlJc w:val="left"/>
      <w:lvlText w:val="(%1)"/>
      <w:numFmt w:val="lowerRoman"/>
      <w:start w:val="6"/>
    </w:lvl>
    <w:lvl w:ilvl="1">
      <w:lvlJc w:val="left"/>
      <w:lvlText w:val="(%2)"/>
      <w:numFmt w:val="lowerRoman"/>
      <w:start w:val="8"/>
    </w:lvl>
  </w:abstractNum>
  <w:abstractNum w:abstractNumId="68">
    <w:nsid w:val="4962813B"/>
    <w:multiLevelType w:val="hybridMultilevel"/>
    <w:lvl w:ilvl="0">
      <w:lvlJc w:val="left"/>
      <w:lvlText w:val="(%1)"/>
      <w:numFmt w:val="lowerLetter"/>
      <w:start w:val="3"/>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3"/>
    </w:lvl>
  </w:abstractNum>
  <w:abstractNum w:abstractNumId="71">
    <w:nsid w:val="14330624"/>
    <w:multiLevelType w:val="hybridMultilevel"/>
    <w:lvl w:ilvl="0">
      <w:lvlJc w:val="left"/>
      <w:lvlText w:val="(%1)"/>
      <w:numFmt w:val="lowerLetter"/>
      <w:start w:val="5"/>
    </w:lvl>
  </w:abstractNum>
  <w:abstractNum w:abstractNumId="72">
    <w:nsid w:val="7FFFCA11"/>
    <w:multiLevelType w:val="hybridMultilevel"/>
    <w:lvl w:ilvl="0">
      <w:lvlJc w:val="left"/>
      <w:lvlText w:val="(%1)"/>
      <w:numFmt w:val="lowerLetter"/>
      <w:start w:val="9"/>
    </w:lvl>
  </w:abstractNum>
  <w:abstractNum w:abstractNumId="73">
    <w:nsid w:val="1A27709E"/>
    <w:multiLevelType w:val="hybridMultilevel"/>
    <w:lvl w:ilvl="0">
      <w:lvlJc w:val="left"/>
      <w:lvlText w:val="(%1)"/>
      <w:numFmt w:val="lowerLetter"/>
      <w:start w:val="12"/>
    </w:lvl>
  </w:abstractNum>
  <w:abstractNum w:abstractNumId="74">
    <w:nsid w:val="71EA1109"/>
    <w:multiLevelType w:val="hybridMultilevel"/>
    <w:lvl w:ilvl="0">
      <w:lvlJc w:val="left"/>
      <w:lvlText w:val="(%1)"/>
      <w:numFmt w:val="lowerLetter"/>
      <w:start w:val="14"/>
    </w:lvl>
    <w:lvl w:ilvl="1">
      <w:lvlJc w:val="left"/>
      <w:lvlText w:val="(%2)"/>
      <w:numFmt w:val="upperLetter"/>
      <w:start w:val="1"/>
    </w:lvl>
  </w:abstractNum>
  <w:abstractNum w:abstractNumId="75">
    <w:nsid w:val="100F59DC"/>
    <w:multiLevelType w:val="hybridMultilevel"/>
    <w:lvl w:ilvl="0">
      <w:lvlJc w:val="left"/>
      <w:lvlText w:val="(%1)"/>
      <w:numFmt w:val="lowerLetter"/>
      <w:start w:val="16"/>
    </w:lvl>
  </w:abstractNum>
  <w:abstractNum w:abstractNumId="76">
    <w:nsid w:val="7FB7E0AA"/>
    <w:multiLevelType w:val="hybridMultilevel"/>
    <w:lvl w:ilvl="0">
      <w:lvlJc w:val="left"/>
      <w:lvlText w:val="(%1)"/>
      <w:numFmt w:val="lowerLetter"/>
      <w:start w:val="18"/>
    </w:lvl>
    <w:lvl w:ilvl="1">
      <w:lvlJc w:val="left"/>
      <w:lvlText w:val="(%2)"/>
      <w:numFmt w:val="lowerLetter"/>
      <w:start w:val="18"/>
    </w:lvl>
  </w:abstractNum>
  <w:abstractNum w:abstractNumId="77">
    <w:nsid w:val="6EB5BD4"/>
    <w:multiLevelType w:val="hybridMultilevel"/>
    <w:lvl w:ilvl="0">
      <w:lvlJc w:val="left"/>
      <w:lvlText w:val="(%1)"/>
      <w:numFmt w:val="lowerLetter"/>
      <w:start w:val="1"/>
    </w:lvl>
    <w:lvl w:ilvl="1">
      <w:lvlJc w:val="left"/>
      <w:lvlText w:val="(%2)"/>
      <w:numFmt w:val="lowerRoman"/>
      <w:start w:val="1"/>
    </w:lvl>
  </w:abstractNum>
  <w:abstractNum w:abstractNumId="78">
    <w:nsid w:val="6F6DD9AC"/>
    <w:multiLevelType w:val="hybridMultilevel"/>
    <w:lvl w:ilvl="0">
      <w:lvlJc w:val="left"/>
      <w:lvlText w:val="%1"/>
      <w:numFmt w:val="lowerLetter"/>
      <w:start w:val="1"/>
    </w:lvl>
    <w:lvl w:ilvl="1">
      <w:lvlJc w:val="left"/>
      <w:lvlText w:val="(%2)"/>
      <w:numFmt w:val="lowerRoman"/>
      <w:start w:val="4"/>
    </w:lvl>
  </w:abstractNum>
  <w:abstractNum w:abstractNumId="79">
    <w:nsid w:val="94211F2"/>
    <w:multiLevelType w:val="hybridMultilevel"/>
    <w:lvl w:ilvl="0">
      <w:lvlJc w:val="left"/>
      <w:lvlText w:val="(%1)"/>
      <w:numFmt w:val="lowerLetter"/>
      <w:start w:val="2"/>
    </w:lvl>
    <w:lvl w:ilvl="1">
      <w:lvlJc w:val="left"/>
      <w:lvlText w:val="%2"/>
      <w:numFmt w:val="lowerRoman"/>
      <w:start w:val="1"/>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Letter"/>
      <w:start w:val="3"/>
    </w:lvl>
  </w:abstractNum>
  <w:abstractNum w:abstractNumId="82">
    <w:nsid w:val="4C04A8AF"/>
    <w:multiLevelType w:val="hybridMultilevel"/>
    <w:lvl w:ilvl="0">
      <w:lvlJc w:val="left"/>
      <w:lvlText w:val="(%1)"/>
      <w:numFmt w:val="lowerLetter"/>
      <w:start w:val="4"/>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lowerRoman"/>
      <w:start w:val="1"/>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lowerLetter"/>
      <w:start w:val="3"/>
    </w:lvl>
  </w:abstractNum>
  <w:abstractNum w:abstractNumId="87">
    <w:nsid w:val="68EBC550"/>
    <w:multiLevelType w:val="hybridMultilevel"/>
    <w:lvl w:ilvl="0">
      <w:lvlJc w:val="left"/>
      <w:lvlText w:val="(%1)"/>
      <w:numFmt w:val="lowerLetter"/>
      <w:start w:val="5"/>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302" Type="http://schemas.openxmlformats.org/officeDocument/2006/relationships/hyperlink" Target="https://www.sec.gov/Archives/edgar/data/1815442/000119312524203755/d84684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2024-10-31T06:55:14Z</dcterms:created>
  <dcterms:modified xsi:type="dcterms:W3CDTF">2024-10-31T06:55:14Z</dcterms:modified>
</cp:coreProperties>
</file>