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80" w:hanging="3899"/>
        <w:spacing w:after="0" w:line="303" w:lineRule="auto"/>
        <w:tabs>
          <w:tab w:leader="none" w:pos="35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38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073"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Watertown, Massachusetts</w:t>
      </w:r>
    </w:p>
    <w:p>
      <w:pPr>
        <w:spacing w:after="0" w:line="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2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1" w:lineRule="exact"/>
        <w:rPr>
          <w:sz w:val="24"/>
          <w:szCs w:val="24"/>
          <w:color w:val="auto"/>
        </w:rPr>
      </w:pPr>
    </w:p>
    <w:p>
      <w:pPr>
        <w:sectPr>
          <w:pgSz w:w="11900" w:h="16838" w:orient="portrait"/>
          <w:cols w:equalWidth="0" w:num="2">
            <w:col w:w="7640" w:space="220"/>
            <w:col w:w="3380"/>
          </w:cols>
          <w:pgMar w:left="320" w:top="10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203"/>
        </w:trPr>
        <w:tc>
          <w:tcPr>
            <w:tcW w:w="4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7"/>
                <w:szCs w:val="17"/>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02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25"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60"/>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$0.0001 par value per share, held by non-affiliates of the registrant, based on the last sale price of the Common Stock at the close of business on June 30, 2025, the last business day of the registrant’s most recently completed second fiscal quarter, was $2,294.8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20, 2026 was 81,642,394.</w:t>
      </w:r>
    </w:p>
    <w:p>
      <w:pPr>
        <w:spacing w:after="0" w:line="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3"/>
          <w:szCs w:val="13"/>
          <w:color w:val="auto"/>
        </w:rPr>
        <w:t>Portions of the registrant’s Proxy Statement for its 2026 Annual Meeting of Stockholders, which the registrant intends to file with the Securities and Exchange Commission not later than 120 days after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Prevents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132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product candidates, whether conducted by us or our collaborators,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27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express or implied statements about:</w:t>
      </w:r>
    </w:p>
    <w:p>
      <w:pPr>
        <w:spacing w:after="0" w:line="79"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under our collaborations for IRAK4 and CDK2 programs and clinical studies for our STAT6 and IRF5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(INDs)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oral medicines that address significant health problems and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unique potential to address diseases that are poorly served by current treatment options. To date, we have progressed multiple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discovery and development efforts are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moderate to severe inflammatory diseases, are currently treated with systemic advanced therapies, mostly injectable biologics. While generally efficacious, biologics have drawbacks. Biologics tend to be more expensive to manufacture, and the cost burden ultimately falls on patients and payors. Patient access to therapy can also be a challenge, as biologics can be more complex to prescribe and reimburse than small molecule medicines. Additionally, biologics are administered as injections - which may result in injection site reactions or pain - a less preferred route of administration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a daily, oral pill.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and recently initiated the BROADEN2 Phase 2b clinical trial in adult and adolescent patients with moderate to severe Atopic Dermatitis (AD) and the BREADTH Phase 2b clinical trial in adult patients with moderate to severe asthma. We are also developing KT-579 as part of our oral IRF5 degrader program, and we recently initiated a Phase 1 clinical trial in healthy volunteers. We are collaborating with Sanofi S.A. (“Sanofi”) on the development of our IRAK4 degrader, KT-485/SAR447971, which Sanofi plans to advance into clinical testing in 2026. In June 2025, we announced a strategic collaboration with Gilead Sciences, Inc. (“Gilead”) to develop novel oral molecular glue degraders for CDK2. Our additional early undisclosed pipeline programs focus on addressing high impact targets that have been elusive to conventional modalities and that drive the pathogenesis of multiple serious diseases with significant unmet medical needs.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therapies leveraging small-molecule modalities in addition to TPD.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intend to achieve our mission to discover and develop novel and transformative medicines that improve the lives of patients with serious diseases by pursuing several key strategic objectives:</w:t>
      </w:r>
    </w:p>
    <w:p>
      <w:pPr>
        <w:spacing w:after="0" w:line="54"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advance our existing clinical and preclinical programs through critical inflection points that we believe will de-risk our molecules and approach.</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by our drug development principles, we intend to expand our therapeutic pipeline by continuing to identify high-value targets that have disruptive therapeutic potential and that are well-suited for our approaches.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our capabilities to identify novel molecules that address elusive targets and optimize them to highly specific drug candidates in a disease agonistic manner.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broad patent estate and expect to expand and protect our proprietary know-how and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build our organizational capabilities to advance our goal of becoming a fully integrated biopharmaceutical company, including expertise in key therapeutic areas, development and eventually commercial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consider synergistic collaboration opportunities that further our goal of delivering transformative therapies to the broadest patient populations.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 Approach and Capabilities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approach to target selection and our proprietary drug discovery capabilities enable us to rationally design innovative medicines that ultimately have the potential to address disease-causing proteins of all classes.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place significant emphasis on target selection, which is focused on potentially first-in-class or best-in-class opportunities. We are focused on deploying our technology against diseases in areas of significant patient need that are not yet meaningfully addressed by traditional medicines, and where we believe TPD is the only or best way to elucidate the desired biology or clinical outcome. This approach includes addressing undrugged proteins in nodes of pathways with clinical validation and supported by strong human genetics, many of which are difficult-to-drug transcription factors or scaffolding proteins.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After identifying a protein of interest, we use our toolbox of integrated capabilities to help accelerate the discovery and development of small molecule medicines, enabling us to study molecular structures and gain a better understanding of the biological mechanisms of proteins. Critical components of our capabilities include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hit identification strategy using high-content as well as fit-for-purpose technologies such as DNA encoded libraries and fragment-based as well as X-ray-based screenings;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and artificial intelligence in virtual screening, hit validation and optimization technologies;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optimization expertise that includes proprietary properties-based chemistry optimization, X-ray crystallography, cryogenic electron microscopy, and pharmacokinetic/pharmacodynamic-centric enabled lead optimization;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global quantitative proteomics techniques;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Translational biology focused on patient disease samples.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TPD approach is rooted in a deep understanding of the relationship between E3 ubiquitin ligases and target proteins, which allows us to identify the properties that make a target both ligandable and degradable and to determine how multiple factors impact potency, selectivity, pharmacokinetics (PK) and pharmacodynamics (PD). We have built extensive capabilities and knowledge that contribute to the development of our preclinical and clinical pipeline. We have generated predictive models that reflect our deep knowledge and understanding of the interplay between targets and drug properties, driving optimization of drug disposition and in vitro and in vivo PK/PD relationships of our compounds across different tissue and cell types.</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Due to its unique advantages, TPD is capable of targeting proteins traditionally undrugged by small molecules. Specifically, TPD can target proteins without a catalytic function such as scaffolding proteins and transcription factors, with small molecule-like drug properties that can potentially be dosed orally and distributed systemically, unlike other modalities.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catalytic nature of the degradation process, we believe the TPD modality has the potential to be therapeutically effective with smaller amounts of drug substance and less frequent dosing than traditional therapeutics. TPD molecules have been shown to be amenable to existing small molecule manufacturing principles which can be less costly than other therapeutic modalities.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disclosed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85725</wp:posOffset>
            </wp:positionV>
            <wp:extent cx="4808855" cy="2459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885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Disclosed Immunology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STAT6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developing oral medicines that target STAT6, an essential transcription factor specific to the IL-4/IL-13 signaling pathway and the central driver of Type 2 inflammation in allergic and atopic diseases. STAT6 is a genetically validated target, and the IL-4/13 pathway has been clinically validated by approved biologics, including dupilumab, an injectable monoclonal antibody designed to treat Type 2 diseases.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Pathway and Target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STAT6 is the essential and specific transcription factor required for IL-4 and IL-13 cytokine-signaling and a central driver of Type 2-driven inflammation in atopic and allergic diseases. The pathogenic role of STAT6 is supported by human genetics showing that gain of function mutations of STAT6 cause severe early onset allergic diseases in humans. Additionally, STAT6 knockout in mice is protective in multiple allergic disease models, and those mice develop normally and are viable and fertile. Published research also has demonstrated that a partial loss-of-function variant in STAT6, found in a study of individuals in Iceland, resulted in dampened IL-4 signaling and protection from Type 2-driven asthma.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Opportunities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that more than 140 million people in the US, Europe and Japan suffer from diseases predominately driven by Type 2 inflammation, about 48 million of which can be characterized as moderate to severe. There are existing therapeutics that have validated key pathways across many of these diseases, including atopic dermatitis (AD), asthma, chronic obstructive pulmonary disease (COPD), chronic rhinosinusitis with nasal polyps(CRSwNP), chronic spontaneous urticaria (CSU), eosinophilic esophagitis (EoE), prurigo nodularis (PN), bullous pemphigoid (BP) and others. Many of the existing treatments include injectable biologics, some of which have demonstrated strong efficacy, but which can be inconvenient for patients, difficult to reimburse and are costly to manufacture. Small molecule inhibitors have also been developed to treat certain Type 2-mediated diseases, but often insufficiently block these signaling pathways, limiting their efficacy, and in certain cases may carry various safety risks. Based on its preclinical profile, we believe KT-621 has the potential to provide comparable clinical activity to biologics with the convenience of oral dosing and, as a result, the potential to access a broader patient population.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KT-621 has potential utility in many dermatology, gastroenterology, and respiratory indications including, but not limited to, AD, asthma, COPD, EoE, cCRSwNP, CSU, PN, and BP, among others. We expect to focus our development strategy in these areas, which have been validated with existing treatments, such as dupilumab, that act to inhibit Type 2 cell differentiation. We are currently evaluating KT-621 in AD and asthma.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Atopic dermatitis (AD) is a chronic, pruritic inflammatory skin disease that occurs most frequently in children but also affects adults. In the major global markets, the diagnosed prevalence of AD is estimated at 43 million patients, with approximately 60% falling into the moderate-to-severe category. AD follows a chronic relapsing course over months to years, with dry skin and severe pruritus as the primary symptoms, sometimes accompanied by skin thickening from chronic scratching and fissuring. AD is treated symptomatically with topical therapies, including emollients, corticosteroids, and phosphodiesterase inhibitors. The leading FDA-approved systemic treatment is the IL-4Ra targeting antibody dupilumab, which is considered a safe and effective treatment for AD. Nonetheless, penetration of existing therapies, including dupilumab, remains low, leaving a significant percentage of patients who are currently underserved.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Asthma</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Asthma is a chronic lung disease affecting people of all ages. It is caused by inflammation and muscle tightening around the airways, which makes it harder to breathe. Symptoms can include coughing, wheezing, shortness of breath and chest tightness. These symptoms can be mild or severe and can come and go over time. In major global markets, it is estimated that approximately 55 million people worldwide are diagnosed with asthma, with approximately 50% falling into the moderate or severe category. Asthma is a leading chronic disease in children, affecting about 5 million children under the age of 18. Treatments include inhaled corticosteroids, bronchodilator medications and biologics, such as dupilumab, for moderate to severe disease.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KT-621 Clinical Development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2025, we completed a first-in-human Phase 1 trial evaluating the safety, tolerability, pharmacokinetics and pharmacodynamics of single- and</w:t>
      </w:r>
    </w:p>
    <w:p>
      <w:pPr>
        <w:spacing w:after="0" w:line="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multiple-ascending doses of KT-621 compared to placebo in a total of 118 healthy volunteers. KT-621 demonstrated a favorable pharmacokinetic profile after single and multiple doses and showed a dose proportional increase in exposure after multi-dosing. KT-621 also demonstrated rapid, deep and prolonged STAT6 degradation in blood after single doses of KT-621 and in blood and skin after multiple doses of KT-621.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50165</wp:posOffset>
            </wp:positionV>
            <wp:extent cx="3274695" cy="264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w:t>
      </w: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Treatment with KT-621 also reduced multiple disease relevant Type 2 biomarkers in healthy volunteers, including a median TARC reduction up to 37% and median Eotaxin-3 reduction up to 63%.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 w:name="page10"/>
    <w:bookmarkEnd w:id="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safety profile of KT-621 was undifferentiated from placebo, with no serious adverse events, no severe adverse events, no treatment related adverse events in more than one subject, and no clinically relevant changes in vital signs, lab tests or electrocardiograms.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conducted a Phase 1b study evaluating KT-621 in patients with moderate to severe AD. The KT-621 BroADen Phase 1b clinical trial was an open-label, single-arm study that enrolled 22 patients with moderate to severe AD across two dose levels, 100 mg and 200 mg of KT-621 once daily for 28 days. The study was designed to evaluate KT-621 safety and tolerability and to demonstrate that KT-621 could achieve robust STAT6 degradation in both blood and skin, resulting in reductions in multiple Type 2 inflammatory biomarkers in circulation and in the transcriptome of active AD lesions after 4-weeks of dosing comparable to current standard of care treatment dupilumab. The study also explored effects on clinical activity and disease burden endpoints. KT-621 demonstrated its potential to deliver a first-in-class once-a-day oral treatment for Type 2 inflammatory diseases across every measure evaluated in the BroADen clinical trial, including STAT6 degradation, biomarker modulation, clinical activity, impact on other comorbid Type 2 diseases and safety.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KT-621 BroADen Phase 1b Atopic Dermatitis Trial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Pharmacokinetics (PK) and STAT6 Degradation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KT-621 exhibited a plasma PK profile across the 100 mg and 200 mg dose groups consistent with the Phase 1a healthy volunteer trial results. KT-621 demonstrated deep and consistent STAT6 degradation in both blood and skin across the 100 mg and 200 mg dose groups, translating strongly from the Phase 1a healthy volunteer study. At Day 29, median STAT6 degradation in blood as measured by flow cytometry was 98% at both the 100 mg and 200 mg doses. In skin lesions, where STAT6 levels were 2-fold higher compared to healthy volunteers, KT-621 achieved median STAT6 degradation of 94% by mass spectrometry at both the 100 mg and 200 mg doses with multiple subjects’ STAT6 level dropping below the lower limit of quantification (LLOQ).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2 Biomarkers:</w:t>
      </w:r>
    </w:p>
    <w:p>
      <w:pPr>
        <w:spacing w:after="0" w:line="11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Thymus and Activation-Regulated Chemokine (TARC): </w:t>
      </w:r>
      <w:r>
        <w:rPr>
          <w:rFonts w:ascii="Times New Roman" w:cs="Times New Roman" w:eastAsia="Times New Roman" w:hAnsi="Times New Roman"/>
          <w:sz w:val="18"/>
          <w:szCs w:val="18"/>
          <w:color w:val="auto"/>
        </w:rPr>
        <w:t>A validated biomarker of Type 2 inflammation, TARC reductions with KT-621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robust and highly associated with baseline levels of TARC in treated patients, consistent with reported dupilumab studies across multiple diseases. In patients with baseline TARC in line with dupilumab AD studies, defined as ≥1,600 pg/mL (which is the lower bound of the 95% confidence interval for median baseline TARC levels from the dupilumab SOLO1-2 AD studies), the median TARC reduction at Day 29 was 74%, in line with published dupilumab results at week 4. Across all patients, TARC was reduced by a median 48% and 55% for the 100 mg and 200 mg dose groups, respectively.</w:t>
      </w:r>
    </w:p>
    <w:p>
      <w:pPr>
        <w:spacing w:after="0" w:line="7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Eotaxin-3: </w:t>
      </w:r>
      <w:r>
        <w:rPr>
          <w:rFonts w:ascii="Times New Roman" w:cs="Times New Roman" w:eastAsia="Times New Roman" w:hAnsi="Times New Roman"/>
          <w:sz w:val="18"/>
          <w:szCs w:val="18"/>
          <w:color w:val="auto"/>
        </w:rPr>
        <w:t>At Day 29, KT-621 achieved a median reduction in Eotaxin-3 of 62% and 73% for the 100 mg and 200 mg dose groups,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Eotaxin-3 is a highly specific downstream cytokine of the IL-4/IL-13 pathway. These results numerically exceeded what has been reported with dupilumab in asthma and chronic rhinosinusitis with nasal polyps (CRSwNP) patients even at 52 weeks.</w:t>
      </w:r>
    </w:p>
    <w:p>
      <w:pPr>
        <w:spacing w:after="0" w:line="6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Immunoglobulin E (IgE): </w:t>
      </w:r>
      <w:r>
        <w:rPr>
          <w:rFonts w:ascii="Times New Roman" w:cs="Times New Roman" w:eastAsia="Times New Roman" w:hAnsi="Times New Roman"/>
          <w:sz w:val="18"/>
          <w:szCs w:val="18"/>
          <w:color w:val="auto"/>
        </w:rPr>
        <w:t>At Day 29, KT-621 achieved a median IgE reduction of 5% and 14% for the 100 mg and 200 mg dose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which were comparable to the reported dupilumab data at week 4. As expected for a Type 2 biomarker with a long half-life, reductions emerged gradually and aligned with kinetics observed in studies for representative biologics.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IL-31: </w:t>
      </w:r>
      <w:r>
        <w:rPr>
          <w:rFonts w:ascii="Times New Roman" w:cs="Times New Roman" w:eastAsia="Times New Roman" w:hAnsi="Times New Roman"/>
          <w:sz w:val="18"/>
          <w:szCs w:val="18"/>
          <w:color w:val="auto"/>
        </w:rPr>
        <w:t>KT-621 achieved robust reductions in serum IL-31, a validated Type 2 biomarker linked to pruritus in AD. At Day 29, median IL-31 levels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reduced by 56% and 54% in the 100 mg and 200 mg dose groups, respectively, demonstrating potent suppression of this pruritogenic cytokine through STAT6 degradation. This is the first known demonstration in AD patients of reduction in blood levels of IL-31 with IL-4/13 pathway blockade.</w:t>
      </w:r>
    </w:p>
    <w:p>
      <w:pPr>
        <w:spacing w:after="0" w:line="6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Fractional Exhaled Nitric Oxide (FeNO): </w:t>
      </w:r>
      <w:r>
        <w:rPr>
          <w:rFonts w:ascii="Times New Roman" w:cs="Times New Roman" w:eastAsia="Times New Roman" w:hAnsi="Times New Roman"/>
          <w:sz w:val="18"/>
          <w:szCs w:val="18"/>
          <w:color w:val="auto"/>
        </w:rPr>
        <w:t>A validated biomarker of Type 2 lung inflammation shown to be modulated by biologics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dupilumab targeting the IL-4/13 pathway in asthma, KT-621 achieved median FeNO reductions at Day 29 of 25% and 33% among all patients within the 100 mg and 200 mg dose groups, respectively. This is the first known demonstration of FeNO reduction in AD patients, providing initial proof of concept for KT-621 inhibition of Type 2 inflammation in lungs.</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Skin Transcriptomics: </w:t>
      </w:r>
      <w:r>
        <w:rPr>
          <w:rFonts w:ascii="Times New Roman" w:cs="Times New Roman" w:eastAsia="Times New Roman" w:hAnsi="Times New Roman"/>
          <w:sz w:val="18"/>
          <w:szCs w:val="18"/>
          <w:color w:val="auto"/>
        </w:rPr>
        <w:t>Across all patients and doses, KT-621 led to decreases in core Type 2 inflammation and AD disease-relevant gene sets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skin lesions after 4-weeks of dosing, including genes such as TARC, PARC, Eotaxin-3, periostin, keratin 16 and TSLP, with results comparable to dupilumab at week 4.</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Endpoints</w:t>
      </w:r>
    </w:p>
    <w:p>
      <w:pPr>
        <w:spacing w:after="0" w:line="11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Eczema Area and Severity Index (EASI): </w:t>
      </w:r>
      <w:r>
        <w:rPr>
          <w:rFonts w:ascii="Times New Roman" w:cs="Times New Roman" w:eastAsia="Times New Roman" w:hAnsi="Times New Roman"/>
          <w:sz w:val="18"/>
          <w:szCs w:val="18"/>
          <w:color w:val="auto"/>
        </w:rPr>
        <w:t>Mean EASI score reductions at Day 29 were 62% and 63% in the 100 mg and 200 mg dose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and 63% across all patients. KT-621 demonstrated rapid onset of action with measurable EASI impact by Day 8, the earliest timepoint reported. Comparable reductions were observed in patients with low or high baseline TARC levels and patients with low or high baseline EASI.</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EASI and all other clinical endpoints measured, KT-621 achieved improvements that were in line with or in some cases numerically exceeded published data for dupilumab at week 4. In addition, results were generally comparable across patients with or without prior biologics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251460</wp:posOffset>
            </wp:positionV>
            <wp:extent cx="4080510" cy="3583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051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EASI-50 (≥50% improvement from baseline) was 67% and 83% in the 100 mg and 200 mg dose groups, respectively, and 76% across all patients.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EASI-75 (≥75% improvement from baseline) was 33% and 25% in the 100 mg and 200 mg dose groups, respectively, and 29% across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74295</wp:posOffset>
            </wp:positionV>
            <wp:extent cx="3694430" cy="2442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9443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4</w:t>
      </w:r>
    </w:p>
    <w:p>
      <w:pPr>
        <w:spacing w:after="0" w:line="22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Peak Pruritus (Itch): </w:t>
      </w:r>
      <w:r>
        <w:rPr>
          <w:rFonts w:ascii="Times New Roman" w:cs="Times New Roman" w:eastAsia="Times New Roman" w:hAnsi="Times New Roman"/>
          <w:sz w:val="18"/>
          <w:szCs w:val="18"/>
          <w:color w:val="auto"/>
        </w:rPr>
        <w:t>Mean Peak Pruritus Numerical Rating Scale (PPNRS) reductions at Day 29 were 47% and 35% in the 100 mg and 200 mg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dose groups, respectively, and 40% across all patients. KT-621 demonstrated rapid onset of action with measurable impact on pruritus as soon as Day 8, the earliest timepoint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259715</wp:posOffset>
            </wp:positionV>
            <wp:extent cx="3240405" cy="276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4040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5</w:t>
      </w:r>
    </w:p>
    <w:p>
      <w:pPr>
        <w:spacing w:after="0" w:line="22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SCORing Atopic Dermatitis Index (SCORAD): </w:t>
      </w:r>
      <w:r>
        <w:rPr>
          <w:rFonts w:ascii="Times New Roman" w:cs="Times New Roman" w:eastAsia="Times New Roman" w:hAnsi="Times New Roman"/>
          <w:sz w:val="18"/>
          <w:szCs w:val="18"/>
          <w:color w:val="auto"/>
        </w:rPr>
        <w:t>KT-621 demonstrated improvements across all SCORAD domains, including itch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sleeplessness, reflecting both lesion improvement and symptom relief. At Day 29, total SCORAD scores decreased substantially with 52% and 46% mean reductions in the 100 mg and 200 mg dose groups, respectively, and 48% across all patients. For sleeplessness, at Day 29 mean reductions were 72% and 78% in the 100 mg and 200 mg dose groups, respectively, and 76% across all patients. For itch, at Day 29 the mean reductions were 40% and 47% in the 100 mg and 200 mg dose groups, respectively, and 44% across all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2280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6</w:t>
      </w:r>
    </w:p>
    <w:p>
      <w:pPr>
        <w:spacing w:after="0" w:line="22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Validated Investigator Global Assessment for Atopic Dermatitis (vIGA-AD): </w:t>
      </w:r>
      <w:r>
        <w:rPr>
          <w:rFonts w:ascii="Times New Roman" w:cs="Times New Roman" w:eastAsia="Times New Roman" w:hAnsi="Times New Roman"/>
          <w:sz w:val="18"/>
          <w:szCs w:val="18"/>
          <w:color w:val="auto"/>
        </w:rPr>
        <w:t>At Day 29, the proportion of vIGA-AD responders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achieving a score of 0 or 1 with at least a 2-point improvement) was 22% and 17% in the 100 mg and 200 mg dose groups, respectively, and 19% across all patients.</w:t>
      </w:r>
    </w:p>
    <w:p>
      <w:pPr>
        <w:spacing w:after="0" w:line="6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Patient Reported Outcomes (DLQI and POEM): </w:t>
      </w:r>
      <w:r>
        <w:rPr>
          <w:rFonts w:ascii="Times New Roman" w:cs="Times New Roman" w:eastAsia="Times New Roman" w:hAnsi="Times New Roman"/>
          <w:sz w:val="18"/>
          <w:szCs w:val="18"/>
          <w:color w:val="auto"/>
        </w:rPr>
        <w:t>KT-621 produced meaningful improvements in patient-reported quality of life, as measured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Dermatology Life Quality Index (DLQI) and Patient-Oriented Eczema Measure (POEM). Both scores declined steadily over the 4-week treatment period across both dose levels. These outcomes underscore KT-621’s rapid, patient-perceived impact on daily functioning and well-being, complementing the objective clinical improvements observed across other endpoints.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Comorbid Type 2 Diseases</w:t>
      </w:r>
    </w:p>
    <w:p>
      <w:pPr>
        <w:spacing w:after="0" w:line="11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Asthma and Allergic Rhinitis: </w:t>
      </w:r>
      <w:r>
        <w:rPr>
          <w:rFonts w:ascii="Times New Roman" w:cs="Times New Roman" w:eastAsia="Times New Roman" w:hAnsi="Times New Roman"/>
          <w:sz w:val="18"/>
          <w:szCs w:val="18"/>
          <w:color w:val="auto"/>
        </w:rPr>
        <w:t>In those AD patients with comorbid asthma (n=4), at Day 29, KT-621 achieved a median FeNO reduction of 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numerically exceeded published data for dupilumab at week 4 in asthma patients, and clinically meaningful ACQ-5 mean change of -1.2 points which corresponded to a 100% responder rate (≥0.5-point improvement). In evaluable patients with comorbid allergic rhinitis, KT-621 demonstrated activity with meaningful improvements in both Total Nasal Symptom Score (TNSS, n=7) and Rhinoconjunctivitis Quality of Life Questionnaire (RQLQ, n=6) measures, with notable responder rates (≥0.5-point improvement) in both endpoints. These findings demonstrate KT-621’s broader potential across immuno-inflammatory diseases, reflecting systemic Type 2 pathway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60960</wp:posOffset>
            </wp:positionV>
            <wp:extent cx="2726055" cy="2254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605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7</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Safety and Tolerability</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KT-621 was well-tolerated with a favorable safety profile consistent with the Phase 1b trial in patients with moderate to severe AD. There were no serious adverse events (SAEs), no severe AEs, no related treatment-emergent-adverse events (TEAEs) or TEAEs leading to discontinuation, no AEs of conjunctivitis, herpes infections or arthralgias, and no clinically relevant changes in vital signs, laboratory tests or electrocardiograms.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 Development Plan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Two parallel Phase 2b trials to evaluate KT-621 in patients with moderate to severe AD and asthma are ongoing with data expected by mid-2027 and late-2027,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IRF5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developing oral medicines that target IRF5, a master regulator of innate and adaptive immune response pathways involving pro-inflammatory cytokines, B cell activation, and Type I Interferon. IRF5 is a genetically validated transcription factor that has been widely implicated in inflammatory and autoimmune diseases. Functional risk variants in IRF5 have been associated with increased susceptibility to multiple diseases, and IRF5-regulated pathways have been clinically validated through the development of multiple approved and investigational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Pathway and Target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IRF5, a historically undrugged transcription factor, is a master regulator of innate and adaptive immune response pathways involving pro-inflammatory cytokines (TNFα, IL-6, IL-12, IL-23), B cell activation (autoantibody production), and Type I Interferon (IFN). IRF5 is selectively expressed and activated in specific cell types such as dendritic cells, monocytes, macrophages, and B cells. Its cell- and disease activation-specific profile has the potential to block cell-specific immune dysregulation while sparing normal cell function.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Dysregulated IRF5 activation is implicated in the pathogenesis of multiple diseases, including autoimmune disorders, and chronic inflammatory conditions such as systemic lupus erythematosus (SLE), rheumatoid arthritis (RA) and inflammatory bowel disease (IBD). As a central regulator of immune signaling, IRF5 represents a compelling therapeutic target for diseases characterized by immune dysregulation and excessive inflammation that remain underserved by existing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Opportunities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estimate that more than 10 million people across the United States, Europe, and Japan are affected by diseases in which IRF5-mediated pathways are implicated in pathogenesis. KT-579 has the potential for broad utility in diseases where effective and well tolerated oral therapies are needed including lupus, Sjögren’s Syndrome, Rheumatoid Arthritis, Inflammatory Bowel Disease, Systemic Sclerosis, Dermatomyositis, among others.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KT-579 Preclinical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lead molecule in our IRF5 program is KT-579, an investigational, potentially first-in-class oral IRF5 degrader being developed for the treatment of rheumatic and autoimmune diseases. We have conducted comprehensive preclinical studies in human primary cells, patient derived cells, and in vivo disease models to assess KT-579’s selectivity, potency, degradation levels, efficacy and tolerability. KT-579, a potent, selective and oral degrader has the potential to be the first IRF5-targeted therapy to deliver a novel oral treatment option, in many cases superior to pathway biologics.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Preclinical Selectivity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KT-579 was highly selective for IRF5 over all other proteins in the detectable proteome including other IRF family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222885</wp:posOffset>
            </wp:positionV>
            <wp:extent cx="2708910" cy="261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Potency</w:t>
      </w:r>
    </w:p>
    <w:p>
      <w:pPr>
        <w:spacing w:after="0" w:line="21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KT-579 also demonstrated picomolar to nanomolar potencies across all relevant human cell types evaluated, including B cells, dendritic cells, macrophages, and monocytes. KT-579 demonstrated potent inhibition of proinflammatory cytokines downstream of TLR4, TLR7, TLR8 and TLR9 activation in cellular assays and blocked Type I IFN production and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183515</wp:posOffset>
            </wp:positionV>
            <wp:extent cx="2674620" cy="3094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7462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9</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Preclinical Degradation Levels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KT-579 achieved robust degradation (&gt;90%) across multiple preclinical species in vivo and in all disease-relevant tissues with low oral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214630</wp:posOffset>
            </wp:positionV>
            <wp:extent cx="2820035" cy="2288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00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Efficacy Models</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several preclinical efficacy models of lupus and RA, KT-579 was generally more efficacious than clinically active or marketed small molecule inhibitors and injectable biologics, phenocopying IRF5 knockout studies.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lupus models, KT-579 significantly impacted Type I IFN signaling and pathogenic B cell subsets, key molecular pathways known to be involved in lupus pathogenesis, that resulted in marked reductions of blood interferon-stimulated genes, serum autoantibodies (anti-dsDNA), kidney IgG deposition, and protected from renal disease progression. Additionally, in lupus patient PBMC samples, KT-579 effectively blocked TLR7- and TLR8-induced pro-inflammatory cytokines and IFNβ production and TLR9-induced IgG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57150</wp:posOffset>
            </wp:positionV>
            <wp:extent cx="5760720" cy="228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11</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RA rodent models, KT-579 achieved a dose-dependent reduction of joint swelling that correlated with inhibition of pro-inflammatory cytokines and Th1 responses in joint tissue and protected from bone destruction.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302895</wp:posOffset>
            </wp:positionV>
            <wp:extent cx="2760345" cy="2125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03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Tolerability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preclinical safety studies, there were no adverse findings in non-GLP and GLP toxicity studies in non-human primates and rodents.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KT-579 Clinical Development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recently initiated Phase 1 testing in healthy volunteers for KT-579.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Collaboration Product Candidates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strategically entered into collaborative arrangements with companies to research, develop and commercialize protein degraders and molecular glue degraders.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collaborating with Sanofi on the development of drug candidates targeting IRAK4 outside of the oncology and immuno-oncology fields. In June 2025, under the terms of the Sanofi Agreement (as defined below), Sanofi decided to exercise its participation election right for the IRAK4 degraders, including KT-485/SAR447971. KT-485 is a highly active and selective oral IRAK4 degrader for the treatment of IL-1R/TLR-driven immuno-inflammatory conditions and diseases with high unmet medical need. Sanofi plans to advance KT-485 into clinical testing in 2026.</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IRAK4 is a critical regulator of innate immunity and key protein of the myddosome complex that mediates signaling through IL-1 and toll-like receptors. IRAK4 is a scaffolding kinase that acts at the interface of the innate and adaptive immune responses with a variety of functions depending on its kinase activity and scaffolding function. Eliminating IRAK4 completely through degradation impacts both the kinase and scaffolding functions, therefore having the potential to achieve a broad, well-tolerated, anti-inflammatory effect providing a novel therapeutic approach for a variety of immune-inflammatory diseases.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Gilead Sciences</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June 2025, we entered into an exclusive option and license agreement with Gilead Sciences to accelerate the development and commercialization of a novel molecular glue degrader (MGD) program targeting cyclin-dependent kinase 2 (CDK2) with broad oncology treatment potential, including in breast cancer and other solid tumors.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CDK2-directed MGDs are a new type of drug designed to remove CDK2 – a key contributor in tumor growth – rather than just inhibiting its function. Traditional inhibitors of CDK2 often interfere with similar proteins, which can cause undesired side effects. MGDs have the potential to provide more precise, safe and effective treatments for cancers that rely on CDK2 activity by selectively removing this protein from cells.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Kymera will lead all research activities for the CDK2 program. If Gilead exercises its option to exclusively license the program, Gilead will have global rights to develop, manufacture and commercialize all products resulting from the collaboration.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Sanofi (formerly Genzyme Corporation)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Original Sanofi Agreement, with Genzyme Corporation, a subsidiary of Sanofi, to co-develop drug candidates directed to two biological targets. The Original Sanofi Agreement became effective during the third quarter of 2020.</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The Original Sanofi Agreement, as amended by the Amended Sanofi Agreement, is referred to herein as the Sanofi Agreement.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immune-oncology.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Sanofi Agreement, with respect to both targets we are responsible for discovery and preclinical research and conducting a phase 1 clinical trial for at least one degrader directed against IRAK4 plus up to three back up degraders, the costs of which will be borne by us, except in certain circumstances. With respect to both targets, Sanofi is responsible for development, manufacturing, and commercialization of product candidates after a specified development milestone occurs with respect to each collaboration candidate.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us an exclusive option, or Opt-In Right, exercisable, at our sole discretion,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our Opt-In Right, Sanofi will grant to us an exclusive option, applicable to each collaboration target, which upon exercise will allow us to conduct certain co-promotion activities in the field in the United States.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8" w:name="page19"/>
    <w:bookmarkEnd w:id="1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2022, Sanofi provided us with written notice of its intention to take KT-474 into Phase 2 clinical trials. In the fourth quarter of 2023, we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 All milestone payments have been received as of December 31, 2025.</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Sanofi Agreement, and to advance KT-485/SAR447971, into clinical testing. As a result, Sanofi stopped development of KT-474. In connection with the IRAK4 program, we remain eligible to receive up to $975 million in development and commercial milestones upon the achievement of certain developmental or regulatory events and upon the achievement of certain net sales thresholds.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we mutually agreed to cease activities related to the undisclosed target and we are no longer eligible for the milestone and royalty payments associated with the second target.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and license agreement with Gilead Sciences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we entered into an exclusive option and license agreement (the “Gilead Agreement”) with Gilead, to collaborate on developing novel molecular glue degraders directed against cyclin-dependent kinase 2 (“CDK2”). Under the Gilead Agreement, we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we are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our company.</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we received a non-refundable upfront payment of $40.0 million. In addition, if Gilead exercises the option, the we are entitled to receive an option exercise payment of $45.0 million and will be eligible to receive up to $665.0 million upon the achievement of certain development, regulatory and commercial milestones. We are also eligible to receive tiered royalties on net sales by Gilead ranging from high single-digit to mid-teen percentages, subject to customary reductions in certain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 Supply Chain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our drug candidates and currently have no plans to build our own clinical or commercial scale manufacturing capabilities. We currently engage with third-party contract manufacturing organizations, or CMOs, for the manufacture of our drug candidates for preclinical studies, and we intend to continue to do so in the future. We rely on and expect to continue to rely on third-party manufacturers for the production of both drug substance and finished drug product. We have engaged third-party manufacturers to supply the drug substances for our drug candidates and a third-party manufacturer to develop and manufacture finished drug products that we are using in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of their potential efficacy and safety, but also because we anticipate an ease of synthesis and cost of goods. We have produced drug substances and drug products for use in our clinical trials and continue to refine our production processes. The drug substance and drug product processes are amenable to scale-up and do not require unusual equipment in the manufacturing process. To adequately meet our needs for late-stage clinical and commercial manufacturing, our suppliers will need to scale their production, or we will need to secure alternate suppliers.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years of expertise in targeted protein degradation, clinical development expertise, and intellectual property position, we currently face and will continue to face competition for our development programs from companies that use targeted protein degradation or targeted protein degradation development platforms, and from companies focused on more traditional therapeutic modalities such as small molecules and antibodies. The competition is likely to come from multiple sources, including larger pharmaceutical companies, biotechnology companies, and academia.</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pharmaceutical companies have disclosed preclinical investments in this field. Our competitors will also include companies that are or will be developing other targeted protein degradation methods as well as small molecule, antibody, or gene therapies for the same indications that we are targeting. In addition to competitors we face in developing small molecule protein degraders, we will also face competition in the indications we expect to pursue with our STAT6, IRF5, IRAK4 and CDK2 programs. In particular, several pharmaceutical companies have announced partnerships around programs targeting STAT6, and/or have their own internal STAT6 programs, including Gilead Sciences, Inc, Johnson &amp; Johnson, Pfizer and Sanofi.</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 broadly, many of the indications targeted by our programs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secure intellectual property protection for our product candidates and future products, as well as our platform protein degradation technologies and any other relevant inventions and improvements that are considered commercially important to our business. Our success also depends on our ability to defend and enforce our intellectual property rights, preserve the confidentiality of our proprietary information, and operate without infringing, misappropriating or otherwise violating the valid and enforceable patents and proprietary rights of third parties.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secure and maintain intellectual property protection for our product candidates, future products, and other proprietary technologies will depend on our success in obtaining effective patent coverage and enforcing those patents if granted. However, we cannot guarantee that our pending patent applications, and any patent applications that we may in the future file, will result in the issuance of patents, or that any issued patents we may obtain will provide sufficient proprietary protection from competitors. Any issued patents that we obtain may be challenged, invalidated, or circumvented by third parties.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patents, we also rely on trade secrets, know-how and continuing technological innovation to develop and maintain our competitive position. We seek to protect our proprietary technology, in part, through confidentiality agreements and invention assignment agreements with our employees, consultants, scientific advisors, contractors and potential collaborators.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i w:val="1"/>
          <w:iCs w:val="1"/>
          <w:color w:val="auto"/>
        </w:rPr>
        <w:t>Patent Portfolio</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includes a portfolio of wholly owned patent families covering our platform E3 ligase ligand technology and our novel bifunctional degrader product candidates, including claims to compositions of matter, pharmaceutical compositions, methods of use, methods of treatment, and other related compounds and methods. Our intellectual property portfolio is in its early development stages. Our patent portfolio is generally organized into two categories: (1) platform E3 ligase ligand patent families and (2) protein degrader patent families, including various target-specific degrader patent families.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Platform E3 Ligase Ligand Patent Families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platform E3 ligase ligand patent families are wholly owned and include four patent families directed to novel ligands for the cereblon E3 ubiquitin ligase, as well as methods of treatment and other related methods. As of December 31, 2025, our platform E3 ligase ligand patent families included granted U.S. patents, pending patent applications in the U.S. and Europe. Any U.S. or foreign patents resulting from these applications, if granted and all appropriate maintenance fees paid, are expected to expire between 2038 and 2045, absent any patent term adjustments or extensions.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Protein Degrader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protein degrader patent families are wholly owned and are directed to novel bifunctional degrader compounds that are useful in affecting ubiquitination of a target protein, as well as methods of treatment and other related methods. As of December 31, 2025, our protein degrader patent families included granted U.S. patents, and numerous patent applications in U.S., PCT, and foreign jurisdictions, such as Australia, Canada, Europe, Israel, Japan, Mexico, New Zealand, and the Russian Federation. Any U.S. or foreign patents resulting from these applications, if granted and all appropriate maintenance fees paid, are expected to expire between 2038 and 2043,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Target-Specific Degrader Patent Families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target-specific degrader patent families focus protection around degrader compounds that are designed to target specific proteins for degradation, as well as methods of treatment and other inventions related to the compounds, such as dosing methods, formulation, etc. . Such protein targets include, for example, IRAK (interleukin-1 receptor-associated kinases), STAT (signal transducers and activators of transcription, e.g.,STAT3 and STAT6), CDK2, and IRF5.</w:t>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IRAK-Specific Patent Families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IRAK-specific patent families are wholly owned and include patent families covering degrader compounds that are designed to specifically target IRAK for degradation and patent families covering novel IRAK ligands. As of December 31, 2025, our IRAK-specific patent families included numerous granted U.S. and foreign patents, and pending patent applications filed in U.S., PCT, and foreign jurisdictions, such as Australia, Argentina, Brazil, Canada, China, Europe, Eurasia, Gulf Cooperation Council, Israel, India, Japan, Mexico, New Zealand, Singapore, South Africa, and Taiwan. Any U.S. or foreign patents resulting from our IRAK-specific patent families, if granted and all appropriate maintenance fees paid, are expected to expire between 2038 and 2044, absent any patent term adjustments or extensions.</w:t>
      </w:r>
    </w:p>
    <w:p>
      <w:pPr>
        <w:spacing w:after="0" w:line="79" w:lineRule="exact"/>
        <w:rPr>
          <w:sz w:val="20"/>
          <w:szCs w:val="20"/>
          <w:color w:val="auto"/>
        </w:rPr>
      </w:pPr>
    </w:p>
    <w:p>
      <w:pPr>
        <w:ind w:left="520" w:right="20"/>
        <w:spacing w:after="0" w:line="407" w:lineRule="auto"/>
        <w:rPr>
          <w:sz w:val="20"/>
          <w:szCs w:val="20"/>
          <w:color w:val="auto"/>
        </w:rPr>
      </w:pPr>
      <w:r>
        <w:rPr>
          <w:rFonts w:ascii="Times New Roman" w:cs="Times New Roman" w:eastAsia="Times New Roman" w:hAnsi="Times New Roman"/>
          <w:sz w:val="18"/>
          <w:szCs w:val="18"/>
          <w:color w:val="auto"/>
        </w:rPr>
        <w:t xml:space="preserve">With respect to the KT-485 product candidate, as of December 31, 2025, we have pending patent applications in the U.S. and all major jurisdictions. </w:t>
      </w:r>
      <w:r>
        <w:rPr>
          <w:rFonts w:ascii="Times New Roman" w:cs="Times New Roman" w:eastAsia="Times New Roman" w:hAnsi="Times New Roman"/>
          <w:sz w:val="18"/>
          <w:szCs w:val="18"/>
          <w:i w:val="1"/>
          <w:iCs w:val="1"/>
          <w:color w:val="auto"/>
        </w:rPr>
        <w:t>STAT-Specific Patent Families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STAT-specific patent families focus on degrader compounds that are designed to specifically target signal transducers and activators of transcription (STAT) for degradation. As of December 31, 2025, our STAT-specific patent families included granted U.S. patents and pending and granted patent applications filed in U.S., PCT, and foreign jurisdictions, such as Australia, Canada, China, Eurasia, Europe, India, Israel, Japan, South Korea, Mexico, and Taiwan. Two of the international patent applications directed to methods of treatment are co-owned with academic collaborators, and the remaining STAT-specific patent families are wholly owned. Any U.S. or foreign patents resulting from our STAT-specific patent families, if granted and all appropriate maintenance fees paid, are expected to expire between 2040 and 2044, absent any patent term adjustments or extensions.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Other Target-Specific Patent Families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own three granted U.S. patents and over 75 patent applications filed in U.S., PCT, and foreign jurisdictions, such as Australia, Argentina, Brazil, Canada, China, Europe, Gulf Cooperation Council, Israel, India, Japan, Mexico, New Zealand, Singapore, South Africa, and Taiwan which focus on degrader compounds designed to specifically target other proteins. Any U.S. or foreign patents resulting from these patent families, if granted and all appropriate maintenance fees paid, are expected to expire between 2040 and 2044, absent any patent term adjustments or extensions.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may vary based on the countries in which they are obtained. Generally, patents issued from applications filed in the United States are effective for 20 years from the earliest effective non-provisional filing date. In certain cases, a patent term can be extended to recapture a portion of the term effectively lost as a result of the FDA regulatory review period. With regard to a drug for which FDA approval is the first permitted marketing of the active ingredient, the Hatch-Waxman Act allows for extension of the term of one U.S. patent that includes at least one claim covering the composition of matter of an FDA approved drug, an FDA-approved method of treatment using the drug, and/or a method of manufacturing the FDA-approved drug. The Hatch-Waxman Act permits a patent term extension of up to five years beyond the expiration of the patent, though the total patent term, including any extension, must not exceed 14 years following FDA approval. A patent can only be extended once, such that, if a single patent is applicable to multiple products, it can only be extended based on one product.</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duration of patents outside of the United States varies in accordance with provisions of applicable local law, but typically is also 20 years from the earliest effective national filing date.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Similar patent term extension provisions are available in Europe and other foreign jurisdictions to extend the term of a patent covering an approved drug. When possible, we expect to apply for patent term extensions for patents covering our product candidates and their methods of use.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filed and intend to file applications for trademark registrations in connection with our product candidates and other technologies in various jurisdictions, including the United States and the European Union. All of our European Union trademarks in existence as of December 31, 2020 were automatically cloned onto the United Kingdom register due to “Brexit.”</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our trademark portfolio includes registrations, pending and allowed applications of the KYMERA mark and the KYMERA THERAPEUTICS mark, and the KT mark in the United States, Europe, and Canada, all covering Class 5 pharmaceutical and medical preparations and therapeutics and Class 42 pharmaceutical research and development and drug development and discovery services. We also have registrations, allowed applications, and pending applications in Europe, the United States, and Canada respectively for our K &amp; Design logo mark covering the same goods and services.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hold registrations of E3 HUMAN ATLAS and E3 LIGASE WHOLE BODY ATLAS in the European Union and the United Kingdom covering Class 42 pharmaceutical research and development and drug development and discovery services.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may rely on trade secrets and know-how to develop and maintain our competitive position. Companies typically rely on trade secrets to protect aspects of their business that are not amenable to, or that they do not consider appropriate for, patent protection. We protect trade secrets, if any, and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as drugs for therapeutic indications and may be marketed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involves the following:</w:t>
      </w:r>
    </w:p>
    <w:p>
      <w:pPr>
        <w:spacing w:after="0" w:line="99"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Applicaiton, or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U.S.</w:t>
      </w:r>
    </w:p>
    <w:p>
      <w:pPr>
        <w:spacing w:after="0" w:line="27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FDA leadership announced in February 2026 that the FDA will, going forward, adopt the default position that one adequate and well-controlled study, combined with confirmatory evidence, can serve as the basis of marketing authorization for novel products.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patients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patients are being exposed to an unacceptable health risk.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 requirements, and the FDA is able to validate the data through an onsite inspection if deemed necessary. Additionally, recent policy proposals in the U.S., if enacted, may make acceptance by the FDA or inclusion in a marketing application of foreign data more difficult or costly.</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—Phase 1 clinical trials involve initial introduction of the investigational product into healthy human volunteers or patients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7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receiving priority review. The FDA does not always meet its PDUFA goal dates for standard or priority review NDAs, and the review process is often extended by FDA requests for additional information or clarification.</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under PDUFA, as amended, each NDA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program if it believes that a risk evaluation and mitigation strategy is necessary to ensure that the benefits of the drug outweigh its risks. The REMS program could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the product available in the U.S.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Accelerated Approval and platform technology designation and the purpose of these programs is to either expedite the development or review of important new drugs to get them to patients earlier than under standard FDA development and review procedures.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must review an application in six months compared to ten months for a standard review.</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drug can also obtain pediatric market exclusivity in the U.S. Pediatric Exclusivity, if granted, adds six months to existing exclusivity periods for all formulations, dosage forms, indications of the active moiety and patent terms. This six-month exclusivity, which runs from the end of other exclusivity protection, may be granted based on the voluntary completion of a pediatric trial or of multiple pediatric trials in accordance with an FDA-issued “Written Request” for such trials, provided that at the time pediatric exclusivity is granted there is not less than nine months of term remaining.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tracking and tracing,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Although physicians may prescribe legally available products for off-label uses, manufacturers and individuals working on behalf of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Drug companies are subject to additional healthcare regulation and enforcement by the federal government and by authorities in the states and foreign jurisdictions in which they conduct their business. These laws and regulations may limit our relationships with our partners, providers, and third-party payors. Such laws include, without limitation, state and federal anti-kickback, fraud and abuse, false claims, and transparency laws and regulations related to drug pricing and payments and other transfers of value made to physicians and other healthcare providers. They also include patient data privacy and security laws and regulations, including a growing number of state laws focused on consumer privacy, consumer health data, biometrics and genetic information.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fraud and abuse laws or other healthcare laws and regulations. If our operations or our partners’ operations are found to be in violation of any of such laws or any other governmental regulations that apply, by extension,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are broadly applicable, and the scope and enforcement of each of these laws is uncertain and subject to rapid change. Ensuring business arrangements comply with applicable healthcare laws, as well as responding to possible investigations by government authorities, can be time- and resource-consuming and can divert a company’s attention from its business.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markets in other countries, providers and patients generally rely on third-party payors to reimburse associated healthcare costs. Even if a product candidate is approved, sales of the product will depend, in part, on the extent to which third-party payors (like Medicare and Medicaid, commercial health insurers and managed care organizations, among others) provide coverage and establish adequate reimbursement levels for the product.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principal decisions about reimbursement for new drugs are typically made by the Centers for Medicare &amp; Medicaid Services, or CMS, an agency within the U.S. Department of Health and Human Services. CMS decides whether and to what extent a new medicine will be covered and reimbursed under Medicare. Private payors tend to follow CMS. No uniform policy of coverage and reimbursement for drug products exists among all third-party payors, and coverage and reimbursement can differ significantly from payor to payor for the same product.</w:t>
      </w:r>
    </w:p>
    <w:p>
      <w:pPr>
        <w:spacing w:after="0" w:line="72" w:lineRule="exact"/>
        <w:rPr>
          <w:sz w:val="20"/>
          <w:szCs w:val="20"/>
          <w:color w:val="auto"/>
        </w:rPr>
      </w:pPr>
    </w:p>
    <w:p>
      <w:pPr>
        <w:jc w:val="both"/>
        <w:ind w:firstLine="560"/>
        <w:spacing w:after="0" w:line="261"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may be separate from the process for setting the price or reimbursement rate that the payor will pay for the product. Third-party payors increasingly challenge the prices charged, examine medical necessity, review the cost-effectiveness of medical products and services and impose controls to manage costs. Third-party payors may limit coverage to products on an approved formulary, which might not include all of the approved products for a particular indication.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secure coverage and reimbursement for any product that obtains approval, a company may need to conduct expensive pharmacoeconomic studies to demonstrate medical necessity and cost-effectiveness. This requires additional expenditure above and beyond the costs required to obtain FDA or other regulatory approvals. Companies may also need to provide discounts to purchasers, private health plans or government healthcare programs. Products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there has always been and likely will continue to be proposed and finalized changes to reform the healthcare system, including attempts to broaden the availability of healthcare, improve the quality of healthcare, and contain or lower the cost of healthcare.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significant example of such a healthcare reform measure is the Affordable Care Act, or ACA, enacted in March 2010. The ACA, among other things, changed coverage and payment policies for products and services under government health care programs, including many provisions that affected how drug products are covered and reimbursed, included various reporting requirements for drug companies, and subjected drug companies to revisions in the calculation and payment of various rebate liability obligations owed to the government under various drug reimbursement programs. It also expanded requirements for drug manufacturers to provide coverage in the form of discounts under the Medicare Part D program.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the ACA, and we expect there will be additional challenges and amendments to the ACA in the future. This likely includes efforts to challenge, repeal or replace the ACA. Other legislative healthcare reform measures have been enacted since the ACA and include, for example, legislative changes to how drug manufacturers calculate rebates owed under the Medicaid drug rebate program.</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Although a number of these and other measures may require additional authorization to become effective, Congress and the current administration have each indicated that it will continue to seek new legislative and/or administrative measures to control drug costs.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Most recently, the Inflation Reduction Act of 2022 (“IRA”), included several provisions that may impact our business to varying degrees. This includes reducing the annual out-of-pocket spending cap for Medicare Part D beneficiaries from $7,050 to $2,000 starting in 2025; imposing new manufacturer financial liability on many drugs reimbursed under Medicare Part D; and allowing the U.S. government to negotiate Medicare pricing for certain high-cost drugs and biologics without generic or biosimilar competition. The IRA also requires drug companies to pay rebates to Medicare for drug prices that increase faster than inflation. Further, under the IRA, orphan drugs are exempted from the Medicare drug price negotiation program, but only if any approved indications are for rare diseases. The IRA also imposes rebates on Medicare Part B and Part D drugs whose prices have increased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Thus, while it is unclear how the IRA will be implemented, it will likely have a significant impact on the pharmaceutical industry and the pricing of prescription drug products. The effect of IRA on our business and the pharmaceutical industry in general is not yet known.</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One Big Beautiful Bill Act of 2025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current administration has issued executive orders and supported proposed regulatory initiatives in 2025 that could have a significant impact on the prices that we, or any collaborators, may receive for any approved products.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current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other federal and state laws or requirements; changing legal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 For instance, in the United Kingdom and the European Economic Area, or the EEA (comprised of the EU Member States plus Iceland, Liechtenstein and Norway), medicinal products must be authorized for marketing by using either the centralized procedure or a national procedure.</w:t>
      </w:r>
    </w:p>
    <w:p>
      <w:pPr>
        <w:spacing w:after="0" w:line="289" w:lineRule="exact"/>
        <w:rPr>
          <w:sz w:val="20"/>
          <w:szCs w:val="20"/>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—If pursuing marketing authorization of a product candidate for a therapeutic indication under the centralized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following the opinion of the European Medicines Agency’s Committee for Medicinal Products for Human Use, or CHMP, the European Commission issues a single marketing authorization valid across the EEA. The centralized procedure is compulsory for human medicines derived from biotechnology processes or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designated orphan medicinal products. For medicines that do not fall within these categories, an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applicant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80" w:lineRule="exact"/>
        <w:rPr>
          <w:sz w:val="20"/>
          <w:szCs w:val="20"/>
          <w:color w:val="auto"/>
        </w:rPr>
      </w:pPr>
    </w:p>
    <w:p>
      <w:pPr>
        <w:ind w:left="102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National procedures</w:t>
      </w:r>
      <w:r>
        <w:rPr>
          <w:rFonts w:ascii="Times New Roman" w:cs="Times New Roman" w:eastAsia="Times New Roman" w:hAnsi="Times New Roman"/>
          <w:sz w:val="18"/>
          <w:szCs w:val="18"/>
          <w:color w:val="auto"/>
        </w:rPr>
        <w:t>—There are also two other possible routes to authorize products for therapeutic indications in several countries,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for products that fall outside the scope of the centralized procedure:</w:t>
      </w:r>
    </w:p>
    <w:p>
      <w:pPr>
        <w:spacing w:after="0" w:line="50" w:lineRule="exact"/>
        <w:rPr>
          <w:rFonts w:ascii="Times New Roman" w:cs="Times New Roman" w:eastAsia="Times New Roman" w:hAnsi="Times New Roman"/>
          <w:sz w:val="18"/>
          <w:szCs w:val="18"/>
          <w:color w:val="auto"/>
        </w:rPr>
      </w:pPr>
    </w:p>
    <w:p>
      <w:pPr>
        <w:ind w:left="154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—Using the decentralized procedure, an applicant may apply for simultaneous authorization in more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 country of medicinal products that have not yet been authorized in any EU country and that do not fall within the mandatory scope of the centralized procedure.</w:t>
      </w:r>
    </w:p>
    <w:p>
      <w:pPr>
        <w:spacing w:after="0" w:line="65" w:lineRule="exact"/>
        <w:rPr>
          <w:sz w:val="20"/>
          <w:szCs w:val="20"/>
          <w:color w:val="auto"/>
        </w:rPr>
      </w:pPr>
    </w:p>
    <w:p>
      <w:pPr>
        <w:jc w:val="both"/>
        <w:ind w:left="1540" w:hanging="514"/>
        <w:spacing w:after="0" w:line="267"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—In the mutual recognition procedure, a medicine is first authorized in one EU country,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In the EU, a medicinal product may be designated as orphan if: (1) it is intended for the diagnosis, prevention or treatment of a life-threatening or chronically debilitating condition; (2) either</w:t>
      </w:r>
    </w:p>
    <w:p>
      <w:pPr>
        <w:jc w:val="both"/>
        <w:ind w:firstLine="8"/>
        <w:spacing w:after="0" w:line="251"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that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MAA shall be accepted, and no marketing authorization shall be granted for a similar medicinal product for the same therapeutic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where an agreed pediatric investigation plan for pediatric studies has been complied with. No extension to any supplementary protection certificate, or SPC, can be granted on the basis of pediatric studies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product for the same therapeutic indication as an authorized orphan product at 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time if (i) the second applicant can establish that its product, although similar to the authorized orphan product, is safer, more effective or otherwise clinically superior; (ii) the marketing authorization holder for the authorized orphan product consents to a second orphan medicinal product application; or (iii) the marketing authorization holder for the authorized orphan product cannot supply enough orphan medicinal product.</w:t>
      </w:r>
    </w:p>
    <w:p>
      <w:pPr>
        <w:spacing w:after="0" w:line="6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provided an application for such extension is made at the same time as filing the SPC application for the product, or at any point up to 2 years before the SPC expires.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U.S., the various phases of non-clinical and clinical research in the European Union are subject to significant regulatory controls.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(Clinical Trials Regulation) which replaced the Clinical Trials Directive 2001/20/EC on January 31, 2022. The Clinical Trials Regulation aims to simplify and streamline the approval of clinical trials in the European Union.</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main characteristics of the regulation include: a streamlined application procedure via a single-entry point,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coordinated assessment by the competent authorities of all EU Member States in which an application for authorization of a clinical trial has been submitted (Member States concerned) following review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Reform of the Regulatory Framework in the European Union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event we conduct clinical trials in the EU, we will be subject to additional privacy restrictions. The collection and use of personal health data in the EEA is governed by the General Data Protection Regulation (“EU GDPR”) and the UK is governed by the UK General Data Protection Regulation (“UK GDPR”). The UK GDPR and the UK Data Protection Act 2018 set out the UK’s data protection regime, which is independent from but aligned to the EU’s data protection regime. In this Annual Report on Form 10-K, “GDPR” refers to both the EU GDPR and the UK GDPR, unless specified otherwise.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about how personal data is used,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EEA Member States, which may deviate slightly from the GDPR, may result in fines of up to 4% of a company’s global revenues for the preceding financial year, or €20,000,000 (£17,500,000 in the UK),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manner in which data protection authorities will seek to enforce compliance with the GDPR. For example, it is not clear if the authorities will conduct random audits of companies doing business in the EEA and/or UK,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UK formally left the EU on January 31, 2020.</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A new framework named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had 238 full-time employees. Within our workforce, 189 employees are engaged in research and development and 49 are engaged in business development, finance, legal, and general management and administration. We consider the intellectual capital of our employees to be an essential driver of our business and key to our future prospects. We continually evaluate the business need and opportunity and balance in house expertise and capacity with outsourced expertise and capacity. Currently, we outsource substantially all clinical trial work to clinical research organizations and certain drug manufacturing to contract manufacturers. Drug development is a complex endeavor which requires deep expertise and experience across a broad array of disciplines. Pharmaceutical companies, both large and small, compete for a limited number of qualified applicants to fill specialized positions. We monitor our compensation programs closely and provide what we consider to be a very competitive mix of compensation and insurance benefits for all our employees, as well as participation in our equity programs. To attract qualified applicants, the Company offers a comprehensive benefits package consisting of base salary and cash target bonus, medical and other benefits and equity compensation for every employee. Bonus opportunity and equity compensation increase as a percentage of total compensation based on level of responsibility. Actual bonus payout is based on performance.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None of our employees is subject to a collective bargaining agreement or represented by a trade or labor union. We consider our relations with our employees to be good.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support our employees’ further development with individualized development plans, mentoring, coaching, group training, conference attendance and financial support including tuition reimbursement.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Watertown, Massachusetts, where we lease and occupy approximately 100,624 square feet of office and laboratory space. This lease has an initial term of 134 months, and we have two consecutive options to extend the term of the lease for five years each at then-market rates. Additionally, we lease 34,522 square feet of office and laboratory space in Watertown that we are not currently occupying. The current term of this lease expires March 31, 2030, with an option to extend the term five additional years with 12 months’ notice with rent set at an agreed upon market rate. We intend to sublease and are actively marketing the additional space to third parties.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our facilities are sufficient to meet our current needs. To meet the future needs of our business, we may lease additional or alternate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Delaware in September 2015 under the name Project HSC, Inc. We are the successor in interest to Kymera Therapeutics, LLC, a limited liability company formed under the laws of the State of Delaware on May 25, 2017, and the former holder of all of our outstanding shares of common stock. Our principal executive offices are located at 500 North Beacon Street, 4th Floor, Watertown, MA 02472 and our telephone number is (857) 285-5300. Our website address is www.kymeratx.com. References to our website are inactive textual references only and the content of our website should not be deemed incorporated by reference into this Annual Report on Form 10-K.</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www.kymeratx.com as soon as reasonably practicable after they are filed with or furnished to the Securities and Exchange Commission, or the SEC.</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us and other issuers that file electronically with the SEC. The SEC’s Internet website address is http://www.sec.gov.</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Audit Committee, Compensation Committee and Nominating and Corporate Governance Committee are posted on our website, www.kymeratx.com, under “Investors”.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material and other risks and uncertainties described and summarized below, as well as the other information in this Annual Report on Form 10-K, including our consolidated financial statements and related notes and the section titled “Management’s Discussion and Analysis of Financial Condition and Results of Operations” and “Special Note Regarding Forward-Looking Statements,” before you make an investment decision. Our actual results could differ materially from those anticipated in the forward-looking statements as a result of factors that are described below and elsewhere in this Annual Report on Form 10-K.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 New risks can emerge from time to time, and it is not possible to predict the impact that any factor or combination of factors may have on our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December 31, 2025, our cash and cash equivalents and marketable securities were $1,619.4 million. We have incurred net losses each year since our inception, and we had an accumulated deficit of $1,066.0 million as of December 31, 2025. For the years ended December 31, 2025, 2024 and 2023, we reported net losses of $311.4 million, $223.9 million and $147.0 million,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29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$1,619.4 million of cash and cash equivalents and marketable securities, which we expect will be sufficient to fund our operations into 2029.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STAT6 and IRF5 programs are in early clinical development with additional programs in preclinical development. If we are unable to advance our programs into and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preclinical results that supported IND clearance for KT-579, ongoing clinical trial of KT-621 and planned clinical trials of KT-485 and KT-579,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exceeded published data for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On December 18, 2025, for example,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we rely on third-party service providers and may have collaborators, investors, customers, or future commercial partners that receive U.S. government funding and could be subject to BIOSECURE-related restrictions. We regularly evaluate steps to mitigate any potential impact of any future expanded or modified legislation or regulatory or administrative actions towards foreign entities providing services to U.S. based companies. Depending on the terms of any final legislation or administrative actions that may be enacted, these steps could result in additional costs and potential delays in development timelines resulting from related transition efforts.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current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In December 2025 we received Fast Track Designation for KT-621 for atopic dermatitis and we may in the future pursue Fast Track Designation for additional uses or other candidates. Even if we receive Fast Track Designation for certain current or future product candidates, we may not experience a faster development process, review or approval compared to conventional FDA procedures. Additionally,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the Consolidated Appropriations Act, Congress provided FDA with additional authorities to help prevent such delays, including that FDA may, when appropriate, require a confirmatory study or studies to be underway prior to approval.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 are similar in principle to the U.S. – see the section of this Annual Report on Form 10-K entitled “Business - Government Regulation - Government Regulation of Drugs Outside of the United States” for additional information. In the EU,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and may continue to fluctuate as a result of these factors. In addition, government funding of the SEC and other government agencies on which our operations may rely, including those that fund research and development activities, is subject to the political process, which is inherently fluid and unpredictable. For example, the current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from federal government shutdowns like the one that occurred in October 2025, substantial leadership departures, personnel cuts, and policy changes, may also slow the time necessary for new drugs to be reviewed and/or approved, which would harm our business. These changes have been reported by some within the pharmaceutical industry as creating instances of in delays in the FDA’s responsiveness or in its ability to review IND submissions or applications, issue regulations or guidance, or implement or enforce regulatory requirements in a timely fashion or at all.</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 down occurs again or if the FDA, NIH, SEC or the USPTO experiences significant decreases in funding or personnel, it could significantly impact the ability of the FDA to issues licenses needed for conduct of our clinical trials, the NIH to conduct research or provide grants, and the abilities of the FDA and the USPTO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Additionally, the current administration could also issue or promulgate executive orders, regulations, policies or guidance that adversely affect us or create a more challenging or costly environment to pursue the development of new therapeutic candidates or delay the review or effectiveness of required regulatory or securities filings.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and FDA has discussed proposals to increase user fees for marketing applications containing certain foreign clinical data.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of this Annual Report on Form 10-K entitled, “Business - Government Regulation - Other Healthcare Laws” and the section of this Annual Report entitled, “Business - Government Regulation - Current and Future Healthcare Reform Legislation” for more information.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the section of this Annual Report on Form 10-K entitled, “Business - Government Regulation - Current &amp; Future Healthcare Reform Legislation” for more information.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this Annual Report on Form 10-K entitled “Business - Government Regulation - Other Regulatory Matters - Other Healthcare Laws” for additional information.</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restructuring of our operations, any of which could adversely affect our ability to operate our business and our results of operations.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and 2 trials of KT-621 and Phase 1 trial of KT-579,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 of the escalation of tariffs or other trade restrictions.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18, 2025, the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and from expending certain federal loan or grant funds for such equipment or services. While the BIOSECURE Act does not identify specific companies by name in the statutory text, it reflects continued U.S. government focus on limiting reliance on biotechnology providers with relationships to foreign adversaries that may pose national security risks. The BIOSECURE Act has not yet been fully implemented through final regulations, and the scope, interpretation, and enforcement of these restrictions remain uncertain.</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BIOSECURE-related restrictions, and any future legislative, regulatory, or administrative actions expanding or modifying these restrictions, could negatively impact U.S. companies and institutions that accept U.S. funding for projects that utilize biotechnology equipment or services produced or provided by certain biotechnology providers having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BIOSECURE-related restrictions could indirectly affect our collaborators, customers, investors, or suppliers that receive U.S. government funding, and we are currently evaluating steps to mitigate any potential impact of any future expanded or modified legislation or regulatory or administrative actions applicable to foreign entities providing services to U.S. based companies. Depending on the terms of the final BIOSECURE Act, its implementing regulations, or any related future actions,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jc w:val="both"/>
        <w:spacing w:after="0" w:line="266" w:lineRule="auto"/>
        <w:rPr>
          <w:sz w:val="20"/>
          <w:szCs w:val="20"/>
          <w:color w:val="auto"/>
        </w:rPr>
      </w:pPr>
      <w:r>
        <w:rPr>
          <w:rFonts w:ascii="Times New Roman" w:cs="Times New Roman" w:eastAsia="Times New Roman" w:hAnsi="Times New Roman"/>
          <w:sz w:val="18"/>
          <w:szCs w:val="18"/>
          <w:color w:val="auto"/>
        </w:rPr>
        <w:t>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we granted our collaboration partner Gilead an exclusive option for an exclusive license with respect to our CDK2 program, and future payments under our licensing arrangement with Gilead are contingent upon Gilead’s exercise of this option. In addition, Sanofi has significant discretion in determining the efforts and resources that it will apply to advance clinical trials of KT-485.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patent term adjustments,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the Unified Patent Court, or UPC, or in other countries or jurisdictions.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Risks Related to Patent Protection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t>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impaired or delayed, which could in turn significantly harm our business. Even if we obtain a license, it may be nonexclusive, thereby giving our competitors access to the same technologies licensed to us.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Brian Adams, our Chief Legal Officer, Jeremy Chadwick, our Chief Operating Officer and Noah Goodman, our Chief Business Officer, as well as the other principal members of our management, scientific and clinical teams.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ability to attract new personnel may be impacted by restrictions on travel, changes to immigration policy or the availability of work visas under the current administration. If we are unable to continue to attract and retain high quality personnel, our ability to pursue our growth strategy will be limited.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had 238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jc w:val="both"/>
        <w:spacing w:after="0" w:line="256" w:lineRule="auto"/>
        <w:rPr>
          <w:sz w:val="20"/>
          <w:szCs w:val="20"/>
          <w:color w:val="auto"/>
        </w:rPr>
      </w:pPr>
      <w:r>
        <w:rPr>
          <w:rFonts w:ascii="Times New Roman" w:cs="Times New Roman" w:eastAsia="Times New Roman" w:hAnsi="Times New Roman"/>
          <w:sz w:val="18"/>
          <w:szCs w:val="18"/>
          <w:color w:val="auto"/>
        </w:rPr>
        <w:t>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employee error or malfeasance, industrial espionage, wire fraud and other forms of cyber fraud, the deployment of harmful malware, denial-of-service, social engineering (including successful phishing attacks) or other means to threaten data security, confidentiality, integrity and availability. These attacks and activity are also being facilitated or enhanced by evolving technologies, including artificial intelligence.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incidents or breaches that would result in business, legal, financial or reputational harm to us, or would have a material adverse effect on our results of operations and financial condition. Attempts to disrupt or gain unauthorized access to our and our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third-party vendors’ information systems from malicious third parties or insider threats may incorporate widely varying and frequently changing tactics, which may be enhanced or facilitated by artificial intelligence.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service providers have experienced and may in the future experience cyberattacks and other attempts to disrupt or gain unauthorized access to our and our third-party vendors’ information systems.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data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security incident or data breach.</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10-K,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The EU and U.S. have adopted its adequacy decision for the EU-U.S. Data Privacy Framework, or Framework, which entered into force on July 11, 2023. This Framework provides that the protection of personal data transferred between the EU and the United States is comparable to that offered in the EU. This provides a further avenue to ensuring transfers 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the United States are carried out in line with GDPR. There has been an extension to the Framework to cover UK transfers to the United States. The Framework could be challenged like its predecessor frameworks. Any inability to transfer personal data from the UK or EEA to the United States in compliance with data protection laws may impede our operations and may adversely affect our business and financial position.</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now issued an adequacy decision recognizing the UK as providing adequate protection under the EU GDPR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Like the EU GDPR, the UK GDPR restricts personal data transfers outside the UK to countries not regarded by the UK as providing adequate protection.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 These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more than a dozen states will make our compliance obligations more complex and costly and may increase the likelihood that we may be subject to enforcement actions or otherwise incur liability for noncompliance.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States are also putting in place laws that apply additional protections specifically to health information. For example,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Connecticut and Nevada have also passed similar laws regulating consumer health data. In addition, other states have proposed or passed legislation that regulates the privacy and security of certain specific types of information. For example, a small number of states have passed laws that regulate biometric data specifically.</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federal regulators are imposing new and heightened protections for health and other sensitive information that could impact our business. For example, the FTC has imposed stringent requirements on the collection and disclosure of sensitive categories of personal information, including health information, and has expanded the application of its Health Breach Notification Rule. Further, through executive and legislative action, the federal government restricts data transactions involving certain sensitive data categories – including health data, genetic data, and biospecimens – with persons affiliated with China, Russia, and other countries of concern, including through the Department of Justice’s January 8, 2025, rule on “Preventing Access to U.S. Sensitive Personal Data and Government-Related Data by Countries of Concern or Covered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Persons”. The rule also prohibits covered businesses from engaging in certain investment agreements, employment agreements or vendor agreements involving such data and countries of concern, absent specified cybersecurity controls. Actual or alleged violations of these laws and regulations may be punishable by criminal and/or civil sanctions, result in exclusion from participation in federal and state programs or restrict our ability to use certain vendors, sites, investigators, or service providers in global clinical trials.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 opportunities for enhanced productivity and innovation, they also introduce cybersecurity, data privacy, IT, intellectual property, regulatory, legal, operational, competitive, reputational and other risks that could adversely impact our business and reputation. Specifically, risks related to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design, develop, test and maintain our products and services to help ensure that AI is implemented in accordance with applicable laws and regulations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compromises to proprietary intellectual property and intellectual property infringement.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evolving regulatory landscape surrounding AI also poses a risk, as new laws and regulations could impose additional compliance burdens, resulting in increased operational costs to comply with U.S. and non-U.S. laws concerning the use of AI. We expect to see increasing regulation related to AI use and ethics, which may also significantly increase the burden and cost of research, development and compliance in this area. For example, the EU’s Artificial Intelligence Act (“AI Act”) entered into force on August 1, 2024, and, with some exceptions, will become fully effective in August 2026. As enacted, the AI Act imposes significant obligations on providers and deployers of high-risk AI systems and general purpose AI models and encourages providers and deployers to account for EU ethical principles when developing and using AI technology.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Likewise,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Various federal and state regulators have also issued guidance and focused enforcement efforts on the use of AI in regulated sectors, such as healthcare. The U.S. Food and Drug Administration, for example, issued guidance on the use of AI in medical devices, requiring detailed risk management and review processes to obtain approvals. If we develop or use AI systems that are governed by these laws or regulations we will need to meet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 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jc w:val="both"/>
        <w:spacing w:after="0" w:line="255" w:lineRule="auto"/>
        <w:rPr>
          <w:sz w:val="20"/>
          <w:szCs w:val="20"/>
          <w:color w:val="auto"/>
        </w:rPr>
      </w:pPr>
      <w:r>
        <w:rPr>
          <w:rFonts w:ascii="Times New Roman" w:cs="Times New Roman" w:eastAsia="Times New Roman" w:hAnsi="Times New Roman"/>
          <w:sz w:val="18"/>
          <w:szCs w:val="18"/>
          <w:color w:val="auto"/>
        </w:rPr>
        <w:t>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agreements with Sanofi and Gilead;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current administration, military conflict, including the ongoing conflicts between Russia and Ukraine, and in the Middle East,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For example, 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the raw materials and other products necessary for the manufacture and formulation of our product candidates.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3" w:name="page84"/>
    <w:bookmarkEnd w:id="83"/>
    <w:p>
      <w:pPr>
        <w:jc w:val="both"/>
        <w:ind w:firstLine="587"/>
        <w:spacing w:after="0" w:line="254" w:lineRule="auto"/>
        <w:rPr>
          <w:sz w:val="20"/>
          <w:szCs w:val="20"/>
          <w:color w:val="auto"/>
        </w:rPr>
      </w:pPr>
      <w:r>
        <w:rPr>
          <w:rFonts w:ascii="Times New Roman" w:cs="Times New Roman" w:eastAsia="Times New Roman" w:hAnsi="Times New Roman"/>
          <w:sz w:val="18"/>
          <w:szCs w:val="18"/>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the existing holdings of our executive officers, directors, principal stockholders and their affiliates represent beneficial ownership, in the aggregate, of approximately 29%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approximately 15,815,253 shares of our common stock were reserved for issuance upon exercise of pre-funded warrants. Additionally, 10,348,903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As of the date hereof, we are obligated to register approximately 29.7 million shares of our common stock pursuant to certain resale registration rights granted to entities affiliated with members of our board of directors.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our prior sales agreement, or Cowen Sales Agreement, with Cowen and Company, LLC, or Cowen, we had the ability to offer and sell up to an aggregate amount of $250.0 million of our common stock from time to time in “at-the-market” offerings, subject to the limitations thereof. From October 1, 2021 through the date of its termination in October 2024, we sold 1,519,453 shares of common stock through the Cowen Sales Agreement for an aggregate of approximately $50 million.</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Jefferies Sales Agreement.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For example, the One Big Beautiful Bill Act, or the OBBBA, was signed into law on July 4, 2025 and made significant changes to the U.S. federal tax law.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Internal Revenue Code of 1986, as amended, or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$571.6 million and $607.5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2025, we also had federal and state research and development tax credit carryforwards of $40.0 million and $18.6 million, respectively, which begin to expire in 2032. These net operating loss and tax credit carryforwards could expire unused and be unavailable to offset future income tax liabilities. In addition, in general, under Sections 382 and 383 of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7" w:name="page88"/>
    <w:bookmarkEnd w:id="87"/>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current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start of the current administration in 2025, there have been significant changes to U.S. trade, healthcare, immigration and government regulatory policy and additional changes are likely.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Risk Management and Strategy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Kymera uses, stores and processes data for and about our research programs, clinical trials, employees, and suppliers. We have developed and maintain an information security program designed to assess, identify, and manage risks from cybersecurity threats, including to our data and systems. We conduct periodic assessments of our assets, including internal and external security testing, as part of our risk management process and to evaluate the effectiveness of applicable security controls. These assessments are informed by industry standards. Our cybersecurity risk management process is a part of our overall risk management program. We also have an employee education program that includes training designed to raise awareness of cybersecurity threats. We have adopted an Incident Response Policy that outlines the legal and governance process for identifying and managing material cyber risks to our information and information systems and our framework for assessing and responding to cyber incidents, as applicable.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and we do not believe they are reasonably likely to materially affect, us, our business strategy, results of operations or financial condition, we could, from time to time, experience threats and communicate security incidents relating to our and our third-party vendors’ information systems. For more information, please see Item 1A-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ultimate direction of the Chief Executive Officer (CEO) and our executive management team, the Cybersecurity Supervisory Committee (CSSC) has primary responsibility for overseeing our management of cybersecurity risks. Members of the CSSC include the Chief Financial Officer (CFO); the Chief Legal Officer (CLO); and the Head of Information Technology (IT). Additional members of the ET may be asked to support specific incidents as deemed appropriate by the CSSC. The CSSC meets as circumstances warrant to review and update incident response procedures and to provide oversight of incident response activities of the Cyber Security Incident Response Team.</w:t>
      </w:r>
    </w:p>
    <w:p>
      <w:pPr>
        <w:spacing w:after="0" w:line="1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head of information technology and the CSSC have primary responsibility for assessing and managing our cybersecurity program. The head of information technology, who reports to the Chief Financial Officer, has more than 25 years of experience in building and leading information technology and security teams.</w:t>
      </w:r>
    </w:p>
    <w:p>
      <w:pPr>
        <w:spacing w:after="0" w:line="9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board of directors has ultimate oversight of our risk management program and has delegated oversight of that program, including, oversight of cybersecurity, to the audit committee of the board of directors. The head of Information Technology presents to the audit committee periodically regarding cybersecurity matters. The CFO and the CLO, in partnership with the CEO, are responsible for informing the audit committee in the event of any material cybersecurity incidents and any potential disclosure obligations arising from such incidents.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occupy approximately 100,624 square feet of office and laboratory space in Watertown, Massachusetts under a lease that expires in March 2035. We have two options to extend the lease term, each for five additional years at then-market rates. Additionally, we currently lease approximately 34,522 rentable square feet of extra office and laboratory space in Watertown, Massachusetts under a lease that expires in March 2030 that we are not currently occupying. We intend to sublease and are actively marketing the original space to third parties. We believe that our office and laboratory space is sufficient to meet our current needs and that suitable additional space will be available as and when needed on commercially reasonable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Certain Information Regarding the Trading of Our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trades under the symbol “KYMR” on the Nasdaq Global Select Market and has been publicly traded since August 21,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time, there was no public market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2020, through December 31, 2025, of the cumulative total return on an assumed investment of $100.00 in cash in our common stock, the NASDAQ Composite Index and the NASDAQ Biotechnology Index for the same period. Such returns are based on historical results and are not intended to suggest future performance. Data for the NASDAQ Composite Index and the NASDAQ Biotechnology Index assume reinvestment of dividends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Among Kymera Therapeutics,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184785</wp:posOffset>
            </wp:positionV>
            <wp:extent cx="5109210" cy="4088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0921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December 31, 2020 in stock and indices, including reinvestment of dividends.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Securities and Exchange Commission for purposes of Section 18 of the Securities and Exchange Act of 1934, as amended, or otherwise subject to the liabilities under that Section, and shall not be deemed incorporated by reference into any of our filings under the Securities Act of 1933 or the Securities Exchange Act of 1934, except to the extent we specifically incorporate it by reference into such a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20, 2026, there were approximately 10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related notes appearing elsewhere in this Annual Report on Form 10-K. Some of the information contained in this discussion and analysis and set forth elsewhere in this Annual Report on Form 10-K, including information with respect to our plans and strategy for our business, includes forward-looking statements that involve risks and uncertainties. You should review the section titled “Risk Factors” in Part I,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oral medicines that address significant health problems and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unique potential to address diseases that are poorly served by current treatment options. To date, we have progressed multiple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discovery and development efforts are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moderate to severe inflammatory diseases, are currently treated with systemic advanced therapies, mostly injectable biologics. While generally efficacious, biologics have drawbacks. Biologics tend to be more expensive to manufacture, and the cost burden ultimately falls on patients and payors. Patient access to therapy can also be a challenge, as biologics can be more complex to prescribe and reimburse than small molecule medicines. Additionally, biologics are administered as injections - which may result in injection site reactions or pain - a less preferred route of administration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a daily, oral pill.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and recently initiated the BROADEN2 Phase 2b clinical trial in adult and adolescent patients with moderate to severe Atopic Dermatitis (AD) and the BREADTH Phase 2b clinical trial in adult patients with moderate to severe asthma. We are also developing KT-579 as part of our oral IRF5 degrader program, and we recently initiated a Phase 1 clinical trial in healthy volunteers. We are collaborating with Sanofi S.A. (“Sanofi”) on the development of our IRAK4 degrader, KT-485/SAR447971, which Sanofi plans to advance into clinical testing in 2026. In June 2025, we announced a strategic collaboration with Gilead Sciences, Inc. (“Gilead”) to develop novel oral molecular glue degraders for CDK2. Our additional early undisclosed pipeline programs focus on addressing high impact targets that have been elusive to conventional modalities and that drive the pathogenesis of multiple serious diseases with significant unmet medical needs.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therapies leveraging small-molecule modalities in addition to TPD.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$2.75 billion from sales of our convertible preferred stock, the sale of common stock including our August 2020 initial public offering, or IPO, and concurrent private placement, our subsequent follow-on offerings and private placement offering, our prior sales agreement with Cowen and through our corporate collaborations.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$311.4 million, $223.9 million and $147.0 million for the years ended December 31, 2025, 2024 and 2023, respectively. In addition, as of December 31, 2025 and 2024, we had an accumulated deficit of $1,066.0 million and $754.6 million, respectively. We expect that our expense and capital requirements will increase substantially in connection with our ongoing activities, particularly if and as we:</w:t>
      </w:r>
    </w:p>
    <w:p>
      <w:pPr>
        <w:spacing w:after="0" w:line="75"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$1,619.4 million. We believe the existing cash, cash equivalents and marketable securities on hand will be sufficient to fund our operations into 2029. We have based this estimate on assumptions that may prove to be wrong, and we could exhaust our available capital resources sooner than we expect. See “Liquidity and capital resources”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Pharmaceuticals Incorporated, or Vertex,, Sanofi and Gilead.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r>
        <w:rPr>
          <w:rFonts w:ascii="Times New Roman" w:cs="Times New Roman" w:eastAsia="Times New Roman" w:hAnsi="Times New Roman"/>
          <w:sz w:val="21"/>
          <w:szCs w:val="21"/>
          <w:color w:val="auto"/>
        </w:rPr>
        <w: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Original Sanofi Agreement, with Genzyme Corporation, a subsidiary of Sanofi, to co-develop drug candidates directed to two biological targets. The Original Sanofi Agreement became effective during the third quarter of 2020.</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The Original Sanofi Agreement, as amended by the Amended Sanofi Agreement, is referred to herein as the Sanofi Agreement.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immune-oncology.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Sanofi Agreement, with respect to both targets we are responsible for discovery and preclinical research and conducting a phase 1 clinical trial for at least one degrader directed against IRAK4 plus up to three back up degraders, the costs of which will be borne by us, except in certain circumstances. With respect to both targets, Sanofi is responsible for development, manufacturing, and commercialization of product candidates after a specified development milestone occurs with respect to each collaboration candidate.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us an exclusive option, or Opt-In Right, exercisable, at our sole discretion,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our Opt-In Right, Sanofi will grant to us an exclusive option, applicable to each collaboration target, which upon exercise will allow us to conduct certain co-promotion activities in the field in the United States.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2022, Sanofi provided us with written notice of its intention to take KT-474 into Phase 2 clinical trials. In the fourth quarter of 2023, we achieved two milestones of $40.0 million and $15.0 million relating to the dosing of the first patient in the Phase 2 clinical trial for the first and second indications, respectively. In the first quarter of 2025, we achieved a development milestone related to certain preclinical activities associated with the IRAK4 program. In connection with this milestone we unconstrained $20.0 million of consideration in the first quarter of 2025. All milestone payments have been received as of December 31, 2025.</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stopped development of KT-474. In connection with the IRAK4 program, we remain eligible to receive up to $975 million in development and commercial milestones upon the achievement of certain developmental or regulatory events and upon the achievement of certain net sales thresholds.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we mutually agreed to cease activities related to the undisclosed target and we are no longer eligible for the milestone and royalty payments associated with the second target.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we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we are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our company.</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we received a non-refundable upfront payment of $40.0 million. In addition, if Gilead exercises the option, we are entitled to receive an option exercise payment of $45.0 million and will be eligible to receive up to $665.0 million upon the achievement of certain development, regulatory and commercial milestones. We are also eligible to receive tiered royalties on net sales by Gilead ranging from high single-digit to mid-teen percentages, subject to customary reductions in certain circumstances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7" w:name="page98"/>
    <w:bookmarkEnd w:id="97"/>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legal, corporate and business development, and administrative functions. General and administrative expenses also include legal fees relating to patent and corporate matters, professional fees for accounting, auditing, tax and administrative consulting services, insurance costs, facilities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jc w:val="center"/>
        <w:ind w:left="720" w:right="120"/>
        <w:spacing w:after="0" w:line="407" w:lineRule="auto"/>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76,320</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0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(349,399)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(261,635)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(87,764)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(311,351)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(223,858)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(87,493)</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obligations,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revenues were $39.2 million for the year ended December 31, 2025, of which $33.6 million and $5.6 million were attributable to our collaboration agreements with Sanofi and Gilead, respectively. Collaboration revenues were $47.1 million for the year ended December 31, 2024, the entirety of which was attributable to our collaboration agreement with Sanofi. The decrease in revenue is primarily attributable to the satisfaction of the performance obligation under the Sanofi agreement in the second quarter of 2025, offset by revenue related to the Gilead agreement.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separately included in the table below prior to the year they are disclosed):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76,320</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$316.6 million for the year ended December 31, 2025, compared to $240.2 million for the year ended December 31, 2024. The increase of $76.3 million was primarily due to an increase of $46.8 million in costs related to our STAT6 program, and increases of $14.4 million and $8.0 million, respectively, in personnel and stock-based compensation, and occupancy and overhead costs due to increases in employee headcount.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$68.2 million for the year ended December 31, 2025, compared to $63.5 million for the year ended December 31, 2024. The $4.7 million increase was primarily due to a $3.7 million increase in employee compensation and occupancy costs, inclusive of stock-based compensation due to increases in employee headcount, and a $1.0 million increase in legal and professional services expenses to support our operations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Impairment of long-lived assets was $3.9 million for the year ended December 31, 2025, compared to $4.9 million for year ended December 31, 2024. The decrease of $1.0 million was a result of the relative carrying values of the underlying asset that was impaired relative to the expected future cash flows.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Other income, net was $38.0 million for the year ended December 31, 2025, compared to $37.8 million for the year ended December 31, 2024. The $0.2 million increase was primarily due to the increase in our investments balance as a result of 2025 financing activities offset by a decrease in prevailing interest rates in the respective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(31,520)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51,167</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308,707</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tcBorders>
              <w:top w:val="single" w:sz="8" w:color="CFF0FC"/>
            </w:tcBorders>
          </w:tcPr>
          <w:p>
            <w:pPr>
              <w:spacing w:after="0"/>
              <w:rPr>
                <w:sz w:val="18"/>
                <w:szCs w:val="18"/>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(261,635)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(165,530)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(96,105)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Pr>
          <w:p>
            <w:pPr>
              <w:spacing w:after="0"/>
              <w:rPr>
                <w:sz w:val="18"/>
                <w:szCs w:val="18"/>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(223,858)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(146,962)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(76,896)</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-590550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-590550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obligations,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revenues were $47.1 million for the year ended December 31, 2024, the entirety of which was attributable to our collaboration agreement with Sanofi. Collaboration revenues were $78.6 million for the year ended December 31, 2023, of which $8.4 million and $70.2 million were attributable to our collaboration agreements with Vertex and Sanofi, respectively. The decrease in revenue is primarily attributable to the achievement of $55 million in milestones under the Sanofi agreement in the fourth quarter of 2023 and the associated cumulative catch-up of revenue at that 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0" w:name="page101"/>
    <w:bookmarkEnd w:id="100"/>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separately included in the table below prior to the year they are disclosed):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(9,719)</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tcPr>
          <w:p>
            <w:pPr>
              <w:spacing w:after="0"/>
              <w:rPr>
                <w:sz w:val="18"/>
                <w:szCs w:val="18"/>
                <w:color w:val="auto"/>
              </w:rPr>
            </w:pPr>
          </w:p>
        </w:tc>
      </w:tr>
      <w:tr>
        <w:trPr>
          <w:trHeight w:val="23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6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240,248</w:t>
            </w:r>
          </w:p>
        </w:tc>
        <w:tc>
          <w:tcPr>
            <w:tcW w:w="2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189,081</w:t>
            </w:r>
          </w:p>
        </w:tc>
        <w:tc>
          <w:tcPr>
            <w:tcW w:w="52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51,167</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$240.2 million for the year ended December 31, 2024, compared to $189.1 million for the year ended December 31, 2023. The increase of $51.2 million was primarily due to an increase of $30.1 million in costs related to our clinical and preclinical programs, and increases of $10.9 million and $10.1 million respectively in personnel and stock-based compensation costs, and occupancy and overhead costs due to increases in employee headcount.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$63.5 million for the year ended December 31, 2024, compared to $55.0 million for the year ended December 31, 2023. The $8.5 million increase was primarily due to a $7.0 million increase in personnel, stock-based compensation and occupancy costs due to increases in employee headcount, and a $1.5 million increase in legal and professional services expenses to support our operations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Impairment of long-lived assets was $4.9 million for the year ended December 31, 2024, compared to $0 for year ended December 31, 2023. The increase of $4.9 million was as a result of the occupancy of the 2021 Lease facility in February of 2024 and the corresponding exit of the 2019 Lease facility, resulting in an impairment charge of $4.9 million in the year ended December 31,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Other income, net was $37.8 million for the year ended December 31, 2024, compared to $18.6 million for the year ended December 31, 2023. The $19.2 million increase was primarily due to the increase in our investments balance as a result of 2024 financing activities as well as prevailing interest rates in the respective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$2.75 billion from sales of our convertible preferred stock, the sale of common stock including our August 2020 initial public offering, or IPO, and concurrent private placement, our follow-on offerings and private placement offering, our prior sales agreement with Cowen, and through our corporate collaborations. As of December 31, 2025, we had cash and cash equivalents and marketable securities of $1,619.4 million.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1" w:name="page102"/>
    <w:bookmarkEnd w:id="10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Through October 30, 2024, we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19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Jefferies Sales Agreement. As of December 31, 2025, we have not sold any shares of common stock under the Jefferies Sales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(232,891)</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(194,501)</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(102,826)</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(521,061)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990,713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608,851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236,761</w:t>
            </w:r>
          </w:p>
        </w:tc>
        <w:tc>
          <w:tcPr>
            <w:tcW w:w="14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$232.9 million of cash, primarily resulting from our net loss of $311.4 million during the period. These were partially offset by a $15.3 million net decrease in other operating assets and liabilities primarily driven by changes in deferred revenue, accounts payable, accrued expenses, operating lease liabilities as well as adjustments for non-cash items of $63.2 million (primarily consisting of stock-based compensation, lease impairment charge, depreciation &amp; amortization and premiums &amp; discounts on available-sale-securities).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$194.5 million of cash, primarily resulting from our net loss of $223.9 million during the period and a $41.1 million decrease in deferred revenue under our collaboration agreements. These were partially offset by a $17.2 million net decrease in other operating assets and liabilities primarily driven by changes in accounts receivable, accounts payable, accrued expenses, operating lease liabilities as well as adjustments for non-cash items of $53.3 million (primarily consisting of stock-based compensation, lease impairment charge, depreciation &amp; amortization and premiums &amp; discounts on available-sale-securities).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$102.8 million of cash, primarily resulting from our net loss of $147.0 million during the period and a $8.6 million decrease in deferred revenue under our collaboration agreements. These were offset by a $11.2 million net decrease in other operating assets and liabilities primarily driven by changes in accounts receivable, accounts payable, accrued expenses, operating lease liabilities as well as adjustments for non-cash items of $41.5 million (primarily consisting of stock-based compensation, depreciation &amp; amortization and premiums &amp; discounts on available-sale-securities).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(used in) Investing Activities</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cash used in investing activities was $521.1 million comprised of purchases of marketable securities of $1,007.6 million and purchases of property and equipment of $1.5 million partially offset by maturities of marketable securities of $488.0 million.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used in investing activities was $404.1 million comprised of purchases of marketable securities of $901.2 million and purchases of property and equipment of $12.8 million partially offset by maturities of marketable securities of $509.9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provided by investing activities was $139.9 million comprised of maturities of marketable securities of $363.5 million partially offset by purchases of marketable securities of $189.2 million and purchases of property and equipment of $34.4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$990.7 million, consisting of $928.9 million in proceeds from issuance of common stock and accompanying pre-funded warrants, net of offering costs, $61.6 million in proceeds from the exercise of employee stock options, $1.7 million from proceeds from the employee stock purchase plan, partially offset by finance lease payments of $1.5 million.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$608.9 million, consisting of $547.9 million in proceeds from issuance of common stock and accompanying pre-funded warrants, net of offering costs, $48.7 million in proceeds from the issuance of common stock through the Cowen Sales Agreement, net of issuance costs, $11.8 million in proceeds from the exercise of employee stock options, $2.0 million from proceeds from the employee stock purchase plan, partially offset by finance lease payments of $1.6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$4.2 million, primarily consisting of $2.9 million in proceeds from the exercise of employee stock options, $1.4 million in proceeds from the issuance of shares under our employee stock purchase partially offset by finance lease payments of $0.1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33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$1,619.4 million as of December 31, 2025, will be sufficient to fund our operations into 2029. We have based this estimate on assumptions that may prove to be wrong, and we could use our capital resources sooner than we currently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our weighted average common stock outstanding and earnings per share. Due to the minimal exercise price, we do not anticipate significant additional cash proceeds upon exercise and consequently does not expect the exercise of these warrants to materially affect its liquidity, capital resources, or overall financial condition.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primarily include those related to our lease commitments.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lease commitments reflect payments due for our two lease agreements for laboratory and office space in Watertown, Massachusetts that expire in March of 2030 and 2035, respectively. As of December 31, 2025, our contractual commitments for our leases were $112.8 million, which will be paid over the term of such leases. For additional information on our leases and timing of future payments, please read Note 7, Leases, to the consolidated financial statements included in this Annual Report on Form 10-K.</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preclinical research studies, and testing,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These payments have not been included separately within these contractual and other obligations disclosures.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or GAAP, in the United States. The preparation of our consolidated financial statements and related disclosures requires us to make estimates and judgments that affect the reported amounts of assets,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we believe that the following accounting policies are those most critical to the judgments and estimates used in the preparation of our consolidated financial statements.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18"/>
          <w:szCs w:val="18"/>
          <w:color w:val="auto"/>
        </w:rPr>
        <w:t>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each reporting date, we calculate the measure of progress for the performance obligations transferred over time. The calculation generally uses an input measure based on costs incurred to-date relative to estimated total costs to complete the transfer of the performance obligation. The measurement of progress is then used to calculate the total revenue earned, including any cumulative catch-up adjustment.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Contract Costs and Accruals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9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our clinical trials and preclinical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w:t>
      </w:r>
    </w:p>
    <w:p>
      <w:pPr>
        <w:spacing w:after="0" w:line="131"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We base the expense recorded related to external research and development on our estimates of the services received and efforts expended pursuant to quotes and contracts with multiple CMOs and CROs that supply, conduct and manage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Equity-Based Compensation Expense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measure equity-based awards granted to employees, directors, and nonemployees based on their fair value on the date of the grant and recognize compensation expense for those awards over the requisite service period, which is generally the vesting period of the respective award. The equity-based payments include grants of stock options and restricted stock units. The measurement date for equity awards is the date of grant, and equity-based compensation costs are recognized as expense over the requisite service period, which is the vesting period, on a straight-line basis.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Expected volatility is calculated based on reported volatility data for a representative group of publicly traded companies for which historical information is available. We select companies with comparable characteristics to us with historical share price information that approximates the expected term of the equity-based awards. We compute the historical volatility data using the daily closing prices for the selected companies’ shares during the equivalent period that approximates the calculated expected term of our stock options. We will continue to apply this method until a sufficient amount of historical information regarding the volatility of our stock price becomes available. The risk-free interest rate is based on the U.S. Treasury yield curve in effect at the time of grant commensurate with the expected term assumption. We use the simplified method, under which the expected term is presumed to be the midpoint between the vesting date and the end of the contractual term. We utilize this method due to lack of historical exercise data. The expected dividend yield is assumed to be zero as we have no current plans to pay any dividends on common stock.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6" w:name="page107"/>
    <w:bookmarkEnd w:id="10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performance conditions included in certain of our restricted stock units and stock options that are based upon the achievement of pre-specified clinical development milestones. As the outcome of each event has inherent risk and uncertainties, and a positive outcome may not be known until the event is achieved, we begin to recognize the grant-date fair value of the performance-based restricted stock awards when we determine the achievement of each performance condition is deemed probable, a determination which requires significant judgment by management. On the date the performance condition is deemed probable, we record a cumulative expense catch-up, with remaining expense amortized over the remaining service period. We reassess the probability of achievement at each reporting period and adjust cumulative expense as necessary.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December 31, 2025,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U.S. government has imposed tariffs on certain foreign goods from a variety of countries and regions that it perceives as engaging in unfair trade practices. Tariffs on certain foreign origin goods continue to put pressure on input costs. If we become unable to recover a substantial portion of any increased tariff related costs from our customers, suppliers, collaborators or other third parties, the imposition of the new or increased international tariffs could materially and adversely affect our business, financial condition and results of operations. We will continue to monitor international trade policy and will make adjustments where possible to mitigate the impact on our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720" w:type="dxa"/>
            <w:vAlign w:val="bottom"/>
            <w:gridSpan w:val="8"/>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360" w:type="dxa"/>
            <w:vAlign w:val="bottom"/>
          </w:tcPr>
          <w:p>
            <w:pPr>
              <w:spacing w:after="0"/>
              <w:rPr>
                <w:sz w:val="20"/>
                <w:szCs w:val="20"/>
                <w:color w:val="auto"/>
              </w:rPr>
            </w:pPr>
          </w:p>
        </w:tc>
      </w:tr>
      <w:tr>
        <w:trPr>
          <w:trHeight w:val="392"/>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(Public Company Accounting Oversight Board ID: 42)</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4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top w:val="single" w:sz="8" w:color="0000FF"/>
              <w:bottom w:val="single" w:sz="8" w:color="0000EE"/>
            </w:tcBorders>
          </w:tcPr>
          <w:p>
            <w:pPr>
              <w:spacing w:after="0"/>
              <w:rPr>
                <w:sz w:val="24"/>
                <w:szCs w:val="24"/>
                <w:color w:val="auto"/>
              </w:rPr>
            </w:pPr>
          </w:p>
        </w:tc>
        <w:tc>
          <w:tcPr>
            <w:tcW w:w="3540" w:type="dxa"/>
            <w:vAlign w:val="bottom"/>
            <w:tcBorders>
              <w:top w:val="single" w:sz="8" w:color="0000FF"/>
            </w:tcBorders>
            <w:gridSpan w:val="4"/>
          </w:tcPr>
          <w:p>
            <w:pPr>
              <w:spacing w:after="0"/>
              <w:rPr>
                <w:sz w:val="24"/>
                <w:szCs w:val="24"/>
                <w:color w:val="auto"/>
              </w:rPr>
            </w:pPr>
          </w:p>
        </w:tc>
        <w:tc>
          <w:tcPr>
            <w:tcW w:w="1660" w:type="dxa"/>
            <w:vAlign w:val="bottom"/>
            <w:gridSpan w:val="2"/>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F-4</w:t>
            </w:r>
          </w:p>
        </w:tc>
      </w:tr>
      <w:tr>
        <w:trPr>
          <w:trHeight w:val="412"/>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2024 and 2023</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7640" w:type="dxa"/>
            <w:vAlign w:val="bottom"/>
            <w:tcBorders>
              <w:top w:val="single" w:sz="8" w:color="0000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1120" w:type="dxa"/>
            <w:vAlign w:val="bottom"/>
            <w:tcBorders>
              <w:top w:val="single" w:sz="8" w:color="0000FF"/>
            </w:tcBorders>
            <w:gridSpan w:val="2"/>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6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2920" w:type="dxa"/>
            <w:vAlign w:val="bottom"/>
            <w:gridSpan w:val="4"/>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F-9</w:t>
            </w:r>
          </w:p>
        </w:tc>
      </w:tr>
      <w:tr>
        <w:trPr>
          <w:trHeight w:val="776"/>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ind w:left="2700"/>
        <w:spacing w:after="0"/>
        <w:rPr>
          <w:sz w:val="20"/>
          <w:szCs w:val="20"/>
          <w:color w:val="auto"/>
        </w:rPr>
      </w:pPr>
      <w:r>
        <w:rPr>
          <w:rFonts w:ascii="Times New Roman" w:cs="Times New Roman" w:eastAsia="Times New Roman" w:hAnsi="Times New Roman"/>
          <w:sz w:val="17"/>
          <w:szCs w:val="17"/>
          <w:b w:val="1"/>
          <w:bCs w:val="1"/>
          <w:color w:val="333333"/>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Kymera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2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Kymera Therapeutics,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3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 Gilead Arrangement</w:t>
            </w:r>
          </w:p>
        </w:tc>
        <w:tc>
          <w:tcPr>
            <w:tcW w:w="0" w:type="dxa"/>
            <w:vAlign w:val="bottom"/>
          </w:tcPr>
          <w:p>
            <w:pPr>
              <w:spacing w:after="0"/>
              <w:rPr>
                <w:sz w:val="1"/>
                <w:szCs w:val="1"/>
                <w:color w:val="auto"/>
              </w:rPr>
            </w:pPr>
          </w:p>
        </w:tc>
      </w:tr>
      <w:tr>
        <w:trPr>
          <w:trHeight w:val="214"/>
        </w:trPr>
        <w:tc>
          <w:tcPr>
            <w:tcW w:w="1840" w:type="dxa"/>
            <w:vAlign w:val="bottom"/>
            <w:vMerge w:val="continue"/>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discussed in Note 5 to the consolidated financial statements for the Gilead Agreement, the Company recognizes revenue</w:t>
            </w:r>
          </w:p>
        </w:tc>
        <w:tc>
          <w:tcPr>
            <w:tcW w:w="0" w:type="dxa"/>
            <w:vAlign w:val="bottom"/>
          </w:tcPr>
          <w:p>
            <w:pPr>
              <w:spacing w:after="0"/>
              <w:rPr>
                <w:sz w:val="1"/>
                <w:szCs w:val="1"/>
                <w:color w:val="auto"/>
              </w:rPr>
            </w:pPr>
          </w:p>
        </w:tc>
      </w:tr>
      <w:tr>
        <w:trPr>
          <w:trHeight w:val="218"/>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associated with each performance obligation as the research and development services are provided using an input method,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according to costs incurred related to the research and development activities for each individual program and the costs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expected to be incurred in the future to satisfy that individual performance obligation. The amounts received that have not yet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been recognized as revenue are deferred as a contract liability on the Company’s consolidated balance sheet. For the year ended</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2025, the Company has recognized $5.6 million in Gilead Agreement collaboration revenue.</w:t>
            </w: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4"/>
                <w:szCs w:val="24"/>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the Company's accounting for revenues from this collaboration arrangement was complex and required significant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judgments primarily in evaluating estimates of the total expected costs under the input method for revenue recognized over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Auditing the progress toward completion of this collaboration arrangement was especially challenging because it involves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subjective management assumptions used in estimating the remaining research and development costs necessary to satisfy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obligation. The calculation of the total remaining estimated research and development cost includes forecasted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associated with internal employee efforts, materials costs, and third-party contract costs. The recognition of revenue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pursuant to this collaboration arrangement is subject to these judgments made and estimates developed by management and is</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sensitive to changes in these assumptions.</w:t>
            </w:r>
          </w:p>
        </w:tc>
        <w:tc>
          <w:tcPr>
            <w:tcW w:w="0" w:type="dxa"/>
            <w:vAlign w:val="bottom"/>
          </w:tcPr>
          <w:p>
            <w:pPr>
              <w:spacing w:after="0"/>
              <w:rPr>
                <w:sz w:val="1"/>
                <w:szCs w:val="1"/>
                <w:color w:val="auto"/>
              </w:rPr>
            </w:pPr>
          </w:p>
        </w:tc>
      </w:tr>
      <w:tr>
        <w:trPr>
          <w:trHeight w:val="331"/>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evaluated and tested the design and operating effectiveness of internal controls over the Company’s process for developing</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estimate, including controls to assess the completeness and accuracy of the data that supports management’s estimates.</w:t>
            </w:r>
          </w:p>
        </w:tc>
        <w:tc>
          <w:tcPr>
            <w:tcW w:w="0" w:type="dxa"/>
            <w:vAlign w:val="bottom"/>
          </w:tcPr>
          <w:p>
            <w:pPr>
              <w:spacing w:after="0"/>
              <w:rPr>
                <w:sz w:val="1"/>
                <w:szCs w:val="1"/>
                <w:color w:val="auto"/>
              </w:rPr>
            </w:pPr>
          </w:p>
        </w:tc>
      </w:tr>
      <w:tr>
        <w:trPr>
          <w:trHeight w:val="346"/>
        </w:trPr>
        <w:tc>
          <w:tcPr>
            <w:tcW w:w="1840" w:type="dxa"/>
            <w:vAlign w:val="bottom"/>
          </w:tcPr>
          <w:p>
            <w:pPr>
              <w:spacing w:after="0"/>
              <w:rPr>
                <w:sz w:val="24"/>
                <w:szCs w:val="24"/>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test the Company’s Gilead collaboration revenue, we performed audit procedures that included, among others, reading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arrangement and testing the accuracy and completeness of the underlying data used in evaluating the estimates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significant judgments described above. To assess the reasonableness of the Company's significant estimates and judgments,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compared cost estimates to costs previously incurred for similar activities, evaluated the remaining estimated level of effort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to complete the services, and inspected evidence of actual costs incurred. We also discussed the basis for key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assumptions with the Company's research and development personnel, who oversee the completion of this collaboration</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arrangement.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357,011</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491,265</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22,938</w:t>
            </w:r>
          </w:p>
        </w:tc>
        <w:tc>
          <w:tcPr>
            <w:tcW w:w="2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871,214</w:t>
            </w:r>
          </w:p>
        </w:tc>
        <w:tc>
          <w:tcPr>
            <w:tcW w:w="260" w:type="dxa"/>
            <w:vAlign w:val="bottom"/>
          </w:tcPr>
          <w:p>
            <w:pPr>
              <w:spacing w:after="0"/>
              <w:rPr>
                <w:sz w:val="12"/>
                <w:szCs w:val="12"/>
                <w:color w:val="auto"/>
              </w:rPr>
            </w:pPr>
          </w:p>
        </w:tc>
        <w:tc>
          <w:tcPr>
            <w:tcW w:w="4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771,158</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43,175</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42,351</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2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260" w:type="dxa"/>
            <w:vAlign w:val="bottom"/>
          </w:tcPr>
          <w:p>
            <w:pPr>
              <w:spacing w:after="0"/>
              <w:rPr>
                <w:sz w:val="12"/>
                <w:szCs w:val="12"/>
                <w:color w:val="auto"/>
              </w:rPr>
            </w:pPr>
          </w:p>
        </w:tc>
        <w:tc>
          <w:tcPr>
            <w:tcW w:w="420" w:type="dxa"/>
            <w:vAlign w:val="bottom"/>
            <w:tcBorders>
              <w:bottom w:val="single" w:sz="8" w:color="auto"/>
            </w:tcBorders>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42,274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83,212</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11,440</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67,034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26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163,148</w:t>
            </w:r>
          </w:p>
        </w:tc>
        <w:tc>
          <w:tcPr>
            <w:tcW w:w="260" w:type="dxa"/>
            <w:vAlign w:val="bottom"/>
          </w:tcPr>
          <w:p>
            <w:pPr>
              <w:spacing w:after="0"/>
              <w:rPr>
                <w:sz w:val="12"/>
                <w:szCs w:val="12"/>
                <w:color w:val="auto"/>
              </w:rPr>
            </w:pPr>
          </w:p>
        </w:tc>
        <w:tc>
          <w:tcPr>
            <w:tcW w:w="4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9)</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as of December 31, 2025</w:t>
            </w:r>
          </w:p>
        </w:tc>
        <w:tc>
          <w:tcPr>
            <w:tcW w:w="300" w:type="dxa"/>
            <w:vAlign w:val="bottom"/>
            <w:shd w:val="clear" w:color="auto" w:fill="CFF0FC"/>
          </w:tcPr>
          <w:p>
            <w:pPr>
              <w:spacing w:after="0"/>
              <w:rPr>
                <w:sz w:val="10"/>
                <w:szCs w:val="10"/>
                <w:color w:val="auto"/>
              </w:rPr>
            </w:pPr>
          </w:p>
        </w:tc>
        <w:tc>
          <w:tcPr>
            <w:tcW w:w="13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and 2024; 0 shares issued and outstanding as of December 31, 2025 and 2024, respectively</w:t>
            </w:r>
          </w:p>
        </w:tc>
        <w:tc>
          <w:tcPr>
            <w:tcW w:w="300" w:type="dxa"/>
            <w:vAlign w:val="bottom"/>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6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December 31, 2025</w:t>
            </w: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2024, 81,323,532 and 64,890,193 shares issued and outstanding at December 31, 2025</w:t>
            </w:r>
          </w:p>
        </w:tc>
        <w:tc>
          <w:tcPr>
            <w:tcW w:w="3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2024, respectively</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2,643,817</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(1,065,961)</w:t>
            </w:r>
          </w:p>
        </w:tc>
        <w:tc>
          <w:tcPr>
            <w:tcW w:w="42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(754,610)</w:t>
            </w: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2"/>
        </w:trPr>
        <w:tc>
          <w:tcPr>
            <w:tcW w:w="806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1,579,664</w:t>
            </w:r>
          </w:p>
        </w:tc>
        <w:tc>
          <w:tcPr>
            <w:tcW w:w="260" w:type="dxa"/>
            <w:vAlign w:val="bottom"/>
            <w:tcBorders>
              <w:top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6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300" w:type="dxa"/>
            <w:vAlign w:val="bottom"/>
            <w:tcBorders>
              <w:bottom w:val="single" w:sz="8" w:color="auto"/>
            </w:tcBorders>
            <w:shd w:val="clear" w:color="auto" w:fill="CFF0FC"/>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1,742,812</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-3214370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-3214370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-2639695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-231140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Statement of Operations: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80" w:type="dxa"/>
            <w:vAlign w:val="bottom"/>
          </w:tcPr>
          <w:p>
            <w:pPr>
              <w:spacing w:after="0"/>
              <w:rPr>
                <w:sz w:val="18"/>
                <w:szCs w:val="18"/>
                <w:color w:val="auto"/>
              </w:rPr>
            </w:pP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8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388,610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308,707</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(349,399)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(261,635)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(165,530)</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38,048</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(311,351)</w:t>
            </w:r>
          </w:p>
        </w:tc>
        <w:tc>
          <w:tcPr>
            <w:tcW w:w="4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(223,858)</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(146,962)</w:t>
            </w:r>
          </w:p>
        </w:tc>
        <w:tc>
          <w:tcPr>
            <w:tcW w:w="0" w:type="dxa"/>
            <w:vAlign w:val="bottom"/>
          </w:tcPr>
          <w:p>
            <w:pPr>
              <w:spacing w:after="0"/>
              <w:rPr>
                <w:sz w:val="1"/>
                <w:szCs w:val="1"/>
                <w:color w:val="auto"/>
              </w:rPr>
            </w:pPr>
          </w:p>
        </w:tc>
      </w:tr>
      <w:tr>
        <w:trPr>
          <w:trHeight w:val="196"/>
        </w:trPr>
        <w:tc>
          <w:tcPr>
            <w:tcW w:w="5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(308,066)</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(224,791)</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(142,565)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Reconciliation of net loss to net loss attributable to common</w:t>
            </w: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(311,351)</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(223,858)</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(146,962)</w:t>
            </w:r>
          </w:p>
        </w:tc>
        <w:tc>
          <w:tcPr>
            <w:tcW w:w="0" w:type="dxa"/>
            <w:vAlign w:val="bottom"/>
          </w:tcPr>
          <w:p>
            <w:pPr>
              <w:spacing w:after="0"/>
              <w:rPr>
                <w:sz w:val="1"/>
                <w:szCs w:val="1"/>
                <w:color w:val="auto"/>
              </w:rPr>
            </w:pPr>
          </w:p>
        </w:tc>
      </w:tr>
      <w:tr>
        <w:trPr>
          <w:trHeight w:val="250"/>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(311,351)</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(223,858)</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5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40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3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4"/>
        </w:trPr>
        <w:tc>
          <w:tcPr>
            <w:tcW w:w="55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4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stocks outstanding, basic and</w:t>
            </w:r>
          </w:p>
        </w:tc>
        <w:tc>
          <w:tcPr>
            <w:tcW w:w="1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84,490,585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75,043,991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-2451100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-2451100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-1893570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-1893570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-1584960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-1602105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-1584960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-1302385</wp:posOffset>
            </wp:positionV>
            <wp:extent cx="76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-573405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-556260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-719455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-573405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-556260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-719455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2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55,039,380</w:t>
            </w:r>
          </w:p>
        </w:tc>
        <w:tc>
          <w:tcPr>
            <w:tcW w:w="600" w:type="dxa"/>
            <w:vAlign w:val="bottom"/>
            <w:gridSpan w:val="2"/>
            <w:shd w:val="clear" w:color="auto" w:fill="CFF0FC"/>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878,884</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(383,790)</w:t>
            </w:r>
          </w:p>
        </w:tc>
        <w:tc>
          <w:tcPr>
            <w:tcW w:w="18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(4,949)</w:t>
            </w:r>
          </w:p>
        </w:tc>
        <w:tc>
          <w:tcPr>
            <w:tcW w:w="180" w:type="dxa"/>
            <w:vAlign w:val="bottom"/>
            <w:tcBorders>
              <w:left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441,759</w:t>
            </w:r>
          </w:p>
        </w:tc>
        <w:tc>
          <w:tcPr>
            <w:tcW w:w="1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39,511</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64,655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43,118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43,118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(146,962)</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(146,962)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55,585,305</w:t>
            </w:r>
          </w:p>
        </w:tc>
        <w:tc>
          <w:tcPr>
            <w:tcW w:w="60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926,269</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(530,752)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7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and accompanying pre-funded</w:t>
            </w: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8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8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 from January 2024 public offering, net of issuance</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$14,877</w:t>
            </w: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 Market Sales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 net of issuance costs of $1,249</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 from August 2024 public offering, net of issuance</w:t>
            </w: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$12,237</w:t>
            </w: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799,117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174,463</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97,164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55,012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(223,858)</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(223,858)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64,890,193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1,591,707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(754,610)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7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and accompanying pre-funded</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5,899,500</w:t>
            </w: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warrants from June 2025 public offering, net of issuance costs</w:t>
            </w: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continue"/>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$15.7 million</w:t>
            </w: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 December 2025 public</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8,050,000</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656,229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offering, net of issuance costs of $36.2 million</w:t>
            </w: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656,230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7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2,140,098</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284,026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59,715</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w:t>
            </w:r>
          </w:p>
        </w:tc>
        <w:tc>
          <w:tcPr>
            <w:tcW w:w="8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(311,351)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(311,351)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81,323,532</w:t>
            </w:r>
          </w:p>
        </w:tc>
        <w:tc>
          <w:tcPr>
            <w:tcW w:w="600" w:type="dxa"/>
            <w:vAlign w:val="bottom"/>
            <w:gridSpan w:val="2"/>
            <w:shd w:val="clear" w:color="auto" w:fill="CFF0FC"/>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2,643,817</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(1,065,961)</w:t>
            </w:r>
          </w:p>
        </w:tc>
        <w:tc>
          <w:tcPr>
            <w:tcW w:w="18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w:t>
            </w:r>
          </w:p>
        </w:tc>
        <w:tc>
          <w:tcPr>
            <w:tcW w:w="180" w:type="dxa"/>
            <w:vAlign w:val="bottom"/>
            <w:tcBorders>
              <w:left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1,579,664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-3333750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-3316605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-3333750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-3316605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-3333750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-3316605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-3333750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-3316605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-3333750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-3316605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-3333750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-3316605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-2742565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-2742565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-2742565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-2742565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-2742565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-2742565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-1293495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-1293495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-1293495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-1293495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-1293495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-1293495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-24765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-8255</wp:posOffset>
            </wp:positionV>
            <wp:extent cx="596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-8255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1089" w:right="8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(311,351)</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(223,858)</w:t>
            </w: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(146,962)</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43,118</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Premiums and discounts on available for sale marketable securities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(8,879)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(13,983)</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(5,229)</w:t>
            </w:r>
          </w:p>
        </w:tc>
      </w:tr>
      <w:tr>
        <w:trPr>
          <w:trHeight w:val="203"/>
        </w:trPr>
        <w:tc>
          <w:tcPr>
            <w:tcW w:w="6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(2,361)</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(8,903)</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(1,961)</w:t>
            </w: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Contract asset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(1,226)</w:t>
            </w: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(1,974)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(41,075)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(8,609)</w:t>
            </w:r>
          </w:p>
        </w:tc>
      </w:tr>
      <w:tr>
        <w:trPr>
          <w:trHeight w:val="203"/>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(5,042)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18,582</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(7,164)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(232,891)</w:t>
            </w: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(194,501)</w:t>
            </w:r>
          </w:p>
        </w:tc>
        <w:tc>
          <w:tcPr>
            <w:tcW w:w="3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(102,826)</w:t>
            </w:r>
          </w:p>
        </w:tc>
      </w:tr>
      <w:tr>
        <w:trPr>
          <w:trHeight w:val="196"/>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(12,838)</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(34,480)</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(1,007,628)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(901,226)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(189,151)</w:t>
            </w:r>
          </w:p>
        </w:tc>
      </w:tr>
      <w:tr>
        <w:trPr>
          <w:trHeight w:val="20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488,016</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509,987</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363,517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(521,061)</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(404,077)</w:t>
            </w: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139,886</w:t>
            </w:r>
          </w:p>
        </w:tc>
        <w:tc>
          <w:tcPr>
            <w:tcW w:w="120" w:type="dxa"/>
            <w:vAlign w:val="bottom"/>
          </w:tcPr>
          <w:p>
            <w:pPr>
              <w:spacing w:after="0"/>
              <w:rPr>
                <w:sz w:val="17"/>
                <w:szCs w:val="17"/>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January 2024 public</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offering, net of issuance costs of $14.9 million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 net of issuance</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$1.2 million</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August 2024 public</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offering, net of issuance costs of $12.2 million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June 2025 public offering,</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issuance costs of $15.7 million</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272,671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December 2025 public offering, net of issuance costs of</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$36.2 million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61,621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financing leases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(1,576)</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r>
      <w:tr>
        <w:trPr>
          <w:trHeight w:val="19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608,851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120" w:type="dxa"/>
            <w:vAlign w:val="bottom"/>
          </w:tcPr>
          <w:p>
            <w:pPr>
              <w:spacing w:after="0"/>
              <w:rPr>
                <w:sz w:val="17"/>
                <w:szCs w:val="17"/>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236,761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41,252</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74,525</w:t>
            </w:r>
          </w:p>
        </w:tc>
        <w:tc>
          <w:tcPr>
            <w:tcW w:w="120" w:type="dxa"/>
            <w:vAlign w:val="bottom"/>
          </w:tcPr>
          <w:p>
            <w:pPr>
              <w:spacing w:after="0"/>
              <w:rPr>
                <w:sz w:val="17"/>
                <w:szCs w:val="17"/>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362,811</w:t>
            </w:r>
          </w:p>
        </w:tc>
        <w:tc>
          <w:tcPr>
            <w:tcW w:w="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120" w:type="dxa"/>
            <w:vAlign w:val="bottom"/>
            <w:shd w:val="clear" w:color="auto" w:fill="CFF0FC"/>
          </w:tcPr>
          <w:p>
            <w:pPr>
              <w:spacing w:after="0"/>
              <w:rPr>
                <w:sz w:val="17"/>
                <w:szCs w:val="17"/>
                <w:color w:val="auto"/>
              </w:rPr>
            </w:pPr>
          </w:p>
        </w:tc>
      </w:tr>
      <w:tr>
        <w:trPr>
          <w:trHeight w:val="196"/>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2"/>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tcPr>
          <w:p>
            <w:pPr>
              <w:spacing w:after="0"/>
              <w:rPr>
                <w:sz w:val="17"/>
                <w:szCs w:val="17"/>
                <w:color w:val="auto"/>
              </w:rPr>
            </w:pP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through finance and lease liabilities</w:t>
            </w:r>
          </w:p>
        </w:tc>
        <w:tc>
          <w:tcPr>
            <w:tcW w:w="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200" w:type="dxa"/>
            <w:vAlign w:val="bottom"/>
          </w:tcPr>
          <w:p>
            <w:pPr>
              <w:spacing w:after="0"/>
              <w:rPr>
                <w:sz w:val="17"/>
                <w:szCs w:val="17"/>
                <w:color w:val="auto"/>
              </w:rPr>
            </w:pPr>
          </w:p>
        </w:tc>
        <w:tc>
          <w:tcPr>
            <w:tcW w:w="3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-3916680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-3916680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-3916680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-3394075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-3394075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-3394075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-1460500</wp:posOffset>
            </wp:positionV>
            <wp:extent cx="939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6044565</wp:posOffset>
            </wp:positionH>
            <wp:positionV relativeFrom="paragraph">
              <wp:posOffset>-1460500</wp:posOffset>
            </wp:positionV>
            <wp:extent cx="939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-1460500</wp:posOffset>
            </wp:positionV>
            <wp:extent cx="10287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-908050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-908050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7"/>
          <w:szCs w:val="17"/>
          <w:color w:val="auto"/>
        </w:rPr>
        <w:t>The following table provides a reconciliation of the cash, cash equivalents, and restricted cash balances as of each of the periods shown above:</w:t>
      </w:r>
    </w:p>
    <w:p>
      <w:pPr>
        <w:sectPr>
          <w:pgSz w:w="11900" w:h="16838" w:orient="portrait"/>
          <w:cols w:equalWidth="0" w:num="1">
            <w:col w:w="11240"/>
          </w:cols>
          <w:pgMar w:left="320" w:top="1201" w:right="33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357,011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362,811</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126,050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1140" w:type="dxa"/>
            <w:vAlign w:val="bottom"/>
          </w:tcPr>
          <w:p>
            <w:pPr>
              <w:spacing w:after="0"/>
              <w:rPr>
                <w:sz w:val="24"/>
                <w:szCs w:val="24"/>
                <w:color w:val="auto"/>
              </w:rPr>
            </w:pPr>
          </w:p>
        </w:tc>
        <w:tc>
          <w:tcPr>
            <w:tcW w:w="390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F-8</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-865505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-848360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-865505</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-848360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-865505</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-848360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$1,066.0 million as of December 31, 2025.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cash equivalents and marketable securities of $1,619.4 million. The Company believes these cash, cash equivalents and marketable securities will be sufficient to fund its operations and capital expenditure requirements through at least twelve months from the issuance of these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6" w:name="page117"/>
    <w:bookmarkEnd w:id="11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over-allotment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 In July 2025, the Company completed the follow-on offering through the closing of the underwriters’ full exercise of their option to purchase an additional 855,000 shares of common stock. As a result, the total aggregate gross proceeds from this follow-on offering were approximately $288.4 million, before deducting underwriting discounts and commissions and other estimated offering expenses payable by the Company.</w:t>
      </w:r>
    </w:p>
    <w:p>
      <w:pPr>
        <w:spacing w:after="0" w:line="12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10, 2025, the Company completed a follow-on offering of its common stock. The Company issued and sold 8,050,000 shares of common stock, including full exercise of the underwriters’ over-allotment option to purchase an additional 1,050,000 shares, at a public offering price of $86.00 per share. The aggregate gross proceeds before deducting underwriting discounts and commissions, and other estimated offering expenses payable by the Company were approximately $692.3 million.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certain offerings mentioned above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 During the twelve months ended December 31, 2025, no pre-funded warrants were exercised. As of December 31, 2025, there were 15,815,253 pre-funded warrants outstanding.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accompanying consolidated financial statements and notes.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Kymera Securities Corporation. All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Any reference in these notes to applicable guidance is meant to refer to the authoritative United States generally accepted accounting principles as found in the Accounting Standards Codification, or ASC and Accounting Standards Update, or ASU, of the Financial Accounting Standards Board, or FASB.</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that affect the reported amounts of assets and liabilities and disclosure of contingencies at the date of the financial statements and the reported amounts of expenses during the reporting period. Management’s estimates and judgments are derived and continually evaluated based on available information, historical experience and various other assumptions that are believed to be reasonable under the circumstances. Because the use of estimates is inherent in the financial reporting process, actual results could differ from those estimates. In recording transactions and balances resulting from business operations, management makes estimates based on the best information available at the time the estimate is made. Significant estimates relied upon in preparing these financial statements include revenue recognized under our collaboration agreements, accrual for research and development expenses, lease impairment, and equity-based compensation expense. As better information becomes available or actual amounts are determinable, the recorded estimates are revised. Consequently, operating results can be affected by revisions to prior estimates.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in deciding how to allocate resources and in assessing performance. The CODM is the Company's Chief Executive Officer. The Company views its operations as and manages its business in one operating segment, which is the business of development of innovative, highly differentiated medicines that address significant health problems and that meaningfully improve patients’ lives. Segment information is further described in Note 14 to the consolidated financial statements included in this Annual Report on Form 10-K.</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These assets include investments in money market funds, U.S Treasury securities, U.S Government Agency securities, and corporate securities including commercial paper. The Company maintains its bank accounts at major financial institutions.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the cash held to secure letters of credit associated with the Company’s facility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of greater than three months when purchased as available-for-sale. The Company classifies investments available to fund current operations as current assets on its balance sheets. Marketable securities with a remaining maturity date greater than one year are classified as non-current. Available-for-sale securities are maintained by investment managers and consist of U.S. Treasury securities, U.S Government Agency securities, and corporate securities, including commercial paper. Available-for-sale securities are carried at fair value with the unrealized gains and losses included in accumulated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net.</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w:t>
      </w:r>
    </w:p>
    <w:p>
      <w:pPr>
        <w:spacing w:after="0" w:line="225"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 or other inputs that are observable or can be corroborated by observable market data.</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pricing models, discounted cash flow methodologies and similar techniques.</w:t>
      </w:r>
    </w:p>
    <w:p>
      <w:pPr>
        <w:spacing w:after="0" w:line="16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cash equivalents, prepaid expenses, accounts payable, and certain accruals approximate their fair value due to their short-term nature.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86"/>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Leases that are economically similar to the purchase of assets are generally classified as finance leases; otherwise the leases are classified as operating leases.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assets, lease liabilities and, if applicable, long-term lease liabilities. Lease liabilities and their corresponding right-of-use assets are recorded based on the present value of lease payments over the expected remaining lease term. However, certain adjustments to the right-of-use asset may be required for items such as incentives received. The Company has elected as an accounting policy to combine lease and non- lease components, such as common area maintenance, for all classes of underlying assets. The interest rate implicit in lease contracts has not historically been readily determinable. As a result, the Company utilizes its incremental borrowing rates, which are the rates incurred to borrow on a collateralized basis over a similar term an amount equal to the lease payments in a similar economic environment. To estimate its incremental borrowing rate, a credit rating applicable to the Company is estimated using synthetic credit rating analysis since the Company does not currently have a rating agency-based credit rating.</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Major additions and betterments are capitalized; maintenance and repairs, which do not improve or extend the life of the respective assets, are charged to operations as incurred. Depreciation expense is recorded using the straight-line method over the estimated useful life of the related asset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85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10"/>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8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Shorter of life of lease or remaining</w:t>
            </w:r>
          </w:p>
        </w:tc>
      </w:tr>
      <w:tr>
        <w:trPr>
          <w:trHeight w:val="234"/>
        </w:trPr>
        <w:tc>
          <w:tcPr>
            <w:tcW w:w="8560" w:type="dxa"/>
            <w:vAlign w:val="bottom"/>
            <w:shd w:val="clear" w:color="auto" w:fill="CFF0FC"/>
          </w:tcPr>
          <w:p>
            <w:pPr>
              <w:spacing w:after="0"/>
              <w:rPr>
                <w:sz w:val="20"/>
                <w:szCs w:val="20"/>
                <w:color w:val="auto"/>
              </w:rPr>
            </w:pP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r>
    </w:tbl>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and related accumulated depreciation of assets disposed of are removed from the accounts and any resulting gain or loss is included in loss from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(including right-of-use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During the years ended December 31, 2025 and December 31, 2024, the Company recorded impairment losses related to its move into its new corporate headquarters and its subsequent effort to sublease the previous space of $3.9 million and $4.9 million, respectively. The Company did not record any impairment losses on long-lived assets during the years ended December 31, 2023.</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8"/>
          <w:szCs w:val="18"/>
          <w:color w:val="auto"/>
        </w:rPr>
        <w:t>. Under ASC 480-10, warrants are considered liability classified if the warrants are mandatorily redeemable, obligate the issuer to settle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or the underlying shares by paying cash or other assets, or must or may require settlement by issuing variable number of shares.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in connection with the discovery and development of targeted protein degradation therapeutics, including those in the Company’s most advanced clinical stage programs. These research efforts and costs, include external research costs, personnel costs, supplies, license fees and facility related expenses. The Company expenses research and development costs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recoverability of the expenditure. Amounts incurred are classified as general and administrative expenses.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Costs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Costs incurred in connection with the issuance of equity units and shares are recorded as a reduction of proceeds to the equity carrying value. The Company capitalizes certain legal, professional accounting and other third-party fees that are directly associated with in-process financings as deferred offering costs until such financings are consummated. After consummation of the financing, these costs are recorded as a reduction of the proceeds received from the financing. If a planned financing is abandoned, the deferred offering costs are expensed immediately as a charge to operating expenses in the consolidated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statement of operations and comprehensive loss. There was no deferred offering costs on the Company’s consolidated balance sheet at December 31, 2025 and December 31,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Under ASC 606, Topic 606, </w:t>
      </w:r>
      <w:r>
        <w:rPr>
          <w:rFonts w:ascii="Times New Roman" w:cs="Times New Roman" w:eastAsia="Times New Roman" w:hAnsi="Times New Roman"/>
          <w:sz w:val="18"/>
          <w:szCs w:val="18"/>
          <w:i w:val="1"/>
          <w:iCs w:val="1"/>
          <w:color w:val="auto"/>
        </w:rPr>
        <w:t>Revenue from Contracts with Customers, or ASC 606</w:t>
      </w:r>
      <w:r>
        <w:rPr>
          <w:rFonts w:ascii="Times New Roman" w:cs="Times New Roman" w:eastAsia="Times New Roman" w:hAnsi="Times New Roman"/>
          <w:sz w:val="18"/>
          <w:szCs w:val="18"/>
          <w:color w:val="auto"/>
        </w:rPr>
        <w:t>, the Company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prices, the Company evaluates whether changes in the key assumptions used to determine its estimated stand-alone selling prices will have a significant effect on the allocation of arrangement consideration between performance obligations.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performance obligations which consist of licenses and other promises, the Company utilizes judgment to assess the nature of the combined performance obligation in order to determine whether the combined performance obligation is satisfied over time or at a point in time. The Company receives payments from customers based on billing schedules established in each contract. 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 Amounts recognized as revenue, but not yet received or invoiced are generally recognized as contract assets.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Exclusive Licenses</w:t>
      </w:r>
      <w:r>
        <w:rPr>
          <w:rFonts w:ascii="Times New Roman" w:cs="Times New Roman" w:eastAsia="Times New Roman" w:hAnsi="Times New Roman"/>
          <w:sz w:val="18"/>
          <w:szCs w:val="18"/>
          <w:color w:val="auto"/>
        </w:rPr>
        <w:t>—If the license granted in the arrangement is determined to be distinct from the other promises or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based on estimated remaining research and development costs. The calculation of the total remaining estimated research and development costs includes forecasted costs associated with internal employee efforts, materials costs, and third-party contract costs, as well as the assumed timing and duration of these activities. The recognition of revenue pursuant to collaboration arrangements is subject to these judgments made and estimates developed by management and is sensitive to changes in these assumptions. Therefore, the measure of progress, and thereby periods over which revenue should be recognized, are subject to estimates by management and may change over the course of the arrangement.</w:t>
      </w:r>
    </w:p>
    <w:p>
      <w:pPr>
        <w:spacing w:after="0" w:line="19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—The promises under the Company’s collaboration and license agreements generally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as described under Exclusive Licenses above. Reimbursements from the partner that are the result of a collaborative relationship with the partner, instead of a customer relationship, such as co-development activities, are generally recorded as a reduction to research and development expense.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—The Company’s arrangements may provide a collaborator with the right to certain optional purchases, such 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 target either at the inception of the arrangement or within a pre-defined option period. Under these agreements, fees may be due to the Company at the inception of the arrangement as an upfront fee or payment or upon the exercise of an option to acquire a license.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—At the inception of each arrangement that includes milestone payments based on certain events,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2" w:name="page123"/>
    <w:bookmarkEnd w:id="122"/>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Collaboration revenue—</w:t>
      </w:r>
      <w:r>
        <w:rPr>
          <w:rFonts w:ascii="Times New Roman" w:cs="Times New Roman" w:eastAsia="Times New Roman" w:hAnsi="Times New Roman"/>
          <w:sz w:val="18"/>
          <w:szCs w:val="18"/>
          <w:color w:val="auto"/>
        </w:rPr>
        <w:t>The Company analyzes its collaboration arrangements to assess whether they are within the scope of ASC 808,</w:t>
      </w:r>
      <w:r>
        <w:rPr>
          <w:rFonts w:ascii="Times New Roman" w:cs="Times New Roman" w:eastAsia="Times New Roman" w:hAnsi="Times New Roman"/>
          <w:sz w:val="18"/>
          <w:szCs w:val="18"/>
          <w:i w:val="1"/>
          <w:iCs w:val="1"/>
          <w:color w:val="auto"/>
        </w:rPr>
        <w:t xml:space="preserve"> Collaborative Arrangements, or </w:t>
      </w:r>
      <w:r>
        <w:rPr>
          <w:rFonts w:ascii="Times New Roman" w:cs="Times New Roman" w:eastAsia="Times New Roman" w:hAnsi="Times New Roman"/>
          <w:sz w:val="18"/>
          <w:szCs w:val="18"/>
          <w:color w:val="auto"/>
        </w:rPr>
        <w:t>ASC 808, to determine whether such arrangements involve joint operating activities performed by parties that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For elements of collaboration arrangements that are accounted for pursuant to ASC 808, an appropriate recognition method is determined and applied consistently, generally by analogy to Topic 606. For those elements of the arrangement that are accounted for pursuant to Topic 606, the Company applies the five-step model described above.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Costs associated with licenses of technology acquired as part of collaborative arrangements are expensed as incurred and are generally included in research and development expense in the consolidated statements of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extends credit to customers based on its evaluation of the customer’s financial condition. The Company records receivables for all billings when amounts are due under standard terms. Accounts receivable are stated at amounts due net of applicable prompt pay discounts and other contractual adjustments as well as an allowance for doubtful accounts. The Company assesses the need for an allowance for doubtful accounts by considering a number of factors, including the length of time trade accounts receivable are past due, the customer’s ability to pay its obligation and the condition of the general economy and the industry as a whole. The Company will write off accounts receivable when the Company determines that they are uncollectible. In general, the Company has experienced no significant collection issues with its customers</w:t>
      </w:r>
      <w:r>
        <w:rPr>
          <w:rFonts w:ascii="Arial" w:cs="Arial" w:eastAsia="Arial" w:hAnsi="Arial"/>
          <w:sz w:val="16"/>
          <w:szCs w:val="16"/>
          <w:color w:val="auto"/>
        </w:rPr>
        <w: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directors, and nonemployees based on their fair value on the date of the grant and recognizes compensation expense for those awards over the requisite service period, which is generally the vesting period of the respective award. Stock-based payments include grants of stock options and restricted stock units. The measurement date for stock awards is the date of grant, and stock-based compensation costs are recognized as expense over the requisite service period, which is the vesting period, on a straight-line basis. The Company has issued stock options and restricted stock units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spacing w:after="0" w:line="30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fair value of the underlying common shares equals the closing price of the Company’s stock on the date of grant. As the Company’s 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expect to pay any cash dividends in the foreseeable future. The fair value of each restricted stock unit award is estimated on the date of grant based on the fair value of the Company’s common stock on that same date.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performance conditions included in certain of our restricted stock units awards and stock options that are based upon the achievement of pre-specified clinical development milestones. As the outcome of each event has inherent risk and uncertainties, and a positive outcome may not be known until the event is achieved, we begin to recognize the grant-date fair value of the performance-based restricted stock awards when we determine the achievement of each performance condition is deemed probable, a determination which requires significant judgment by management. On the date the performance condition is deemed probable, we record a cumulative expense catch-up, with remaining expense amortized over the remaining service period. We reassess the probability of achievement at each reporting period and adjust cumulative expense as necessary.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income taxes in accordance with FASB Accounting Standards Codification Topic 740, </w:t>
      </w:r>
      <w:r>
        <w:rPr>
          <w:rFonts w:ascii="Times New Roman" w:cs="Times New Roman" w:eastAsia="Times New Roman" w:hAnsi="Times New Roman"/>
          <w:sz w:val="18"/>
          <w:szCs w:val="18"/>
          <w:i w:val="1"/>
          <w:iCs w:val="1"/>
          <w:color w:val="auto"/>
        </w:rPr>
        <w:t>Income Taxes, or</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income tax assets and liabilities are recognized based on future income tax consequences attributable to differences between the financial statement carrying amount of existing assets and liabilities, and their respective income tax basis. Deferred income tax assets and liabilities are measured using enacted income tax rates expected to apply to taxable income in the years in which those temporary differences are expected to be recovered or settled. The effect of changes in income tax rates on deferred income tax assets and liabilities is recognized as income or expense in the period that a valuation allowance for any income tax benefits of which future realization is not more likely than not.</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The tax benefits recorded are based on a determination of whether and how much of a tax benefit taken by the Company in its tax filings or positions is “more likely than not” to be realized following resolution of any uncertainty related to the tax benefit, assuming that the matter in question will be raised by the tax authorities.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Risk and Concentration of Credit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a portion of its cash equivalents in money market funds that invest in U.S. Treasury securities and U.S. Agency obligations. Cash equivalents are also invested in individual U.S Treasury securities, U.S Government Agency securities, and corporate securities including commercial paper. The Company’s marketable securities primarily consist of corporate bonds, U.S. Agency bonds, U.S. Treasury securities,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unrealized gains and losses on marketable securities and other changes in stockholders’ equity that result from transactions and economic events other than those with stockholders.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including the pre-funded warrants given their nominal exercise price.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units,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as well as expanded information on income taxes paid by jurisdiction. The disclosure requirements will be applied on a prospective basis, and became effective for us in the fourth quarter of 2025. Please refer to Note 12, Income Taxes, for additional disclosures related to this new standard.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December 31, 2025 and 2024 (in thousands):</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299,067</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157,069</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164,618</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446,041</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622,436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975,825</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1,598,261</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-170815</wp:posOffset>
            </wp:positionV>
            <wp:extent cx="59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10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854,097</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in or out of Level 3.</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debt securities held at December 31, 2025 and 2024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290,909</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645,772</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646,791</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1,262,423</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179,030</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177,815</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730,647</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held 120 securities that had been in an unrealized loss position for less than 12 months with an aggregate fair value of $389.1 million. As of December 31, 2024, the Company held 121 securities that had been in an unrealized loss position for less than 12 months with an aggregate fair value of $342.1 million. As of December 31, 2025, the Company held 7 securities that had been in an unrealized loss position for greater than 12 months with an aggregate fair value of $16.3 million. As of December 31, 2024, the Company held 4 securities that had been in an unrealized loss position for greater than 12 months with an aggregate fair value of $7.6 million.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141 securities with a fair value of $491.3 million with a contractual maturity of less than 12 months and 232 securities with a fair value of $771.2 million with a contractual maturity of greater than 12 months. As of December 31, 2024, the Company had 129 securities with a fair value of $368.5 million with a contractual maturity of less than 12 months and 116 securities with a fair value of $362.2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December 31, 2025 and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Note 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 That is, one performance obligation was identified, the discovery and preclinical research activities.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total transaction price to be $40.0 million, which represents the upfront payment. The option exercise payment and all future milestone and royalty payments are excluded from the initial transaction price as they are contingent on future events and were deemed constrained due to the uncertainty of achievement and the Company’s limited control over their occurrence.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discovery and preclinical research activities are provided using an input method, according to costs incurred and the costs expected to be incurred in the future to satisfy that individual performance obligation. The transfer of control occurs over this time period and, in management’s judgment, is the best measure of progress towards satisfying each performance obligation. For the year ended December 31, 2025, the Company recognized $5.6 million in revenue under the Gilead Agreement. In the years ended December 31, 2024 and December 31, 2023, the Company did not recognize any revenue under the Gilead Agreement. The aggregate amount of the transaction price allocated to the Company’s unsatisfied performance obligations and recorded in deferred revenue as of December 31, 2025 and December 31, 2024 was $34.4 million and $0, respectively. This increase was the result of an increase of $40.0 million from the entering into of the agreement in the second quarter of 2025 partially offset by the revenue recognized in the year ended December 31, 2025. The remaining deferred revenue of $34.4 million will be recognized over the remainder of the estimated research period, which is expected to conclude within the next 1.3 years.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option and milestone payments were constrained as the achievement of such milestones are contingent upon the success of the underlying research and development activities and are generally outside the control of the Company. Any amounts related to the option exercise fee or milestone payments will be included in the transaction price and recognized on a cumulative catch-up basis when the risk of revenue reversal is resolved. Royalties and commercial milestone payments, if any, will be recognized at the later of when the related sales occur or when the associated performance obligation has been satisfied.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Arrangement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9" w:name="page130"/>
    <w:bookmarkEnd w:id="12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Milestone and reimbursement consideration added to the transaction price will be recognized as revenue with a cumulative catch-up upon becoming unconstrained.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0" w:name="page131"/>
    <w:bookmarkEnd w:id="130"/>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With Sanofi's exercise of its full participation election under the agreement for Collaboration Target 1, the performance obligations associated with Collaboration Target 1 &amp; Collaboration Target 2 have been fully satisfied as of December 31, 2025.</w:t>
      </w:r>
    </w:p>
    <w:p>
      <w:pPr>
        <w:spacing w:after="0" w:line="20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$33.6 million in revenue under the Sanofi Agreement all of which was associated with Collaboration Target 1. Of the $33.6 million of revenue recognized in the year ended December 31, 2025, $13.6 million was recognized from amounts that were recorded in deferred revenue as of December 31, 2024. The aggregate amount of the transaction price allocated to the Company’s unsatisfied performance obligations and recorded in deferred revenue at December 31, 2024 is $13.6 million. During the year ended December 31, 2024, the Company recognized $47.1 million, all of which was associated with Collaboration Target 1. The aggregate amount of the transaction price allocated to the Company’s unsatisfied performance obligations and recorded in deferred revenue at December 31, 2024 was $13.6 million. The decrease in deferred revenue between December 31, 2025 and December 31, 2024 is the result of the full satisfaction of the performance obligation for Collaboration 1 occurring in the year ended December 31, 2025. During the year ended December 31, 2023, the Company recognized $70.2 million in revenue under the Sanofi Agreement, of which $67.7 million was associated with Collaboration Target 1 and $2.5 million was associated with Collaboration Target 2. The aggregate amount of the transaction price allocated to the Company’s unsatisfied performance obligations and recorded in deferred revenue at December 31, 2023 is $54.7 million. The decrease in deferred revenue between December 31, 2024 and December 31, 2023 is the result of on-going activity under the collaboration agreement as well as a $19.4 million cumulative catch-up to revenue related to the change in expected future costs to satisfy the Company’s performance obligation under Collaboration Target 1. During the years ended December 31, 2025 and 2024, the Company received $1.3 million and $8.8 million, respectively, in cost reimbursement payments under the Sanofi Agreement. The Company recorded $0.0 million and $0.9 million of unbilled accounts receivable related to reimbursable research and development costs under the Sanofi Agreement as of December 31, 2025 and December 31, 2024, respectively.</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year ended December 31, 2025, the Company recognized $23.6 million of revenue from the unconstrained milestones. As of December 31, 2025, all of the $75.0 million of consideration has been recorded as revenue.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1" w:name="page132"/>
    <w:bookmarkEnd w:id="131"/>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as such, the options and the underlying licenses are excluded from the performance obligation and the option exercise fees are excluded from the transaction price until the underlying option is exercised.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Company’s Series B-1 and the research activities the Company will perform over the Research Term. The Company determined the total transaction price to be $55.9 million, which consists of $5.9 million attributed to the premium from the Series B-1 shares sold to Vertex and the $50.0 million upfront payment. To determine the fair value of the Series B-1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The Company did not recognize any revenue under the Vertex agreement during the years ended December 31, 2025 or 2024 and recognized $8.4 million during the year ended December 31, 2023.</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liabilities for the year ended December 31, 2025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8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(20,947)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(20,947)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Gilead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80,947</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(81,894)</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8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(33,576)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Gilead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(39,211)</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-607695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-590550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-607695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-590550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-607695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-590550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-607695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December 31, 2025 and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(22,127)</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(16,073)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color w:val="auto"/>
              </w:rPr>
              <w:t>F-25</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-1010920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-1010920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2" w:name="page133"/>
    <w:bookmarkEnd w:id="132"/>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$8.3 million, $7.4 million and $3.6 million, respectively.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financing leases with a cost basis of $6.5 million and $7.8 million and accumulated amortization expense of $3.5 million and $4.1 million as of December 31, 2025 and 2024,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was $1.6 million, $1.4 million and $1.5 million the years ended December 31, 2025, 2024 and 2023 and is included in depreciation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December 31, 2025 and December 31, 2024. The letter of credit totaled $1.3 million and $1.3 million as of December 31, 2025 and December 31, 2024,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December 31, 2025 and December 31,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have resulted in impairment charges of $3.9 million and $4.9 million in the years ended December 31, 2025 and 2024, respectively. The Company continues to evaluate the potential recovery of the ROU asset under sublease scenarios, and thus it is possible that additional impairments could be identified in future periods.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impairment charges reduced the carrying value of the associated ROU asset, leasehold improvements and certain furniture and fixture assets that remained in the facility to their estimated fair values. Fair values were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years ended December 31, 2025 and 2024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9,829</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costs:</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right-to-use assets, financing</w:t>
            </w: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leases</w:t>
            </w: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FF0FC"/>
          </w:tcPr>
          <w:p>
            <w:pPr>
              <w:spacing w:after="0"/>
              <w:rPr>
                <w:sz w:val="20"/>
                <w:szCs w:val="20"/>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for financing lease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Variable lease cost includes payments for variable common area maintenance charges and real estate taxes. Such amounts are not included in the measurement of lease liabilities.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years ended December 31, 2025 and 2024 were as follows (in thousands):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5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FF0FC"/>
          </w:tcPr>
          <w:p>
            <w:pPr>
              <w:spacing w:after="0"/>
              <w:rPr>
                <w:sz w:val="18"/>
                <w:szCs w:val="18"/>
                <w:color w:val="auto"/>
              </w:rPr>
            </w:pPr>
          </w:p>
        </w:tc>
      </w:tr>
      <w:tr>
        <w:trPr>
          <w:trHeight w:val="234"/>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December 31, 2025 and 2024 were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8.6 years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 years</w:t>
            </w: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Financing lease</w:t>
            </w:r>
          </w:p>
        </w:tc>
        <w:tc>
          <w:tcPr>
            <w:tcW w:w="13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2.1 years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 years</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lease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December 31, 2025,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3"/>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173"/>
        </w:trPr>
        <w:tc>
          <w:tcPr>
            <w:tcW w:w="706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1700" w:type="dxa"/>
            <w:vAlign w:val="bottom"/>
          </w:tcPr>
          <w:p>
            <w:pPr>
              <w:spacing w:after="0"/>
              <w:rPr>
                <w:sz w:val="18"/>
                <w:szCs w:val="18"/>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78,975</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64"/>
        </w:trPr>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F-27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-1019175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51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-1019175</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-1002030</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Note 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as of December 31, 2025 and 2024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80" w:type="dxa"/>
            <w:vAlign w:val="bottom"/>
            <w:shd w:val="clear" w:color="auto" w:fill="CFF0FC"/>
          </w:tcPr>
          <w:p>
            <w:pPr>
              <w:spacing w:after="0"/>
              <w:rPr>
                <w:sz w:val="18"/>
                <w:szCs w:val="18"/>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Commitments and Contingencies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December 31, 2025, 2024 or 2023.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56" w:lineRule="auto"/>
        <w:rPr>
          <w:sz w:val="20"/>
          <w:szCs w:val="20"/>
          <w:color w:val="auto"/>
        </w:rPr>
      </w:pPr>
      <w:r>
        <w:rPr>
          <w:rFonts w:ascii="Times New Roman" w:cs="Times New Roman" w:eastAsia="Times New Roman" w:hAnsi="Times New Roman"/>
          <w:sz w:val="18"/>
          <w:szCs w:val="18"/>
          <w:color w:val="auto"/>
        </w:rPr>
        <w:t>amendment, outstanding equity includes all outstanding common shares as well as outstanding pre-funded warrants. The 2020 Plan provides that the number of shares reserved and available for issuance will automatically increase on January 1, 2021, and each January 1 thereafter, by 4% of the Company’s outstanding number of shares of common stock, inclusive of outstanding pre-funded warrants, on the immediately preceding December 31, or such lesser number of shares as determined by the Company’s compensation committee. These limits are subject to adjustment in the event of a stock split, stock dividend or other change in the Company’s capitalization. As of December 31, 2025, there were an aggregate of 4,182,654 shares remaining available for future grants.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reserves and authorizes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lessor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December 31, 2025, there were an aggregate of 2,303,412 shares remaining available for future grants.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year ended December 31, 2025, is as follows (in thousands except share and per share data):</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Strike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2,400,939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(2,140,098)</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(704,883)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9,003,748</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5,945,970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years ended December 31, 2025, 2024 and 2023 was $95.0 million, $21.8 million and $9.1 million,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years ended December 31, 2025, 2024 and 2023 was $23.43, $26.10 and $17.91 per share,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stock-based compensation expense for unvested stock options was $63.4 million, which is expected to be recognized over 2.1 years.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PSOs with respect to the clinical milestone objective may vest prior to the first anniversary of the grant date. During the year ended December 31, 2025, the Company granted 88,000 PSOs with a weighted average strike price of $30.17. As of December 31, 2025, there are 88,000 PSOs outstanding with a weighted average strike price of $30.17. As of December 31, 2025 the Company has concluded that it is not probable the clinical milestone based performance conditions will be achieved, and as such, no stock based compensation has been recorded for PSOs.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color w:val="auto"/>
        </w:rPr>
        <w:t>The following table outlines equity-based compensation expense for stock options for the years ended December 31, 2025, 2024 and 2023:</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24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240" w:type="dxa"/>
            <w:vAlign w:val="bottom"/>
          </w:tcPr>
          <w:p>
            <w:pPr>
              <w:spacing w:after="0"/>
              <w:rPr>
                <w:sz w:val="18"/>
                <w:szCs w:val="18"/>
                <w:color w:val="auto"/>
              </w:rPr>
            </w:pPr>
          </w:p>
        </w:tc>
      </w:tr>
      <w:tr>
        <w:trPr>
          <w:trHeight w:val="20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-7620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years ended December 31, 2025, 2024 and 2023: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6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3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and performance-based vesting conditions. A summary of restricted stock unit activity during the year ended December 31, 2025,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(284,026)</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(202,496)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1,345,155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 units with performance-based vesting conditions, or performance stock units ("PSUs") under the Company’s 2020 Stock Option and Incentive Plan to certain key employees of the Company, including the Company’s executive officers and management team. The total number of PSUs that may vest will range from 0 to a maximum of 100% of the target number of options granted. The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w:t>
      </w:r>
    </w:p>
    <w:p>
      <w:pPr>
        <w:spacing w:after="0" w:line="189" w:lineRule="exact"/>
        <w:rPr>
          <w:sz w:val="20"/>
          <w:szCs w:val="20"/>
          <w:color w:val="auto"/>
        </w:rPr>
      </w:pPr>
    </w:p>
    <w:p>
      <w:pPr>
        <w:jc w:val="both"/>
        <w:ind w:firstLine="56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granted 285,723 and zero restricted stock units, respectively with performance based vesting conditions. As of December 31, 2025, the Company has concluded that it is not probable the clinical milestone based performance conditions will be achieved, and as such, no stock based compensation has been recorded for PSUs.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796,350, 400,917, and 404,844 restricted stock units with service based vesting conditions during the years ended December 31, 2025, 2024 and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stock-based compensation expense for unvested restricted stock units was $28.9 million, which is expected to be recognized over 2.5 years.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7" w:name="page138"/>
    <w:bookmarkEnd w:id="1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stock-based compensation expense for restricted stock units of $11.2 million, $7.7 million and $3.8 million, respectively. During the years ended December 31, 2025, 2024 and 2023, the Company recorded stock-based compensation expense related to restricted stock units of $8.1 million, $4.8 million and $2.5 million, respectively, within research and development. During the years ended December 31, 2025, 2024 and 2023, the Company recorded stock-based compensation expense related to restricted stock units of $3.1 million, $2.9 million and $1.3 million, respectively, within general and administrative.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years ended December 31, 2025, 2024 and 2023 is as follows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24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40" w:type="dxa"/>
            <w:vAlign w:val="bottom"/>
          </w:tcPr>
          <w:p>
            <w:pPr>
              <w:spacing w:after="0"/>
              <w:rPr>
                <w:sz w:val="18"/>
                <w:szCs w:val="18"/>
                <w:color w:val="auto"/>
              </w:rPr>
            </w:pPr>
          </w:p>
        </w:tc>
      </w:tr>
      <w:tr>
        <w:trPr>
          <w:trHeight w:val="210"/>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Follow-on offerings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both of the Company’s 2025 follow-on public offerings, Jefferies LLC (“Jefferies”) acted as one of the underwriters in the syndicate of underwriters. John Maraganore is a member of the Company’s Board of Directors and is affiliated with Jefferies. In connection with its participation in the offerings, Jefferies received customary underwriting discounts and commissions. The total underwriting commission paid to Jefferies through December 31, 2025 was approximately $11.0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Concurrently with the June 2025 follow-on offering, the Company entered into a registration rights agreement (the “Registration Rights Agreement”) with Baker Brothers Life Sciences, L.P. and 667, L.P. (collectively, the “BBA Funds”), entities affiliated with Atlas Venture (“Atlas”) and entities affiliated with BVF Partners L.P. (“BVF” and, together with the BBA Funds and Atlas, the “Affiliated Entities”), all of which are considered related parties given their affiliation with certain members of the Company's Board of Directors.</w:t>
      </w:r>
    </w:p>
    <w:p>
      <w:pPr>
        <w:spacing w:after="0" w:line="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Among other things, the Registration Rights Agreement provides the Affiliated Entities with certain “resale” registration rights. The Registration Rights Agreement provides that, subject to certain limitations, upon written request from the Affiliated Entities, beginning on February 28, 2026 the Company will be required to file a registration statement covering the resale of the registrable securities held by the Affiliated Entities. Furthermore, the Affiliated Entities will be entitled to include their registrable securities in a registration statement filed by the Company in connection with a public offering. The Registration Rights Agreement also requires the Company to pay certain expenses relating to such registrations and to indemnify the Affiliated Entities against certain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Open Market Sale Agreement</w:t>
      </w:r>
      <w:r>
        <w:rPr>
          <w:rFonts w:ascii="Times New Roman" w:cs="Times New Roman" w:eastAsia="Times New Roman" w:hAnsi="Times New Roman"/>
          <w:sz w:val="24"/>
          <w:szCs w:val="24"/>
          <w:i w:val="1"/>
          <w:iCs w:val="1"/>
          <w:color w:val="auto"/>
          <w:vertAlign w:val="superscript"/>
        </w:rPr>
        <w:t>SM</w:t>
      </w:r>
    </w:p>
    <w:p>
      <w:pPr>
        <w:spacing w:after="0" w:line="6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As of December 31, 2025, the Company has not sold any shares of its common stock under the Jefferies Sales Agreement.</w:t>
      </w:r>
    </w:p>
    <w:p>
      <w:pPr>
        <w:spacing w:after="0" w:line="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aforementioned items, the Company had no related party transactions for the periods presented in the accompanying consolidated financial statements, which have not otherwise been discussed in these notes to the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adopted ASU 2023-09, Income Taxes (Topic 740): Improvements to Income Tax Disclosures effective January 1, 2025, on a prospective basis. The disclosures required by the standard are included below for the year ended December 31, 2025. Comparative prior-period disclosures have not been revised.</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(311,351)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had immaterial tax expense due to operating losses incurred since inception and no deferred tax provision in the current period.</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U.S. federal statutory income tax rate to the Company’s effective income tax rate for the year ended December 31, 2025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Amount ($)</w:t>
            </w:r>
          </w:p>
        </w:tc>
        <w:tc>
          <w:tcPr>
            <w:tcW w:w="26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(65,384)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(6,982)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72,265</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Excess tax benefits on share-based payments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 income tax rate differed from the federal statutory income tax rate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9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r>
      <w:tr>
        <w:trPr>
          <w:trHeight w:val="155"/>
        </w:trPr>
        <w:tc>
          <w:tcPr>
            <w:tcW w:w="7260" w:type="dxa"/>
            <w:vAlign w:val="bottom"/>
            <w:gridSpan w:val="2"/>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0"/>
        </w:trPr>
        <w:tc>
          <w:tcPr>
            <w:tcW w:w="960" w:type="dxa"/>
            <w:vAlign w:val="bottom"/>
          </w:tcPr>
          <w:p>
            <w:pPr>
              <w:spacing w:after="0"/>
              <w:rPr>
                <w:sz w:val="18"/>
                <w:szCs w:val="18"/>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7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Disallowed Expenditures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r>
      <w:tr>
        <w:trPr>
          <w:trHeight w:val="885"/>
        </w:trPr>
        <w:tc>
          <w:tcPr>
            <w:tcW w:w="960" w:type="dxa"/>
            <w:vAlign w:val="bottom"/>
          </w:tcPr>
          <w:p>
            <w:pPr>
              <w:spacing w:after="0"/>
              <w:rPr>
                <w:sz w:val="24"/>
                <w:szCs w:val="24"/>
                <w:color w:val="auto"/>
              </w:rPr>
            </w:pPr>
          </w:p>
        </w:tc>
        <w:tc>
          <w:tcPr>
            <w:tcW w:w="720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F-32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3"/>
        </w:trPr>
        <w:tc>
          <w:tcPr>
            <w:tcW w:w="96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-1096645</wp:posOffset>
            </wp:positionV>
            <wp:extent cx="1460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-1079500</wp:posOffset>
            </wp:positionV>
            <wp:extent cx="1460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-1096645</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-1079500</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were as follows (in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159,311</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reserves, stock and 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96,991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110,333</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351,393</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(330,285)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(236,206)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80" w:type="dxa"/>
            <w:vAlign w:val="bottom"/>
            <w:tcBorders>
              <w:top w:val="single" w:sz="8" w:color="CFF0FC"/>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(11,631)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changes in the valuation allowance were as follows (in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Domestic federal income taxes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Domestic state &amp; local income taxes</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330,285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-2468245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-2468245</wp:posOffset>
            </wp:positionV>
            <wp:extent cx="51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-2185035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-2185035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-1628140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-1628140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-1336675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-1319530</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-1336675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-1319530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2025, the valuation allowance increased by $94.1 million primarily due to the increase in the Company’s net operating loss, capitalized expenditures and tax credit carryforwards during the period.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$571.6 million and $607.5 million of federal and state operating loss carryforwards, respectively. Substantially all of the federal net operating losses ("NOLs") are not subject to expiration and the state NOLs begin to expire in 2037. These loss carryforwards are available to reduce future federal and state taxable income, if any. As of December 31, 2025, the Company also had federal and state research and development tax credit carryforwards of $40.1 million and $18.6 million respectively, to offset future income taxes, which will begin to expire in December 2039. These loss carryforwards are subject to review and possible adjustment by the appropriate taxing authorities.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2025, would limit or otherwise restrict its ability to utilize its NOL and research and development credit carryforwards. In addition, future changes in ownership occurring after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2025 could affect the limitation in future years, and any limitation may result in expiration of a portion of the NOL or research and development credit carryforwards before utilization.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Among other provisions, this act includes permanently extended and modified certain expiring provisions of the 2017 Tax Cuts and Jobs Act and restored the immediate expensing of domestic research and development expenses. The Company has evaluated the impacts of these provisions and has concluded the OBBBA does not have a material impact on its consolidated financial statements other than reclassifications of the deferred tax assets.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Topic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2025 and 2024,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2025 and 2024, the Company had no reserves for uncertain tax positions. For the years ended December 31, 2025, 2024, and 2023, no estimated interest or penalties were recognized on uncertain tax positions.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in the United States and state income tax returns in Massachusetts and various other state jurisdictions. The Company’s tax returns for the years ended December 31, 2022 to December 31, 2025 remain open and subject to examination by the Internal Revenue Service and state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15,815,253 and 15,159,753 pre-funded warrants outstanding as of December 31, 2025 and 2024, respectively.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(311,351)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(223,858)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(146,962)</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68,998,592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62,346,666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55,365,499</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pre-funded warrants outstanding, 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15,491,993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12,697,325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 average common stock outstanding, basic and 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84,490,585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75,043,991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-454025</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-454025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units, and stock options,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December 31, 2025, 2024 and 2023 because including them would have had an anti-dilutive effect: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1,345,155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5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9,003,748</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100" w:type="dxa"/>
            <w:vAlign w:val="bottom"/>
          </w:tcPr>
          <w:p>
            <w:pPr>
              <w:spacing w:after="0"/>
              <w:rPr>
                <w:sz w:val="18"/>
                <w:szCs w:val="18"/>
                <w:color w:val="auto"/>
              </w:rPr>
            </w:pPr>
          </w:p>
        </w:tc>
      </w:tr>
      <w:tr>
        <w:trPr>
          <w:trHeight w:val="209"/>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10,348,903</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10,197,394</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34"/>
        </w:trPr>
        <w:tc>
          <w:tcPr>
            <w:tcW w:w="4040" w:type="dxa"/>
            <w:vAlign w:val="bottom"/>
          </w:tcPr>
          <w:p>
            <w:pPr>
              <w:spacing w:after="0"/>
              <w:rPr>
                <w:sz w:val="24"/>
                <w:szCs w:val="24"/>
                <w:color w:val="auto"/>
              </w:rPr>
            </w:pPr>
          </w:p>
        </w:tc>
        <w:tc>
          <w:tcPr>
            <w:tcW w:w="3920" w:type="dxa"/>
            <w:vAlign w:val="bottom"/>
            <w:gridSpan w:val="2"/>
          </w:tcPr>
          <w:p>
            <w:pPr>
              <w:jc w:val="right"/>
              <w:ind w:right="2076"/>
              <w:spacing w:after="0"/>
              <w:rPr>
                <w:sz w:val="20"/>
                <w:szCs w:val="20"/>
                <w:color w:val="auto"/>
              </w:rPr>
            </w:pPr>
            <w:r>
              <w:rPr>
                <w:rFonts w:ascii="Times New Roman" w:cs="Times New Roman" w:eastAsia="Times New Roman" w:hAnsi="Times New Roman"/>
                <w:sz w:val="18"/>
                <w:szCs w:val="18"/>
                <w:color w:val="auto"/>
              </w:rPr>
              <w:t>F-34</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-847725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-847725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this Annual Report on Form 10-K.</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8"/>
                <w:szCs w:val="18"/>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(311,351)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(223,858)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(146,962)</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ind w:firstLine="8"/>
        <w:spacing w:after="0" w:line="264" w:lineRule="auto"/>
        <w:tabs>
          <w:tab w:leader="none" w:pos="24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years ended December 31, 2025, 2024 and 2023 is inclusive of $31.5 million, $27.8 million, and $21.6 million of stock-based compensation expense, respectively.</w:t>
      </w:r>
    </w:p>
    <w:p>
      <w:pPr>
        <w:ind w:right="20" w:firstLine="8"/>
        <w:spacing w:after="0" w:line="264" w:lineRule="auto"/>
        <w:tabs>
          <w:tab w:leader="none" w:pos="23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years ended December 31, 2025, 2024 and 2023 is inclusive of $28.4 million, $27.2 million, and $21.6 million of stock-based compensation expense, respectively.</w:t>
      </w: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years ended December 31, 2025 and 2024 is inclusive of a $3.9 million and $4.9 million impairment of long-lived assets, respectively.</w:t>
      </w:r>
    </w:p>
    <w:p>
      <w:pPr>
        <w:spacing w:after="0" w:line="2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2025, 2024 and 2023 was $8.3 million, $7.4 million and $3.6 million, respectively. Amortization expense related to right-of-use assets was $1.6 million, $1.4 million and $1.5 million the years ended December 31, 2025, 2024 and 2023 and is included in depreciation expense.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December 31, 2025, the end of the period covered by this Annual Report on Form 10-K. Based upon such evaluation, our chief executive officer and chief financial officer have concluded that our disclosure controls and procedures were effective at the reasonable assurance level as of such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2025.</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3" w:name="page144"/>
    <w:bookmarkEnd w:id="143"/>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Kymera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Kymera Therapeutics, Inc.’s internal control over financial reporting as of December 31, 2025, based on criteria established in Internal Control—Integrated Framework issued by the Committee of Sponsoring Organizations of the Treadway Commission (2013 framework) (the COSO criteria). In our opinion, Kymera Therapeutics, Inc. (the Company) maintained, in all material respects, effective internal control over financial reporting as of December 31, 2025, based on the COSO criteria.</w:t>
      </w:r>
    </w:p>
    <w:p>
      <w:pPr>
        <w:spacing w:after="0" w:line="11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February 26, 2026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twelve months ended December 31, 2025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entered into, modified or terminated a Rule 10b5-1 trading arrangement or non-Rule 10b5-1 trading arrangement (as such terms are defined in Item 408 of Regulation S-K) during the three months ended December 31, 2025:</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900" w:type="dxa"/>
            <w:vAlign w:val="bottom"/>
            <w:tcBorders>
              <w:top w:val="single" w:sz="8" w:color="auto"/>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1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Action Taken (Date</w:t>
            </w:r>
          </w:p>
        </w:tc>
        <w:tc>
          <w:tcPr>
            <w:tcW w:w="146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0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Number of</w:t>
            </w:r>
          </w:p>
        </w:tc>
        <w:tc>
          <w:tcPr>
            <w:tcW w:w="230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c>
          <w:tcPr>
            <w:tcW w:w="0" w:type="dxa"/>
            <w:vAlign w:val="bottom"/>
          </w:tcPr>
          <w:p>
            <w:pPr>
              <w:spacing w:after="0"/>
              <w:rPr>
                <w:sz w:val="1"/>
                <w:szCs w:val="1"/>
                <w:color w:val="auto"/>
              </w:rPr>
            </w:pPr>
          </w:p>
        </w:tc>
      </w:tr>
      <w:tr>
        <w:trPr>
          <w:trHeight w:val="184"/>
        </w:trPr>
        <w:tc>
          <w:tcPr>
            <w:tcW w:w="190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ind w:left="400"/>
              <w:spacing w:after="0" w:line="184"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7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of Action)</w:t>
            </w:r>
          </w:p>
        </w:tc>
        <w:tc>
          <w:tcPr>
            <w:tcW w:w="14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020" w:type="dxa"/>
            <w:vAlign w:val="bottom"/>
            <w:tcBorders>
              <w:right w:val="single" w:sz="8" w:color="auto"/>
            </w:tcBorders>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23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Arrangement</w:t>
            </w:r>
          </w:p>
        </w:tc>
        <w:tc>
          <w:tcPr>
            <w:tcW w:w="0" w:type="dxa"/>
            <w:vAlign w:val="bottom"/>
          </w:tcPr>
          <w:p>
            <w:pPr>
              <w:spacing w:after="0"/>
              <w:rPr>
                <w:sz w:val="1"/>
                <w:szCs w:val="1"/>
                <w:color w:val="auto"/>
              </w:rPr>
            </w:pPr>
          </w:p>
        </w:tc>
      </w:tr>
      <w:tr>
        <w:trPr>
          <w:trHeight w:val="64"/>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307,6181</w:t>
            </w:r>
          </w:p>
        </w:tc>
        <w:tc>
          <w:tcPr>
            <w:tcW w:w="2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900" w:type="dxa"/>
            <w:vAlign w:val="bottom"/>
            <w:tcBorders>
              <w:left w:val="single" w:sz="8" w:color="auto"/>
              <w:right w:val="single" w:sz="8" w:color="auto"/>
            </w:tcBorders>
            <w:vMerge w:val="restart"/>
          </w:tcPr>
          <w:p>
            <w:pPr>
              <w:ind w:left="20"/>
              <w:spacing w:after="0" w:line="193" w:lineRule="exact"/>
              <w:rPr>
                <w:sz w:val="20"/>
                <w:szCs w:val="20"/>
                <w:color w:val="auto"/>
              </w:rPr>
            </w:pPr>
            <w:r>
              <w:rPr>
                <w:rFonts w:ascii="Times New Roman" w:cs="Times New Roman" w:eastAsia="Times New Roman" w:hAnsi="Times New Roman"/>
                <w:sz w:val="18"/>
                <w:szCs w:val="18"/>
                <w:color w:val="auto"/>
              </w:rPr>
              <w:t>Jeremy Chadwick</w:t>
            </w:r>
          </w:p>
        </w:tc>
        <w:tc>
          <w:tcPr>
            <w:tcW w:w="186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8"/>
                <w:szCs w:val="18"/>
                <w:color w:val="auto"/>
              </w:rPr>
              <w:t>Trading plan intended to</w:t>
            </w:r>
          </w:p>
        </w:tc>
        <w:tc>
          <w:tcPr>
            <w:tcW w:w="170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8"/>
                <w:szCs w:val="18"/>
                <w:color w:val="auto"/>
              </w:rPr>
              <w:t>December 31, 2026</w:t>
            </w:r>
          </w:p>
        </w:tc>
        <w:tc>
          <w:tcPr>
            <w:tcW w:w="2020" w:type="dxa"/>
            <w:vAlign w:val="bottom"/>
            <w:tcBorders>
              <w:right w:val="single" w:sz="8" w:color="auto"/>
            </w:tcBorders>
            <w:vMerge w:val="continue"/>
          </w:tcPr>
          <w:p>
            <w:pPr>
              <w:spacing w:after="0"/>
              <w:rPr>
                <w:sz w:val="13"/>
                <w:szCs w:val="13"/>
                <w:color w:val="auto"/>
              </w:rPr>
            </w:pPr>
          </w:p>
        </w:tc>
        <w:tc>
          <w:tcPr>
            <w:tcW w:w="230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18"/>
                <w:szCs w:val="18"/>
                <w:color w:val="auto"/>
              </w:rPr>
              <w:t>Exercises of vested stock</w:t>
            </w:r>
          </w:p>
        </w:tc>
        <w:tc>
          <w:tcPr>
            <w:tcW w:w="0" w:type="dxa"/>
            <w:vAlign w:val="bottom"/>
          </w:tcPr>
          <w:p>
            <w:pPr>
              <w:spacing w:after="0"/>
              <w:rPr>
                <w:sz w:val="1"/>
                <w:szCs w:val="1"/>
                <w:color w:val="auto"/>
              </w:rPr>
            </w:pPr>
          </w:p>
        </w:tc>
      </w:tr>
      <w:tr>
        <w:trPr>
          <w:trHeight w:val="42"/>
        </w:trPr>
        <w:tc>
          <w:tcPr>
            <w:tcW w:w="1900" w:type="dxa"/>
            <w:vAlign w:val="bottom"/>
            <w:tcBorders>
              <w:left w:val="single" w:sz="8" w:color="auto"/>
              <w:right w:val="single" w:sz="8" w:color="auto"/>
            </w:tcBorders>
            <w:vMerge w:val="continue"/>
          </w:tcPr>
          <w:p>
            <w:pPr>
              <w:spacing w:after="0"/>
              <w:rPr>
                <w:sz w:val="3"/>
                <w:szCs w:val="3"/>
                <w:color w:val="auto"/>
              </w:rPr>
            </w:pPr>
          </w:p>
        </w:tc>
        <w:tc>
          <w:tcPr>
            <w:tcW w:w="1860" w:type="dxa"/>
            <w:vAlign w:val="bottom"/>
            <w:tcBorders>
              <w:right w:val="single" w:sz="8" w:color="auto"/>
            </w:tcBorders>
            <w:vMerge w:val="continue"/>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1460" w:type="dxa"/>
            <w:vAlign w:val="bottom"/>
            <w:tcBorders>
              <w:right w:val="single" w:sz="8" w:color="auto"/>
            </w:tcBorders>
            <w:vMerge w:val="continue"/>
          </w:tcPr>
          <w:p>
            <w:pPr>
              <w:spacing w:after="0"/>
              <w:rPr>
                <w:sz w:val="3"/>
                <w:szCs w:val="3"/>
                <w:color w:val="auto"/>
              </w:rPr>
            </w:pPr>
          </w:p>
        </w:tc>
        <w:tc>
          <w:tcPr>
            <w:tcW w:w="2020" w:type="dxa"/>
            <w:vAlign w:val="bottom"/>
            <w:tcBorders>
              <w:right w:val="single" w:sz="8" w:color="auto"/>
            </w:tcBorders>
          </w:tcPr>
          <w:p>
            <w:pPr>
              <w:spacing w:after="0"/>
              <w:rPr>
                <w:sz w:val="3"/>
                <w:szCs w:val="3"/>
                <w:color w:val="auto"/>
              </w:rPr>
            </w:pPr>
          </w:p>
        </w:tc>
        <w:tc>
          <w:tcPr>
            <w:tcW w:w="23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10, 2025)</w:t>
            </w: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17,0001</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9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Noah Goodman</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Trading plan intended to</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10, 2026</w:t>
            </w:r>
          </w:p>
        </w:tc>
        <w:tc>
          <w:tcPr>
            <w:tcW w:w="2020" w:type="dxa"/>
            <w:vAlign w:val="bottom"/>
            <w:tcBorders>
              <w:right w:val="single" w:sz="8" w:color="auto"/>
            </w:tcBorders>
            <w:vMerge w:val="continue"/>
          </w:tcPr>
          <w:p>
            <w:pPr>
              <w:spacing w:after="0"/>
              <w:rPr>
                <w:sz w:val="12"/>
                <w:szCs w:val="12"/>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Exercises of vested stock</w:t>
            </w:r>
          </w:p>
        </w:tc>
        <w:tc>
          <w:tcPr>
            <w:tcW w:w="0" w:type="dxa"/>
            <w:vAlign w:val="bottom"/>
          </w:tcPr>
          <w:p>
            <w:pPr>
              <w:spacing w:after="0"/>
              <w:rPr>
                <w:sz w:val="1"/>
                <w:szCs w:val="1"/>
                <w:color w:val="auto"/>
              </w:rPr>
            </w:pPr>
          </w:p>
        </w:tc>
      </w:tr>
      <w:tr>
        <w:trPr>
          <w:trHeight w:val="61"/>
        </w:trPr>
        <w:tc>
          <w:tcPr>
            <w:tcW w:w="1900" w:type="dxa"/>
            <w:vAlign w:val="bottom"/>
            <w:tcBorders>
              <w:left w:val="single" w:sz="8" w:color="auto"/>
              <w:right w:val="single" w:sz="8" w:color="auto"/>
            </w:tcBorders>
            <w:vMerge w:val="continue"/>
          </w:tcPr>
          <w:p>
            <w:pPr>
              <w:spacing w:after="0"/>
              <w:rPr>
                <w:sz w:val="5"/>
                <w:szCs w:val="5"/>
                <w:color w:val="auto"/>
              </w:rPr>
            </w:pPr>
          </w:p>
        </w:tc>
        <w:tc>
          <w:tcPr>
            <w:tcW w:w="186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continue"/>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23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10, 2025)</w:t>
            </w: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Elena Ridloff</w:t>
            </w:r>
          </w:p>
        </w:tc>
        <w:tc>
          <w:tcPr>
            <w:tcW w:w="18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Trading plan intended to</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December 31, 2026</w:t>
            </w:r>
          </w:p>
        </w:tc>
        <w:tc>
          <w:tcPr>
            <w:tcW w:w="20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23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c>
          <w:tcPr>
            <w:tcW w:w="0" w:type="dxa"/>
            <w:vAlign w:val="bottom"/>
          </w:tcPr>
          <w:p>
            <w:pPr>
              <w:spacing w:after="0"/>
              <w:rPr>
                <w:sz w:val="1"/>
                <w:szCs w:val="1"/>
                <w:color w:val="auto"/>
              </w:rPr>
            </w:pPr>
          </w:p>
        </w:tc>
      </w:tr>
      <w:tr>
        <w:trPr>
          <w:trHeight w:val="218"/>
        </w:trPr>
        <w:tc>
          <w:tcPr>
            <w:tcW w:w="1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11, 2025)</w:t>
            </w: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Bruce Booth</w:t>
            </w:r>
          </w:p>
        </w:tc>
        <w:tc>
          <w:tcPr>
            <w:tcW w:w="18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Trading plan intended to</w:t>
            </w:r>
          </w:p>
        </w:tc>
        <w:tc>
          <w:tcPr>
            <w:tcW w:w="1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September 16, 2026</w:t>
            </w:r>
          </w:p>
        </w:tc>
        <w:tc>
          <w:tcPr>
            <w:tcW w:w="20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24,000</w:t>
            </w:r>
          </w:p>
        </w:tc>
        <w:tc>
          <w:tcPr>
            <w:tcW w:w="23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c>
          <w:tcPr>
            <w:tcW w:w="0" w:type="dxa"/>
            <w:vAlign w:val="bottom"/>
          </w:tcPr>
          <w:p>
            <w:pPr>
              <w:spacing w:after="0"/>
              <w:rPr>
                <w:sz w:val="1"/>
                <w:szCs w:val="1"/>
                <w:color w:val="auto"/>
              </w:rPr>
            </w:pPr>
          </w:p>
        </w:tc>
      </w:tr>
      <w:tr>
        <w:trPr>
          <w:trHeight w:val="218"/>
        </w:trPr>
        <w:tc>
          <w:tcPr>
            <w:tcW w:w="1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16, 2025)</w:t>
            </w: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c>
          <w:tcPr>
            <w:tcW w:w="0" w:type="dxa"/>
            <w:vAlign w:val="bottom"/>
          </w:tcPr>
          <w:p>
            <w:pPr>
              <w:spacing w:after="0"/>
              <w:rPr>
                <w:sz w:val="1"/>
                <w:szCs w:val="1"/>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terms of the trading plan</w:t>
            </w:r>
          </w:p>
        </w:tc>
        <w:tc>
          <w:tcPr>
            <w:tcW w:w="0" w:type="dxa"/>
            <w:vAlign w:val="bottom"/>
          </w:tcPr>
          <w:p>
            <w:pPr>
              <w:spacing w:after="0"/>
              <w:rPr>
                <w:sz w:val="1"/>
                <w:szCs w:val="1"/>
                <w:color w:val="auto"/>
              </w:rPr>
            </w:pP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-2785110</wp:posOffset>
            </wp:positionV>
            <wp:extent cx="59512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51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firstLine="8"/>
        <w:spacing w:after="0" w:line="212" w:lineRule="auto"/>
        <w:tabs>
          <w:tab w:leader="none" w:pos="84"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These shares reflect the aggregate maximum number of Restricted Stock Units (“RSU”) prior to any non-discretionary sell-to-cover transactions in addition to other shares eligible to be sold pursuant to the plan. The Company has a non-discretionary sell-to-cover requirement to satisfy tax withholding obligations associated with RSU vesting for employees.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(excluding the information under the heading “Pay Versus Performance”)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2026 Annual Meeting of Stockholders and is incorporated herein by reference.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the Consolidated Financial Statements on page F-1 of this Annual Report on Form 10-K, which is incorporated into this Item by reference.</w:t>
      </w:r>
    </w:p>
    <w:p>
      <w:pPr>
        <w:spacing w:after="0" w:line="268"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40" w:type="dxa"/>
            <w:vAlign w:val="bottom"/>
            <w:gridSpan w:val="1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1"/>
                <w:szCs w:val="21"/>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Fourth Amended and Restated Certificate of Incorporation of Kymera Therapeutics, Inc. (Incorporated by reference to Exhibit 3.1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Registrant’s Current Report on Form 8-K (File No, 001-39460) filed with the Securities and Exchange Commission on August 25,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Second Amended and Restated Bylaws of Kymera Therapeutics, Inc. (Incorporated by reference to Exhibit 3.2 to the Registrant’s Current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Report on Form 8-K (File No. 001-39460) filed with the Securities and Exchange Commission on August 25,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(File No. 333-240264) filed with the Securities and Exchange Commission on August 17,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Registration Rights Agreement by and among the Registrant and certain of its stockholders dated June 26, 2025 (Incorporated by reference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to Exhibit 10.1 to the Registrant's Current Report on Form 8-K (File No. 001-39460) filed with the Securities and Exchange Commission on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June 27,2025).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Description of Securities (Incorporated by reference to Exhibit 4.3 to the Registrant’s Annual Report on Form 10-K (File No. 001-39460)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filed with the Securities and Exchange Commission on March 11,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4.4</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Pre-Funded Warrant (Incorporated by reference to Exhibit 4.1 to the Registrant’s Current Report on Form 8-K (File No. 001-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39460) filed with the Securities and Exchange Commission on August 19,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4.5</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Securities and Exchange Commission on January 5,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4.6</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Securities and Exchange Commission on August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7"/>
              </w:rPr>
              <w:t>4.7</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gridSpan w:val="6"/>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Securities and Exchange Commission on June 27, 2025).</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2018 Stock Option and Grant Plan, and form of award agreements thereunder (Incorporated by reference to Exhibit 10.1 to the Registrant’s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tcBorders>
              <w:right w:val="single" w:sz="8" w:color="0000FF"/>
            </w:tcBorders>
            <w:gridSpan w:val="8"/>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Registration Statement on Form S-1 (File No. 333-240264) filed with the Securities and Exchange Commission on July 31,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tcBorders>
              <w:right w:val="single" w:sz="8" w:color="0000FF"/>
            </w:tcBorders>
            <w:gridSpan w:val="8"/>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2020 Stock Option and Incentive Plan, and form of award agreements thereunder (Incorporated by reference to Exhibit 10.2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tcBorders>
              <w:right w:val="single" w:sz="8" w:color="0000FF"/>
            </w:tcBorders>
            <w:gridSpan w:val="8"/>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Registrant’s Registration Statement on Form S-1/A (File No. 333-240264) filed with the Securities and Exchange Commission on August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spacing w:after="0" w:line="196" w:lineRule="exact"/>
              <w:rPr>
                <w:rFonts w:ascii="Times New Roman" w:cs="Times New Roman" w:eastAsia="Times New Roman" w:hAnsi="Times New Roman"/>
                <w:sz w:val="18"/>
                <w:szCs w:val="18"/>
                <w:color w:val="0000FF"/>
                <w:w w:val="95"/>
              </w:rPr>
            </w:pPr>
            <w:hyperlink r:id="rId390">
              <w:r>
                <w:rPr>
                  <w:rFonts w:ascii="Times New Roman" w:cs="Times New Roman" w:eastAsia="Times New Roman" w:hAnsi="Times New Roman"/>
                  <w:sz w:val="18"/>
                  <w:szCs w:val="18"/>
                  <w:color w:val="0000FF"/>
                  <w:w w:val="95"/>
                </w:rPr>
                <w:t>17, 2020).</w:t>
              </w:r>
            </w:hyperlink>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Amendment No.1 to the 2020 Stock Option and Incentive Plan (Incorporated by reference to Exhibit 10.1 to the Registrant’s Current Report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220" w:type="dxa"/>
            <w:vAlign w:val="bottom"/>
            <w:tcBorders>
              <w:right w:val="single" w:sz="8" w:color="0000FF"/>
            </w:tcBorders>
            <w:gridSpan w:val="9"/>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on Form 8-K (File No. 001-39460) filed with the Securities and Exchange Commission on June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220" w:type="dxa"/>
            <w:vAlign w:val="bottom"/>
            <w:tcBorders>
              <w:right w:val="single" w:sz="8" w:color="0000EE"/>
            </w:tcBorders>
            <w:gridSpan w:val="9"/>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Amended and Restated Non-Employee Director Compensation Policy dated June 25, 2025 (Incorporated by reference to Exhibit 10.3 to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140" w:type="dxa"/>
            <w:vAlign w:val="bottom"/>
            <w:gridSpan w:val="13"/>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Registrant’s Quarterly Report on Form 10-Q (File No. 001-39460) filed with the Securities and Exchange Commission on August 11,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392">
              <w:r>
                <w:rPr>
                  <w:rFonts w:ascii="Times New Roman" w:cs="Times New Roman" w:eastAsia="Times New Roman" w:hAnsi="Times New Roman"/>
                  <w:sz w:val="18"/>
                  <w:szCs w:val="18"/>
                  <w:color w:val="0000FF"/>
                  <w:w w:val="90"/>
                </w:rPr>
                <w:t>2025).</w:t>
              </w:r>
            </w:hyperlink>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9480" w:type="dxa"/>
            <w:vAlign w:val="bottom"/>
            <w:gridSpan w:val="1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0120" w:type="dxa"/>
            <w:vAlign w:val="bottom"/>
            <w:gridSpan w:val="21"/>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Amended and Restated Non-Employee Director Compensation Policy dated March 27, 2024 (Incorporated by reference to Exhibit 10.1 to</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940" w:type="dxa"/>
            <w:vAlign w:val="bottom"/>
            <w:gridSpan w:val="17"/>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the Registrant’s Quarterly Report on Form 10-Q (File No. 001-39460) filed with the Securities and Exchange Commission on May 2, 2024).</w:t>
              </w:r>
            </w:hyperlink>
          </w:p>
        </w:tc>
        <w:tc>
          <w:tcPr>
            <w:tcW w:w="0" w:type="dxa"/>
            <w:vAlign w:val="bottom"/>
          </w:tcPr>
          <w:p>
            <w:pPr>
              <w:spacing w:after="0"/>
              <w:rPr>
                <w:sz w:val="1"/>
                <w:szCs w:val="1"/>
                <w:color w:val="auto"/>
              </w:rPr>
            </w:pPr>
          </w:p>
        </w:tc>
      </w:tr>
      <w:tr>
        <w:trPr>
          <w:trHeight w:val="426"/>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tcBorders>
              <w:top w:val="single" w:sz="8" w:color="0000FF"/>
            </w:tcBorders>
            <w:gridSpan w:val="7"/>
          </w:tcPr>
          <w:p>
            <w:pPr>
              <w:jc w:val="right"/>
              <w:ind w:right="528"/>
              <w:spacing w:after="0"/>
              <w:rPr>
                <w:sz w:val="20"/>
                <w:szCs w:val="20"/>
                <w:color w:val="auto"/>
              </w:rPr>
            </w:pPr>
            <w:r>
              <w:rPr>
                <w:rFonts w:ascii="Times New Roman" w:cs="Times New Roman" w:eastAsia="Times New Roman" w:hAnsi="Times New Roman"/>
                <w:sz w:val="18"/>
                <w:szCs w:val="18"/>
                <w:color w:val="auto"/>
              </w:rPr>
              <w:t>136</w:t>
            </w:r>
          </w:p>
        </w:tc>
        <w:tc>
          <w:tcPr>
            <w:tcW w:w="6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Senior Executive Cash Incentive Bonus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S-1/A (File No. 333-240264) filed with the Securities and Exchange Commission on August 13,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Amended and Restated 2020 Employee Stock Purchase Plan (Incorporated by reference to Exhibit 10.1 to the Registrant’s Quarterly Report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on Form 10-Q (File No. 001-39460) filed with the Securities and Exchange Commission on November 5,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Exhibit 10.6 to the Registrant’s Registration Statement on Form S-1/A (File No. 333-240264) filed with the Securities and Exchange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Commission on August 17,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Lease between the Registrant and Arsenal Yards Holding LLC, dated as of August 15, 2019 (Incorporated by reference to Exhibit 10.8 to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the Registrant’s Registration Statement on Form S-1 (File No. 333-240264) filed with the Securities and Exchange Commission on July 31,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398">
              <w:r>
                <w:rPr>
                  <w:rFonts w:ascii="Times New Roman" w:cs="Times New Roman" w:eastAsia="Times New Roman" w:hAnsi="Times New Roman"/>
                  <w:sz w:val="18"/>
                  <w:szCs w:val="18"/>
                  <w:color w:val="0000FF"/>
                  <w:w w:val="94"/>
                </w:rPr>
                <w:t>2020).</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Form of Amended and Restated Employment Agreement (Incorporated by reference to Exhibit 10.9 to the Registrant’s Registration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Statement on Form S-1/A (File No. 333-240264) filed with the Securities and Exchange Commission on August 13,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Amended and Restated Collaboration and License Agreement between the Registrant and Genzyme Corporation, dated as of November 15,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2022. (Incorporated by reference to Exhibit 10.10 to Registrant’s Annual Report on Form 10-K (File No. 001-39460) filed with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Securities and Exchange Commission on February 23, 2023).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Lease between the Registrant and ARE-MA REGION NO. 75, LLC dated as of December 20, 2021. (Incorporated by reference to Exhibit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to Registrant’s Annual Report on Form 10-K (File No. 001-39460) filed with the Securities and Exchange Commission on February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20" w:type="dxa"/>
            <w:vAlign w:val="bottom"/>
            <w:gridSpan w:val="4"/>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22, 2024).</w:t>
              </w:r>
            </w:hyperlink>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Securities Purchase Agreement, dated August 18, 2022, by and among the Registrant and the persons party thereto (Incorporated by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reference to Exhibit 10.1 to the Registrant’s Current Report on form 8-K filed with the Securities and Exchange Commission on August 19,</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402">
              <w:r>
                <w:rPr>
                  <w:rFonts w:ascii="Times New Roman" w:cs="Times New Roman" w:eastAsia="Times New Roman" w:hAnsi="Times New Roman"/>
                  <w:sz w:val="18"/>
                  <w:szCs w:val="18"/>
                  <w:color w:val="0000FF"/>
                  <w:w w:val="94"/>
                </w:rPr>
                <w:t>2022).</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Registration Rights Agreement, dated August 18, 2022, by and among the Registrant and the persons party thereto (Incorporated by</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reference to Exhibit 10.2 to the Registrant’s Current Report on Form 8-K (File No. 001-39460) filed with the Securities and Exchange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Commission on August 19, 2022).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Letter between the Registrant and Genzyme Corporation, dated as of November 14, 2023. (Incorporated by reference to Exhibit 10.16 to</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Registrant’s Annual Report on Form 10-K (File No. 001-39460) filed with the Securities and Exchange Commission on February 22, 2024)</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Letter between the Registrant and Genzyme Corporation, dated as of July 31, 2024 (Incorporated by reference to Exhibit 10.1 to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Registrant’s Quarterly Report on Form 10-Q (File No. 001-39460) filed with the Securities and Exchange Commission on October 31,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FF"/>
                <w:w w:val="94"/>
              </w:rPr>
            </w:pPr>
            <w:hyperlink r:id="rId405">
              <w:r>
                <w:rPr>
                  <w:rFonts w:ascii="Times New Roman" w:cs="Times New Roman" w:eastAsia="Times New Roman" w:hAnsi="Times New Roman"/>
                  <w:sz w:val="18"/>
                  <w:szCs w:val="18"/>
                  <w:color w:val="0000FF"/>
                  <w:w w:val="94"/>
                </w:rPr>
                <w:t>2024).</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vMerge w:val="restart"/>
          </w:tcPr>
          <w:p>
            <w:pPr>
              <w:spacing w:after="0"/>
              <w:rPr>
                <w:rFonts w:ascii="Times New Roman" w:cs="Times New Roman" w:eastAsia="Times New Roman" w:hAnsi="Times New Roman"/>
                <w:sz w:val="11"/>
                <w:szCs w:val="11"/>
                <w:color w:val="0000FF"/>
                <w:w w:val="75"/>
              </w:rPr>
            </w:pPr>
            <w:hyperlink r:id="rId406">
              <w:r>
                <w:rPr>
                  <w:rFonts w:ascii="Times New Roman" w:cs="Times New Roman" w:eastAsia="Times New Roman" w:hAnsi="Times New Roman"/>
                  <w:sz w:val="11"/>
                  <w:szCs w:val="11"/>
                  <w:color w:val="0000FF"/>
                  <w:w w:val="75"/>
                </w:rPr>
                <w:t>SM</w:t>
              </w:r>
            </w:hyperlink>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2180" w:type="dxa"/>
            <w:vAlign w:val="bottom"/>
            <w:gridSpan w:val="6"/>
            <w:vMerge w:val="restart"/>
          </w:tcPr>
          <w:p>
            <w:pPr>
              <w:spacing w:after="0"/>
              <w:rPr>
                <w:rFonts w:ascii="Times New Roman" w:cs="Times New Roman" w:eastAsia="Times New Roman" w:hAnsi="Times New Roman"/>
                <w:sz w:val="18"/>
                <w:szCs w:val="18"/>
                <w:color w:val="0000FF"/>
                <w:w w:val="99"/>
              </w:rPr>
            </w:pPr>
            <w:hyperlink r:id="rId406">
              <w:r>
                <w:rPr>
                  <w:rFonts w:ascii="Times New Roman" w:cs="Times New Roman" w:eastAsia="Times New Roman" w:hAnsi="Times New Roman"/>
                  <w:sz w:val="18"/>
                  <w:szCs w:val="18"/>
                  <w:color w:val="0000FF"/>
                  <w:w w:val="99"/>
                </w:rPr>
                <w:t>Open Market Sale Agreement</w:t>
              </w:r>
            </w:hyperlink>
          </w:p>
        </w:tc>
        <w:tc>
          <w:tcPr>
            <w:tcW w:w="140" w:type="dxa"/>
            <w:vAlign w:val="bottom"/>
            <w:tcBorders>
              <w:bottom w:val="single" w:sz="8" w:color="0000FF"/>
            </w:tcBorders>
            <w:vMerge w:val="continue"/>
          </w:tcPr>
          <w:p>
            <w:pPr>
              <w:spacing w:after="0"/>
              <w:rPr>
                <w:sz w:val="17"/>
                <w:szCs w:val="17"/>
                <w:color w:val="auto"/>
              </w:rPr>
            </w:pPr>
          </w:p>
        </w:tc>
        <w:tc>
          <w:tcPr>
            <w:tcW w:w="7820" w:type="dxa"/>
            <w:vAlign w:val="bottom"/>
            <w:gridSpan w:val="19"/>
            <w:vMerge w:val="restart"/>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 by and between the Registrant and Jefferies LLC, dated October 31, 2024 (Incorporated by reference to</w:t>
              </w:r>
            </w:hyperlink>
          </w:p>
        </w:tc>
        <w:tc>
          <w:tcPr>
            <w:tcW w:w="0" w:type="dxa"/>
            <w:vAlign w:val="bottom"/>
          </w:tcPr>
          <w:p>
            <w:pPr>
              <w:spacing w:after="0"/>
              <w:rPr>
                <w:sz w:val="1"/>
                <w:szCs w:val="1"/>
                <w:color w:val="auto"/>
              </w:rPr>
            </w:pPr>
          </w:p>
        </w:tc>
      </w:tr>
      <w:tr>
        <w:trPr>
          <w:trHeight w:val="61"/>
        </w:trPr>
        <w:tc>
          <w:tcPr>
            <w:tcW w:w="1100" w:type="dxa"/>
            <w:vAlign w:val="bottom"/>
            <w:vMerge w:val="continue"/>
          </w:tcPr>
          <w:p>
            <w:pPr>
              <w:spacing w:after="0"/>
              <w:rPr>
                <w:sz w:val="5"/>
                <w:szCs w:val="5"/>
                <w:color w:val="auto"/>
              </w:rPr>
            </w:pPr>
          </w:p>
        </w:tc>
        <w:tc>
          <w:tcPr>
            <w:tcW w:w="218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782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Exhibit 10.2 to the Registrant’s Quarterly Report on Form 10-Q (File No. 001-39460) filed with the Securities and Exchange Commission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on October 31, 2024).</w:t>
              </w:r>
            </w:hyperlink>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24"/>
                <w:szCs w:val="24"/>
                <w:color w:val="auto"/>
                <w:vertAlign w:val="superscript"/>
              </w:rPr>
              <w:t>+</w:t>
            </w: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vMerge w:val="continue"/>
          </w:tcPr>
          <w:p>
            <w:pPr>
              <w:spacing w:after="0"/>
              <w:rPr>
                <w:sz w:val="24"/>
                <w:szCs w:val="24"/>
                <w:color w:val="auto"/>
              </w:rPr>
            </w:pP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Amended and Restated Insider Trading Policy</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List of Subsidiaries of Registrant.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 Annual Report on Form 10-K).</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w:t>
            </w: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vMerge w:val="continue"/>
          </w:tcPr>
          <w:p>
            <w:pPr>
              <w:spacing w:after="0"/>
              <w:rPr>
                <w:sz w:val="24"/>
                <w:szCs w:val="24"/>
                <w:color w:val="auto"/>
              </w:rPr>
            </w:pP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w:t>
            </w: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vMerge w:val="continue"/>
          </w:tcPr>
          <w:p>
            <w:pPr>
              <w:spacing w:after="0"/>
              <w:rPr>
                <w:sz w:val="24"/>
                <w:szCs w:val="24"/>
                <w:color w:val="auto"/>
              </w:rPr>
            </w:pP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8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Compensation Recovery Policy (Incorporated by reference to Exhibit 97 to Registrant’s Annual Report on Form 10-K (File No. 001-39460)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56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filed with the Securities and Exchange Commission on February 22, 2024).</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5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405"/>
        </w:trPr>
        <w:tc>
          <w:tcPr>
            <w:tcW w:w="1100" w:type="dxa"/>
            <w:vAlign w:val="bottom"/>
          </w:tcPr>
          <w:p>
            <w:pPr>
              <w:spacing w:after="0"/>
              <w:rPr>
                <w:sz w:val="24"/>
                <w:szCs w:val="24"/>
                <w:color w:val="auto"/>
              </w:rPr>
            </w:pPr>
          </w:p>
        </w:tc>
        <w:tc>
          <w:tcPr>
            <w:tcW w:w="4980" w:type="dxa"/>
            <w:vAlign w:val="bottom"/>
            <w:gridSpan w:val="11"/>
          </w:tcPr>
          <w:p>
            <w:pPr>
              <w:ind w:left="4380"/>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9030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6" w:lineRule="exact"/>
        <w:rPr>
          <w:sz w:val="20"/>
          <w:szCs w:val="20"/>
          <w:color w:val="auto"/>
        </w:rPr>
      </w:pPr>
    </w:p>
    <w:p>
      <w:pPr>
        <w:jc w:val="both"/>
        <w:ind w:firstLine="8"/>
        <w:spacing w:after="0" w:line="245" w:lineRule="auto"/>
        <w:tabs>
          <w:tab w:leader="none" w:pos="98"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1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333"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All schedules to the consolidated financial statements are omitted as the required information is either inapplicable or presented in the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0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Kymera Therapeutics, Inc.</w:t>
            </w:r>
          </w:p>
        </w:tc>
        <w:tc>
          <w:tcPr>
            <w:tcW w:w="344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40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211"/>
        </w:trPr>
        <w:tc>
          <w:tcPr>
            <w:tcW w:w="3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bl>
    <w:p>
      <w:pPr>
        <w:ind w:left="73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Nello Mainolfi, Ph.D. and Bruce Jacobs, CFA,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0"/>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Nello Mainolfi,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Nello Mainolfi, Ph.D.</w:t>
            </w:r>
          </w:p>
        </w:tc>
        <w:tc>
          <w:tcPr>
            <w:tcW w:w="120" w:type="dxa"/>
            <w:vAlign w:val="bottom"/>
          </w:tcPr>
          <w:p>
            <w:pPr>
              <w:spacing w:after="0"/>
              <w:rPr>
                <w:sz w:val="19"/>
                <w:szCs w:val="19"/>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Jacobs, CFA, MBA</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Bruce Jacobs, CFA, MBA</w:t>
            </w:r>
          </w:p>
        </w:tc>
        <w:tc>
          <w:tcPr>
            <w:tcW w:w="120" w:type="dxa"/>
            <w:vAlign w:val="bottom"/>
          </w:tcPr>
          <w:p>
            <w:pPr>
              <w:spacing w:after="0"/>
              <w:rPr>
                <w:sz w:val="19"/>
                <w:szCs w:val="19"/>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Booth, DPhil</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Bruce Booth, DPhil</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Felix Baker,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Felix Baker,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 Albers, MBA</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Jeff Albers, MBA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Pamela Esposito,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Pamela Esposito,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Gorjan Hrustanovic,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Gorjan Hrustanovic,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 Maraganore, PhD</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John M. Maraganore,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Elena, Ridloff, CFA</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Elena Ridloff, CFA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Victor Sandor, MDCM</w:t>
            </w:r>
          </w:p>
        </w:tc>
        <w:tc>
          <w:tcPr>
            <w:tcW w:w="12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Victor Sandor</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522"/>
        </w:trPr>
        <w:tc>
          <w:tcPr>
            <w:tcW w:w="3720" w:type="dxa"/>
            <w:vAlign w:val="bottom"/>
          </w:tcPr>
          <w:p>
            <w:pPr>
              <w:spacing w:after="0"/>
              <w:rPr>
                <w:sz w:val="24"/>
                <w:szCs w:val="24"/>
                <w:color w:val="auto"/>
              </w:rPr>
            </w:pPr>
          </w:p>
        </w:tc>
        <w:tc>
          <w:tcPr>
            <w:tcW w:w="5000" w:type="dxa"/>
            <w:vAlign w:val="bottom"/>
            <w:gridSpan w:val="2"/>
          </w:tcPr>
          <w:p>
            <w:pPr>
              <w:jc w:val="right"/>
              <w:ind w:right="287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45"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00" w:lineRule="exact"/>
        <w:rPr>
          <w:sz w:val="20"/>
          <w:szCs w:val="20"/>
          <w:color w:val="auto"/>
        </w:rPr>
      </w:pPr>
    </w:p>
    <w:p>
      <w:pPr>
        <w:spacing w:after="0" w:line="253" w:lineRule="exact"/>
        <w:rPr>
          <w:sz w:val="20"/>
          <w:szCs w:val="20"/>
          <w:color w:val="auto"/>
        </w:rPr>
      </w:pPr>
    </w:p>
    <w:p>
      <w:pPr>
        <w:ind w:left="8" w:right="2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This memorandum sets forth the policy of Kymera Therapeutics, Inc. and its subsidiaries (collectively, the “Company”) regarding trading in the Company’s securities as described below and the disclosure of information concerning the Company. This Insider Trading Policy (the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w:t>
      </w:r>
      <w:r>
        <w:rPr>
          <w:rFonts w:ascii="Times New Roman" w:cs="Times New Roman" w:eastAsia="Times New Roman" w:hAnsi="Times New Roman"/>
          <w:sz w:val="22"/>
          <w:szCs w:val="22"/>
          <w:b w:val="1"/>
          <w:bCs w:val="1"/>
          <w:color w:val="auto"/>
        </w:rPr>
        <w:t>It is your obligation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 understand and comply with this Insider Trading Policy.</w:t>
      </w:r>
    </w:p>
    <w:p>
      <w:pPr>
        <w:spacing w:after="0" w:line="2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748" w:hanging="748"/>
        <w:spacing w:after="0"/>
        <w:tabs>
          <w:tab w:leader="none" w:pos="748" w:val="left"/>
        </w:tabs>
        <w:numPr>
          <w:ilvl w:val="0"/>
          <w:numId w:val="6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ind w:left="8" w:right="300" w:firstLine="749"/>
        <w:spacing w:after="0" w:line="249" w:lineRule="auto"/>
        <w:rPr>
          <w:sz w:val="20"/>
          <w:szCs w:val="20"/>
          <w:color w:val="auto"/>
        </w:rPr>
      </w:pPr>
      <w:r>
        <w:rPr>
          <w:rFonts w:ascii="Times New Roman" w:cs="Times New Roman" w:eastAsia="Times New Roman" w:hAnsi="Times New Roman"/>
          <w:sz w:val="21"/>
          <w:szCs w:val="21"/>
          <w:color w:val="auto"/>
        </w:rPr>
        <w:t>This Policy is applicable to the Company’s directors, officers, employees, and designated advisors and consultants and contractors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71" w:lineRule="exact"/>
        <w:rPr>
          <w:sz w:val="20"/>
          <w:szCs w:val="20"/>
          <w:color w:val="auto"/>
        </w:rPr>
      </w:pPr>
    </w:p>
    <w:p>
      <w:pPr>
        <w:ind w:left="8" w:right="340" w:firstLine="749"/>
        <w:spacing w:after="0" w:line="235" w:lineRule="auto"/>
        <w:rPr>
          <w:sz w:val="20"/>
          <w:szCs w:val="20"/>
          <w:color w:val="auto"/>
        </w:rPr>
      </w:pPr>
      <w:r>
        <w:rPr>
          <w:rFonts w:ascii="Times New Roman" w:cs="Times New Roman" w:eastAsia="Times New Roman" w:hAnsi="Times New Roman"/>
          <w:sz w:val="22"/>
          <w:szCs w:val="22"/>
          <w:color w:val="auto"/>
        </w:rPr>
        <w:t>In addition, all directors, all executive officers (as defined by Section 16 of Securities Exchange Act of 1934, as amended (the “Exchange Act”)), officers and employees and designated consultants must comply with the Trading Procedures set forth in Part II of this Policy (the “Trading Procedures”) (collectively,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pacing w:after="0" w:line="183" w:lineRule="exact"/>
        <w:rPr>
          <w:sz w:val="20"/>
          <w:szCs w:val="20"/>
          <w:color w:val="auto"/>
        </w:rPr>
      </w:pPr>
    </w:p>
    <w:p>
      <w:pPr>
        <w:ind w:left="8" w:right="960" w:firstLine="749"/>
        <w:spacing w:after="0" w:line="258" w:lineRule="auto"/>
        <w:rPr>
          <w:sz w:val="20"/>
          <w:szCs w:val="20"/>
          <w:color w:val="auto"/>
        </w:rPr>
      </w:pPr>
      <w:r>
        <w:rPr>
          <w:rFonts w:ascii="Times New Roman" w:cs="Times New Roman" w:eastAsia="Times New Roman" w:hAnsi="Times New Roman"/>
          <w:sz w:val="22"/>
          <w:szCs w:val="22"/>
          <w:color w:val="auto"/>
        </w:rPr>
        <w:t>This Policy, including, if applicable, the Trading Procedures contained herein, also applies to the following persons (collectively, these persons and entities are referred to as “Affiliated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191135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8"/>
          </w:cols>
          <w:pgMar w:left="552" w:top="1197" w:right="379" w:bottom="1440" w:gutter="0" w:footer="0" w:header="0"/>
        </w:sectPr>
      </w:pPr>
    </w:p>
    <w:bookmarkStart w:id="151" w:name="page152"/>
    <w:bookmarkEnd w:id="151"/>
    <w:p>
      <w:pPr>
        <w:spacing w:after="0" w:line="252" w:lineRule="exact"/>
        <w:rPr>
          <w:sz w:val="20"/>
          <w:szCs w:val="20"/>
          <w:color w:val="auto"/>
        </w:rPr>
      </w:pPr>
    </w:p>
    <w:p>
      <w:pPr>
        <w:ind w:left="1460" w:right="540" w:hanging="719"/>
        <w:spacing w:after="0" w:line="258" w:lineRule="auto"/>
        <w:tabs>
          <w:tab w:leader="none" w:pos="14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spouse, child, parent, significant other or other family member, in each case, living in the same household;</w:t>
      </w:r>
    </w:p>
    <w:p>
      <w:pPr>
        <w:spacing w:after="0" w:line="158" w:lineRule="exact"/>
        <w:rPr>
          <w:rFonts w:ascii="Times New Roman" w:cs="Times New Roman" w:eastAsia="Times New Roman" w:hAnsi="Times New Roman"/>
          <w:sz w:val="22"/>
          <w:szCs w:val="22"/>
          <w:color w:val="auto"/>
        </w:rPr>
      </w:pPr>
    </w:p>
    <w:p>
      <w:pPr>
        <w:ind w:left="1480" w:right="220" w:hanging="739"/>
        <w:spacing w:after="0" w:line="244"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of the Insider or for the benefit of a member of your family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480" w:right="60" w:hanging="739"/>
        <w:spacing w:after="0" w:line="233"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Policy, including the Trading Procedures contained herein, by all of your Affiliated Persons.</w:t>
      </w:r>
    </w:p>
    <w:p>
      <w:pPr>
        <w:spacing w:after="0" w:line="15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599440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60" w:top="1440" w:right="679" w:bottom="1440" w:gutter="0" w:footer="0" w:header="0"/>
        </w:sectPr>
      </w:pPr>
    </w:p>
    <w:bookmarkStart w:id="152" w:name="page153"/>
    <w:bookmarkEnd w:id="152"/>
    <w:p>
      <w:pPr>
        <w:spacing w:after="0" w:line="246" w:lineRule="exact"/>
        <w:rPr>
          <w:sz w:val="20"/>
          <w:szCs w:val="20"/>
          <w:color w:val="auto"/>
        </w:rPr>
      </w:pPr>
    </w:p>
    <w:p>
      <w:pPr>
        <w:ind w:left="748" w:hanging="748"/>
        <w:spacing w:after="0"/>
        <w:tabs>
          <w:tab w:leader="none" w:pos="748" w:val="left"/>
        </w:tabs>
        <w:numPr>
          <w:ilvl w:val="0"/>
          <w:numId w:val="6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left="8" w:firstLine="749"/>
        <w:spacing w:after="0" w:line="239" w:lineRule="auto"/>
        <w:rPr>
          <w:sz w:val="20"/>
          <w:szCs w:val="20"/>
          <w:color w:val="auto"/>
        </w:rPr>
      </w:pPr>
      <w:r>
        <w:rPr>
          <w:rFonts w:ascii="Times New Roman" w:cs="Times New Roman" w:eastAsia="Times New Roman" w:hAnsi="Times New Roman"/>
          <w:sz w:val="22"/>
          <w:szCs w:val="22"/>
          <w:color w:val="auto"/>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 w:right="160" w:firstLine="749"/>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generally are prohibited from the following activities:</w:t>
      </w:r>
    </w:p>
    <w:p>
      <w:pPr>
        <w:spacing w:after="0" w:line="158" w:lineRule="exact"/>
        <w:rPr>
          <w:sz w:val="20"/>
          <w:szCs w:val="20"/>
          <w:color w:val="auto"/>
        </w:rPr>
      </w:pPr>
    </w:p>
    <w:p>
      <w:pPr>
        <w:ind w:left="1108" w:right="160" w:hanging="359"/>
        <w:spacing w:after="0" w:line="234" w:lineRule="auto"/>
        <w:tabs>
          <w:tab w:leader="none" w:pos="110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 such as when trades are made pursuant to a written plan that was adopted, or trading instructions that were given, before you knew or had possession of such material, nonpublic information and certain other conditions are satisfied;</w:t>
      </w:r>
    </w:p>
    <w:p>
      <w:pPr>
        <w:spacing w:after="0" w:line="179" w:lineRule="exact"/>
        <w:rPr>
          <w:rFonts w:ascii="Times New Roman" w:cs="Times New Roman" w:eastAsia="Times New Roman" w:hAnsi="Times New Roman"/>
          <w:sz w:val="22"/>
          <w:szCs w:val="22"/>
          <w:color w:val="auto"/>
        </w:rPr>
      </w:pPr>
    </w:p>
    <w:p>
      <w:pPr>
        <w:ind w:left="1128" w:hanging="379"/>
        <w:spacing w:after="0"/>
        <w:tabs>
          <w:tab w:leader="none" w:pos="11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and</w:t>
      </w:r>
    </w:p>
    <w:p>
      <w:pPr>
        <w:spacing w:after="0" w:line="98" w:lineRule="exact"/>
        <w:rPr>
          <w:rFonts w:ascii="Times New Roman" w:cs="Times New Roman" w:eastAsia="Times New Roman" w:hAnsi="Times New Roman"/>
          <w:sz w:val="22"/>
          <w:szCs w:val="22"/>
          <w:color w:val="auto"/>
        </w:rPr>
      </w:pPr>
    </w:p>
    <w:p>
      <w:pPr>
        <w:ind w:left="1108" w:right="40" w:hanging="359"/>
        <w:spacing w:after="0" w:line="234" w:lineRule="auto"/>
        <w:tabs>
          <w:tab w:leader="none" w:pos="110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material, nonpublic information about the Company, whether positive or negative, to anyone else who might then trade, or recommending to anyone that they purchase or sell the Company’s securities when you are aware of material, nonpublic information (these practices are commonly known as “</w:t>
      </w:r>
      <w:r>
        <w:rPr>
          <w:rFonts w:ascii="Times New Roman" w:cs="Times New Roman" w:eastAsia="Times New Roman" w:hAnsi="Times New Roman"/>
          <w:sz w:val="22"/>
          <w:szCs w:val="22"/>
          <w:i w:val="1"/>
          <w:iCs w:val="1"/>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598805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8"/>
          </w:cols>
          <w:pgMar w:left="552" w:top="1440" w:right="699" w:bottom="1440" w:gutter="0" w:footer="0" w:header="0"/>
        </w:sectPr>
      </w:pPr>
    </w:p>
    <w:bookmarkStart w:id="153" w:name="page154"/>
    <w:bookmarkEnd w:id="153"/>
    <w:p>
      <w:pPr>
        <w:spacing w:after="0" w:line="252" w:lineRule="exact"/>
        <w:rPr>
          <w:sz w:val="20"/>
          <w:szCs w:val="20"/>
          <w:color w:val="auto"/>
        </w:rPr>
      </w:pPr>
    </w:p>
    <w:p>
      <w:pPr>
        <w:ind w:left="8" w:right="20"/>
        <w:spacing w:after="0" w:line="238" w:lineRule="auto"/>
        <w:rPr>
          <w:sz w:val="20"/>
          <w:szCs w:val="20"/>
          <w:color w:val="auto"/>
        </w:rPr>
      </w:pPr>
      <w:r>
        <w:rPr>
          <w:rFonts w:ascii="Times New Roman" w:cs="Times New Roman" w:eastAsia="Times New Roman" w:hAnsi="Times New Roman"/>
          <w:sz w:val="22"/>
          <w:szCs w:val="22"/>
          <w:color w:val="auto"/>
        </w:rPr>
        <w:t>This Policy does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204" w:lineRule="exact"/>
        <w:rPr>
          <w:sz w:val="20"/>
          <w:szCs w:val="20"/>
          <w:color w:val="auto"/>
        </w:rPr>
      </w:pPr>
    </w:p>
    <w:p>
      <w:pPr>
        <w:ind w:left="8" w:right="200" w:firstLine="749"/>
        <w:spacing w:after="0" w:line="244" w:lineRule="auto"/>
        <w:rPr>
          <w:sz w:val="20"/>
          <w:szCs w:val="20"/>
          <w:color w:val="auto"/>
        </w:rPr>
      </w:pPr>
      <w:r>
        <w:rPr>
          <w:rFonts w:ascii="Times New Roman" w:cs="Times New Roman" w:eastAsia="Times New Roman" w:hAnsi="Times New Roman"/>
          <w:sz w:val="22"/>
          <w:szCs w:val="22"/>
          <w:color w:val="auto"/>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73" w:lineRule="exact"/>
        <w:rPr>
          <w:sz w:val="20"/>
          <w:szCs w:val="20"/>
          <w:color w:val="auto"/>
        </w:rPr>
      </w:pPr>
    </w:p>
    <w:p>
      <w:pPr>
        <w:ind w:left="8" w:right="12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4" w:lineRule="exact"/>
        <w:rPr>
          <w:sz w:val="20"/>
          <w:szCs w:val="20"/>
          <w:color w:val="auto"/>
        </w:rPr>
      </w:pPr>
    </w:p>
    <w:p>
      <w:pPr>
        <w:ind w:left="748" w:hanging="748"/>
        <w:spacing w:after="0"/>
        <w:tabs>
          <w:tab w:leader="none" w:pos="748" w:val="left"/>
        </w:tabs>
        <w:numPr>
          <w:ilvl w:val="0"/>
          <w:numId w:val="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ind w:left="8" w:firstLine="749"/>
        <w:spacing w:after="0" w:line="261" w:lineRule="auto"/>
        <w:rPr>
          <w:sz w:val="20"/>
          <w:szCs w:val="20"/>
          <w:color w:val="auto"/>
        </w:rPr>
      </w:pPr>
      <w:r>
        <w:rPr>
          <w:rFonts w:ascii="Times New Roman" w:cs="Times New Roman" w:eastAsia="Times New Roman" w:hAnsi="Times New Roman"/>
          <w:sz w:val="21"/>
          <w:szCs w:val="21"/>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you have a question whether certain information you are aware of is material or has been made public, you are encouraged to consult with the Compliance Officer.</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jc w:val="both"/>
        <w:ind w:left="8" w:right="120" w:firstLine="749"/>
        <w:spacing w:after="0" w:line="249"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71" w:lineRule="exact"/>
        <w:rPr>
          <w:sz w:val="20"/>
          <w:szCs w:val="20"/>
          <w:color w:val="auto"/>
        </w:rPr>
      </w:pPr>
    </w:p>
    <w:p>
      <w:pPr>
        <w:jc w:val="both"/>
        <w:ind w:left="1088" w:right="740" w:hanging="339"/>
        <w:spacing w:after="0" w:line="238" w:lineRule="auto"/>
        <w:tabs>
          <w:tab w:leader="none" w:pos="10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ind w:left="1108" w:right="20" w:hanging="359"/>
        <w:spacing w:after="0" w:line="230" w:lineRule="auto"/>
        <w:tabs>
          <w:tab w:leader="none" w:pos="110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1" w:lineRule="exact"/>
        <w:rPr>
          <w:rFonts w:ascii="Times New Roman" w:cs="Times New Roman" w:eastAsia="Times New Roman" w:hAnsi="Times New Roman"/>
          <w:sz w:val="22"/>
          <w:szCs w:val="22"/>
          <w:color w:val="auto"/>
        </w:rPr>
      </w:pPr>
    </w:p>
    <w:p>
      <w:pPr>
        <w:ind w:left="1128" w:hanging="379"/>
        <w:spacing w:after="0" w:line="230" w:lineRule="auto"/>
        <w:tabs>
          <w:tab w:leader="none" w:pos="11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ind w:left="1088" w:hanging="339"/>
        <w:spacing w:after="0" w:line="230" w:lineRule="auto"/>
        <w:tabs>
          <w:tab w:leader="none" w:pos="108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ind w:left="1108" w:right="160" w:hanging="359"/>
        <w:spacing w:after="0" w:line="237" w:lineRule="auto"/>
        <w:tabs>
          <w:tab w:leader="none" w:pos="110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777875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right="160" w:hanging="359"/>
        <w:spacing w:after="0" w:line="241"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potential collaborations or partnerships or dispositions of significant assets;</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ind w:left="1100" w:right="16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ind w:left="1100" w:right="16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ind w:left="1100" w:right="160" w:hanging="359"/>
        <w:spacing w:after="0" w:line="230" w:lineRule="auto"/>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1" w:lineRule="exact"/>
        <w:rPr>
          <w:rFonts w:ascii="Times New Roman" w:cs="Times New Roman" w:eastAsia="Times New Roman" w:hAnsi="Times New Roman"/>
          <w:sz w:val="22"/>
          <w:szCs w:val="22"/>
          <w:color w:val="auto"/>
        </w:rPr>
      </w:pPr>
    </w:p>
    <w:p>
      <w:pPr>
        <w:ind w:left="1100" w:hanging="359"/>
        <w:spacing w:after="0"/>
        <w:tabs>
          <w:tab w:leader="none" w:pos="11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1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 xml:space="preserve">By including the list above, the Company does not mean to imply that each of these items above is </w:t>
      </w:r>
      <w:r>
        <w:rPr>
          <w:rFonts w:ascii="Times New Roman" w:cs="Times New Roman" w:eastAsia="Times New Roman" w:hAnsi="Times New Roman"/>
          <w:sz w:val="21"/>
          <w:szCs w:val="21"/>
          <w:u w:val="single" w:color="auto"/>
          <w:color w:val="auto"/>
        </w:rPr>
        <w:t>per se</w:t>
      </w:r>
      <w:r>
        <w:rPr>
          <w:rFonts w:ascii="Times New Roman" w:cs="Times New Roman" w:eastAsia="Times New Roman" w:hAnsi="Times New Roman"/>
          <w:sz w:val="21"/>
          <w:szCs w:val="21"/>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98" w:lineRule="exact"/>
        <w:rPr>
          <w:sz w:val="20"/>
          <w:szCs w:val="20"/>
          <w:color w:val="auto"/>
        </w:rPr>
      </w:pPr>
    </w:p>
    <w:p>
      <w:pPr>
        <w:jc w:val="both"/>
        <w:ind w:right="520"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Policy, information will be considered public after the close of trading on the first full trading day following the Company’s public release of the information.</w:t>
      </w:r>
    </w:p>
    <w:p>
      <w:pPr>
        <w:spacing w:after="0" w:line="170"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599440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60" w:top="1440" w:right="619" w:bottom="1440" w:gutter="0" w:footer="0" w:header="0"/>
        </w:sectPr>
      </w:pPr>
    </w:p>
    <w:bookmarkStart w:id="155" w:name="page156"/>
    <w:bookmarkEnd w:id="155"/>
    <w:p>
      <w:pPr>
        <w:spacing w:after="0" w:line="246" w:lineRule="exact"/>
        <w:rPr>
          <w:sz w:val="20"/>
          <w:szCs w:val="20"/>
          <w:color w:val="auto"/>
        </w:rPr>
      </w:pPr>
    </w:p>
    <w:p>
      <w:pPr>
        <w:ind w:left="688" w:hanging="688"/>
        <w:spacing w:after="0"/>
        <w:tabs>
          <w:tab w:leader="none" w:pos="688" w:val="left"/>
        </w:tabs>
        <w:numPr>
          <w:ilvl w:val="0"/>
          <w:numId w:val="6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left="8" w:right="580" w:firstLine="749"/>
        <w:spacing w:after="0" w:line="238"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7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6" w:lineRule="exact"/>
        <w:rPr>
          <w:sz w:val="20"/>
          <w:szCs w:val="20"/>
          <w:color w:val="auto"/>
        </w:rPr>
      </w:pPr>
    </w:p>
    <w:p>
      <w:pPr>
        <w:ind w:left="1868" w:hanging="370"/>
        <w:spacing w:after="0"/>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14" w:lineRule="exact"/>
        <w:rPr>
          <w:rFonts w:ascii="Times New Roman" w:cs="Times New Roman" w:eastAsia="Times New Roman" w:hAnsi="Times New Roman"/>
          <w:sz w:val="22"/>
          <w:szCs w:val="22"/>
          <w:color w:val="auto"/>
        </w:rPr>
      </w:pPr>
    </w:p>
    <w:p>
      <w:pPr>
        <w:jc w:val="both"/>
        <w:ind w:left="1868" w:right="420" w:hanging="370"/>
        <w:spacing w:after="0" w:line="230" w:lineRule="auto"/>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1" w:lineRule="exact"/>
        <w:rPr>
          <w:rFonts w:ascii="Times New Roman" w:cs="Times New Roman" w:eastAsia="Times New Roman" w:hAnsi="Times New Roman"/>
          <w:sz w:val="22"/>
          <w:szCs w:val="22"/>
          <w:color w:val="auto"/>
        </w:rPr>
      </w:pPr>
    </w:p>
    <w:p>
      <w:pPr>
        <w:ind w:left="1868" w:hanging="370"/>
        <w:spacing w:after="0" w:line="230" w:lineRule="auto"/>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ind w:left="1868" w:hanging="370"/>
        <w:spacing w:after="0" w:line="230" w:lineRule="auto"/>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ind w:left="1868" w:hanging="370"/>
        <w:spacing w:after="0"/>
        <w:tabs>
          <w:tab w:leader="none" w:pos="18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0" w:lineRule="exact"/>
        <w:rPr>
          <w:sz w:val="20"/>
          <w:szCs w:val="20"/>
          <w:color w:val="auto"/>
        </w:rPr>
      </w:pPr>
    </w:p>
    <w:p>
      <w:pPr>
        <w:spacing w:after="0" w:line="225" w:lineRule="exact"/>
        <w:rPr>
          <w:sz w:val="20"/>
          <w:szCs w:val="20"/>
          <w:color w:val="auto"/>
        </w:rPr>
      </w:pPr>
    </w:p>
    <w:p>
      <w:pPr>
        <w:ind w:left="8" w:right="220"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$2,000,000 or more, up to three times the profit made or loss avoided, as well as criminal penalties of up to $25,000,000, and could under certain circumstances be subject to private lawsuits.</w:t>
      </w:r>
    </w:p>
    <w:p>
      <w:pPr>
        <w:spacing w:after="0" w:line="173" w:lineRule="exact"/>
        <w:rPr>
          <w:sz w:val="20"/>
          <w:szCs w:val="20"/>
          <w:color w:val="auto"/>
        </w:rPr>
      </w:pPr>
    </w:p>
    <w:p>
      <w:pPr>
        <w:ind w:left="8" w:right="40" w:firstLine="749"/>
        <w:spacing w:after="0" w:line="236" w:lineRule="auto"/>
        <w:rPr>
          <w:sz w:val="20"/>
          <w:szCs w:val="20"/>
          <w:color w:val="auto"/>
        </w:rPr>
      </w:pPr>
      <w:r>
        <w:rPr>
          <w:rFonts w:ascii="Times New Roman" w:cs="Times New Roman" w:eastAsia="Times New Roman" w:hAnsi="Times New Roman"/>
          <w:sz w:val="22"/>
          <w:szCs w:val="22"/>
          <w:color w:val="auto"/>
        </w:rPr>
        <w:t>Violation of this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748" w:hanging="748"/>
        <w:spacing w:after="0"/>
        <w:tabs>
          <w:tab w:leader="none" w:pos="748" w:val="left"/>
        </w:tabs>
        <w:numPr>
          <w:ilvl w:val="0"/>
          <w:numId w:val="6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39" w:lineRule="exact"/>
        <w:rPr>
          <w:sz w:val="20"/>
          <w:szCs w:val="20"/>
          <w:color w:val="auto"/>
        </w:rPr>
      </w:pPr>
    </w:p>
    <w:p>
      <w:pPr>
        <w:ind w:left="8"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Policy, including whether certain information you are aware of is material or has been made public, you are encouraged to consult with the Compliance Officer. In addition, if you violate this Policy or any federal or state laws governing insider trading, or know of any such violation by any director, officer or employee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601345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552" w:top="1440" w:right="579" w:bottom="1440" w:gutter="0" w:footer="0" w:header="0"/>
        </w:sectPr>
      </w:pPr>
    </w:p>
    <w:bookmarkStart w:id="156" w:name="page157"/>
    <w:bookmarkEnd w:id="156"/>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748" w:hanging="748"/>
        <w:spacing w:after="0"/>
        <w:tabs>
          <w:tab w:leader="none" w:pos="748" w:val="left"/>
        </w:tabs>
        <w:numPr>
          <w:ilvl w:val="0"/>
          <w:numId w:val="7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above, Insiders and their Affiliated Persons are subject to the following special trading restrictions:</w:t>
      </w:r>
    </w:p>
    <w:p>
      <w:pPr>
        <w:spacing w:after="0" w:line="154" w:lineRule="exact"/>
        <w:rPr>
          <w:sz w:val="20"/>
          <w:szCs w:val="20"/>
          <w:color w:val="auto"/>
        </w:rPr>
      </w:pPr>
    </w:p>
    <w:p>
      <w:pPr>
        <w:ind w:left="1508" w:hanging="759"/>
        <w:spacing w:after="0"/>
        <w:tabs>
          <w:tab w:leader="none" w:pos="1508"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p>
    <w:p>
      <w:pPr>
        <w:spacing w:after="0" w:line="237" w:lineRule="exact"/>
        <w:rPr>
          <w:sz w:val="20"/>
          <w:szCs w:val="20"/>
          <w:color w:val="auto"/>
        </w:rPr>
      </w:pPr>
    </w:p>
    <w:p>
      <w:pPr>
        <w:ind w:left="8" w:right="280"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Compliance Officer within two (2) business days of such delivery</w:t>
      </w:r>
      <w:r>
        <w:rPr>
          <w:rFonts w:ascii="Times New Roman" w:cs="Times New Roman" w:eastAsia="Times New Roman" w:hAnsi="Times New Roman"/>
          <w:sz w:val="22"/>
          <w:szCs w:val="22"/>
          <w:b w:val="1"/>
          <w:bCs w:val="1"/>
          <w:color w:val="auto"/>
        </w:rPr>
        <w:t>.</w:t>
      </w:r>
    </w:p>
    <w:p>
      <w:pPr>
        <w:spacing w:after="0" w:line="202" w:lineRule="exact"/>
        <w:rPr>
          <w:sz w:val="20"/>
          <w:szCs w:val="20"/>
          <w:color w:val="auto"/>
        </w:rPr>
      </w:pPr>
    </w:p>
    <w:p>
      <w:pPr>
        <w:ind w:left="1508" w:hanging="759"/>
        <w:spacing w:after="0"/>
        <w:tabs>
          <w:tab w:leader="none" w:pos="150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Prohibited Transactions</w:t>
      </w:r>
    </w:p>
    <w:p>
      <w:pPr>
        <w:spacing w:after="0" w:line="208" w:lineRule="exact"/>
        <w:rPr>
          <w:rFonts w:ascii="Times New Roman" w:cs="Times New Roman" w:eastAsia="Times New Roman" w:hAnsi="Times New Roman"/>
          <w:sz w:val="22"/>
          <w:szCs w:val="22"/>
          <w:b w:val="1"/>
          <w:bCs w:val="1"/>
          <w:color w:val="auto"/>
        </w:rPr>
      </w:pPr>
    </w:p>
    <w:p>
      <w:pPr>
        <w:ind w:left="1488" w:right="480" w:hanging="364"/>
        <w:spacing w:after="0" w:line="262" w:lineRule="auto"/>
        <w:tabs>
          <w:tab w:leader="none" w:pos="148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Short Sales</w:t>
      </w:r>
      <w:r>
        <w:rPr>
          <w:rFonts w:ascii="Times New Roman" w:cs="Times New Roman" w:eastAsia="Times New Roman" w:hAnsi="Times New Roman"/>
          <w:sz w:val="22"/>
          <w:szCs w:val="22"/>
          <w:i w:val="1"/>
          <w:iCs w:val="1"/>
          <w:color w:val="auto"/>
        </w:rPr>
        <w:t>. No Insider may at any time sell any securities of the Company that are not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such Insider at the time of the sale (a “short sale”).</w:t>
      </w:r>
    </w:p>
    <w:p>
      <w:pPr>
        <w:spacing w:after="0" w:line="149" w:lineRule="exact"/>
        <w:rPr>
          <w:rFonts w:ascii="Times New Roman" w:cs="Times New Roman" w:eastAsia="Times New Roman" w:hAnsi="Times New Roman"/>
          <w:sz w:val="22"/>
          <w:szCs w:val="22"/>
          <w:color w:val="auto"/>
        </w:rPr>
      </w:pPr>
    </w:p>
    <w:p>
      <w:pPr>
        <w:ind w:left="1488" w:right="260" w:hanging="364"/>
        <w:spacing w:after="0" w:line="238" w:lineRule="auto"/>
        <w:tabs>
          <w:tab w:leader="none" w:pos="148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Purchases or Sales of Derivative Securities or Hedging Transactions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 Insider may buy or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76" w:lineRule="exact"/>
        <w:rPr>
          <w:rFonts w:ascii="Times New Roman" w:cs="Times New Roman" w:eastAsia="Times New Roman" w:hAnsi="Times New Roman"/>
          <w:sz w:val="22"/>
          <w:szCs w:val="22"/>
          <w:color w:val="auto"/>
        </w:rPr>
      </w:pPr>
    </w:p>
    <w:p>
      <w:pPr>
        <w:ind w:left="1468" w:right="820" w:hanging="344"/>
        <w:spacing w:after="0" w:line="262" w:lineRule="auto"/>
        <w:tabs>
          <w:tab w:leader="none" w:pos="146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Company Securities Subject to Margin Calls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 Insider may use the Company’s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as collateral in a margin account.</w:t>
      </w:r>
    </w:p>
    <w:p>
      <w:pPr>
        <w:spacing w:after="0" w:line="149" w:lineRule="exact"/>
        <w:rPr>
          <w:rFonts w:ascii="Times New Roman" w:cs="Times New Roman" w:eastAsia="Times New Roman" w:hAnsi="Times New Roman"/>
          <w:sz w:val="22"/>
          <w:szCs w:val="22"/>
          <w:color w:val="auto"/>
        </w:rPr>
      </w:pPr>
    </w:p>
    <w:p>
      <w:pPr>
        <w:ind w:left="1488" w:right="400" w:hanging="364"/>
        <w:spacing w:after="0" w:line="262" w:lineRule="auto"/>
        <w:tabs>
          <w:tab w:leader="none" w:pos="148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Pledges</w:t>
      </w:r>
      <w:r>
        <w:rPr>
          <w:rFonts w:ascii="Times New Roman" w:cs="Times New Roman" w:eastAsia="Times New Roman" w:hAnsi="Times New Roman"/>
          <w:sz w:val="22"/>
          <w:szCs w:val="22"/>
          <w:i w:val="1"/>
          <w:iCs w:val="1"/>
          <w:color w:val="auto"/>
        </w:rPr>
        <w:t>. No Insider may pledge Company securities as collateral for a loan (or modify an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pledge).</w:t>
      </w:r>
    </w:p>
    <w:p>
      <w:pPr>
        <w:spacing w:after="0" w:line="147" w:lineRule="exact"/>
        <w:rPr>
          <w:rFonts w:ascii="Times New Roman" w:cs="Times New Roman" w:eastAsia="Times New Roman" w:hAnsi="Times New Roman"/>
          <w:sz w:val="22"/>
          <w:szCs w:val="22"/>
          <w:color w:val="auto"/>
        </w:rPr>
      </w:pPr>
    </w:p>
    <w:p>
      <w:pPr>
        <w:ind w:left="1508" w:hanging="759"/>
        <w:spacing w:after="0"/>
        <w:tabs>
          <w:tab w:leader="none" w:pos="150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Gifts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jc w:val="both"/>
        <w:ind w:left="8" w:right="1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 Insider may give or make any other transfer of Company securities without consideration (e.g., a gift) during a period when the Insider is not permitted to trade unless the donee agrees not to sell the shares until such time as the Insider can sell.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of securities are not transactions subject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57" w:name="page158"/>
    <w:bookmarkEnd w:id="157"/>
    <w:p>
      <w:pPr>
        <w:spacing w:after="0" w:line="246" w:lineRule="exact"/>
        <w:rPr>
          <w:sz w:val="20"/>
          <w:szCs w:val="20"/>
          <w:color w:val="auto"/>
        </w:rPr>
      </w:pPr>
    </w:p>
    <w:p>
      <w:pPr>
        <w:ind w:left="748" w:hanging="748"/>
        <w:spacing w:after="0"/>
        <w:tabs>
          <w:tab w:leader="none" w:pos="748" w:val="left"/>
        </w:tabs>
        <w:numPr>
          <w:ilvl w:val="0"/>
          <w:numId w:val="7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left="8" w:right="20" w:firstLine="749"/>
        <w:spacing w:after="0" w:line="238" w:lineRule="auto"/>
        <w:rPr>
          <w:sz w:val="20"/>
          <w:szCs w:val="20"/>
          <w:color w:val="auto"/>
        </w:rPr>
      </w:pPr>
      <w:r>
        <w:rPr>
          <w:rFonts w:ascii="Times New Roman" w:cs="Times New Roman" w:eastAsia="Times New Roman" w:hAnsi="Times New Roman"/>
          <w:sz w:val="22"/>
          <w:szCs w:val="22"/>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173" w:lineRule="exact"/>
        <w:rPr>
          <w:sz w:val="20"/>
          <w:szCs w:val="20"/>
          <w:color w:val="auto"/>
        </w:rPr>
      </w:pPr>
    </w:p>
    <w:p>
      <w:pPr>
        <w:ind w:left="1508" w:hanging="759"/>
        <w:spacing w:after="0"/>
        <w:tabs>
          <w:tab w:leader="none" w:pos="150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Company securities until:</w:t>
      </w:r>
    </w:p>
    <w:p>
      <w:pPr>
        <w:spacing w:after="0" w:line="210" w:lineRule="exact"/>
        <w:rPr>
          <w:rFonts w:ascii="Times New Roman" w:cs="Times New Roman" w:eastAsia="Times New Roman" w:hAnsi="Times New Roman"/>
          <w:sz w:val="22"/>
          <w:szCs w:val="22"/>
          <w:b w:val="1"/>
          <w:bCs w:val="1"/>
          <w:color w:val="auto"/>
        </w:rPr>
      </w:pPr>
    </w:p>
    <w:p>
      <w:pPr>
        <w:ind w:left="1848" w:right="280" w:hanging="350"/>
        <w:spacing w:after="0" w:line="236" w:lineRule="auto"/>
        <w:tabs>
          <w:tab w:leader="none" w:pos="184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Policy or the Preclearance Request form and Stock Transaction form posted on Shareworks.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81" w:lineRule="exact"/>
        <w:rPr>
          <w:rFonts w:ascii="Times New Roman" w:cs="Times New Roman" w:eastAsia="Times New Roman" w:hAnsi="Times New Roman"/>
          <w:sz w:val="22"/>
          <w:szCs w:val="22"/>
          <w:color w:val="auto"/>
        </w:rPr>
      </w:pPr>
    </w:p>
    <w:p>
      <w:pPr>
        <w:ind w:left="1848" w:right="320" w:hanging="350"/>
        <w:spacing w:after="0" w:line="258" w:lineRule="auto"/>
        <w:tabs>
          <w:tab w:leader="none" w:pos="184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68" w:right="20" w:hanging="370"/>
        <w:spacing w:after="0" w:line="235" w:lineRule="auto"/>
        <w:tabs>
          <w:tab w:leader="none" w:pos="186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48" w:right="720" w:hanging="350"/>
        <w:spacing w:after="0" w:line="282" w:lineRule="auto"/>
        <w:tabs>
          <w:tab w:leader="none" w:pos="1848"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or his or her designee has approved the trade(s) and has certified such approval in writing. Such certification may be made via digitally-signed electronic mail.</w:t>
      </w:r>
    </w:p>
    <w:p>
      <w:pPr>
        <w:spacing w:after="0" w:line="135"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4" w:lineRule="exact"/>
        <w:rPr>
          <w:sz w:val="20"/>
          <w:szCs w:val="20"/>
          <w:color w:val="auto"/>
        </w:rPr>
      </w:pPr>
    </w:p>
    <w:p>
      <w:pPr>
        <w:ind w:left="1508" w:hanging="759"/>
        <w:spacing w:after="0"/>
        <w:tabs>
          <w:tab w:leader="none" w:pos="150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left="8" w:right="38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552" w:top="1440" w:right="579" w:bottom="1440" w:gutter="0" w:footer="0" w:header="0"/>
        </w:sectPr>
      </w:pPr>
    </w:p>
    <w:bookmarkStart w:id="158" w:name="page159"/>
    <w:bookmarkEnd w:id="158"/>
    <w:p>
      <w:pPr>
        <w:spacing w:after="0" w:line="248" w:lineRule="exact"/>
        <w:rPr>
          <w:sz w:val="20"/>
          <w:szCs w:val="20"/>
          <w:color w:val="auto"/>
        </w:rPr>
      </w:pPr>
    </w:p>
    <w:p>
      <w:pPr>
        <w:ind w:left="1500" w:hanging="759"/>
        <w:spacing w:after="0"/>
        <w:tabs>
          <w:tab w:leader="none" w:pos="15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right="660" w:firstLine="749"/>
        <w:spacing w:after="0" w:line="244"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17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spacing w:after="0" w:line="167" w:lineRule="exact"/>
        <w:rPr>
          <w:sz w:val="20"/>
          <w:szCs w:val="20"/>
          <w:color w:val="auto"/>
        </w:rPr>
      </w:pPr>
    </w:p>
    <w:p>
      <w:pPr>
        <w:ind w:left="1500" w:hanging="759"/>
        <w:spacing w:after="0"/>
        <w:tabs>
          <w:tab w:leader="none" w:pos="15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two (2) business days or make a new trading request.</w:t>
      </w:r>
    </w:p>
    <w:p>
      <w:pPr>
        <w:spacing w:after="0" w:line="154" w:lineRule="exact"/>
        <w:rPr>
          <w:sz w:val="20"/>
          <w:szCs w:val="20"/>
          <w:color w:val="auto"/>
        </w:rPr>
      </w:pPr>
    </w:p>
    <w:p>
      <w:pPr>
        <w:ind w:left="1500" w:hanging="759"/>
        <w:spacing w:after="0"/>
        <w:tabs>
          <w:tab w:leader="none" w:pos="15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22"/>
          <w:szCs w:val="22"/>
          <w:color w:val="auto"/>
        </w:rPr>
        <w:t>Any transactions in the Company’s securities by an Insider (including transactions effected pursuant to a Rule 10b5-1 Plan) must be reported to the Compliance Officer by completing the “Confirmation of Transaction” section of the Stock Transaction Request form attached to this Policy on the same day in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603885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60" w:top="1440" w:right="639" w:bottom="1440" w:gutter="0" w:footer="0" w:header="0"/>
        </w:sectPr>
      </w:pPr>
    </w:p>
    <w:bookmarkStart w:id="159" w:name="page160"/>
    <w:bookmarkEnd w:id="159"/>
    <w:p>
      <w:pPr>
        <w:spacing w:after="0" w:line="246" w:lineRule="exact"/>
        <w:rPr>
          <w:sz w:val="20"/>
          <w:szCs w:val="20"/>
          <w:color w:val="auto"/>
        </w:rPr>
      </w:pPr>
    </w:p>
    <w:p>
      <w:pPr>
        <w:ind w:left="748" w:hanging="748"/>
        <w:spacing w:after="0"/>
        <w:tabs>
          <w:tab w:leader="none" w:pos="748" w:val="left"/>
        </w:tabs>
        <w:numPr>
          <w:ilvl w:val="0"/>
          <w:numId w:val="7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rFonts w:ascii="Times New Roman" w:cs="Times New Roman" w:eastAsia="Times New Roman" w:hAnsi="Times New Roman"/>
          <w:sz w:val="22"/>
          <w:szCs w:val="22"/>
          <w:b w:val="1"/>
          <w:bCs w:val="1"/>
          <w:i w:val="1"/>
          <w:iCs w:val="1"/>
          <w:color w:val="auto"/>
        </w:rPr>
      </w:pPr>
    </w:p>
    <w:p>
      <w:pPr>
        <w:ind w:left="748"/>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1"/>
          <w:szCs w:val="21"/>
          <w:b w:val="1"/>
          <w:bCs w:val="1"/>
          <w:color w:val="auto"/>
        </w:rPr>
        <w:t>Pre-Approved Rule 10b5-1 Plan.</w:t>
      </w:r>
    </w:p>
    <w:p>
      <w:pPr>
        <w:spacing w:after="0" w:line="210" w:lineRule="exact"/>
        <w:rPr>
          <w:sz w:val="20"/>
          <w:szCs w:val="20"/>
          <w:color w:val="auto"/>
        </w:rPr>
      </w:pPr>
    </w:p>
    <w:p>
      <w:pPr>
        <w:ind w:left="8" w:firstLine="749"/>
        <w:spacing w:after="0" w:line="235"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w:t>
      </w:r>
    </w:p>
    <w:p>
      <w:pPr>
        <w:spacing w:after="0" w:line="183" w:lineRule="exact"/>
        <w:rPr>
          <w:sz w:val="20"/>
          <w:szCs w:val="20"/>
          <w:color w:val="auto"/>
        </w:rPr>
      </w:pPr>
    </w:p>
    <w:p>
      <w:pPr>
        <w:ind w:left="8" w:right="10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8" w:hanging="759"/>
        <w:spacing w:after="0"/>
        <w:tabs>
          <w:tab w:leader="none" w:pos="1508"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04" w:lineRule="exact"/>
        <w:rPr>
          <w:sz w:val="20"/>
          <w:szCs w:val="20"/>
          <w:color w:val="auto"/>
        </w:rPr>
      </w:pPr>
    </w:p>
    <w:p>
      <w:pPr>
        <w:ind w:left="8" w:right="60"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Policy, including the Trading Procedures contained herein.</w:t>
      </w:r>
    </w:p>
    <w:p>
      <w:pPr>
        <w:spacing w:after="0" w:line="4" w:lineRule="exact"/>
        <w:rPr>
          <w:sz w:val="20"/>
          <w:szCs w:val="20"/>
          <w:color w:val="auto"/>
        </w:rPr>
      </w:pPr>
    </w:p>
    <w:p>
      <w:pPr>
        <w:ind w:left="8" w:right="180"/>
        <w:spacing w:after="0" w:line="234" w:lineRule="auto"/>
        <w:rPr>
          <w:sz w:val="20"/>
          <w:szCs w:val="20"/>
          <w:color w:val="auto"/>
        </w:rPr>
      </w:pPr>
      <w:r>
        <w:rPr>
          <w:rFonts w:ascii="Times New Roman" w:cs="Times New Roman" w:eastAsia="Times New Roman" w:hAnsi="Times New Roman"/>
          <w:sz w:val="22"/>
          <w:szCs w:val="22"/>
          <w:color w:val="auto"/>
        </w:rPr>
        <w:t>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ind w:left="8"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597535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8"/>
          </w:cols>
          <w:pgMar w:left="552" w:top="1440" w:right="659" w:bottom="1440" w:gutter="0" w:footer="0" w:header="0"/>
        </w:sectPr>
      </w:pPr>
    </w:p>
    <w:bookmarkStart w:id="160" w:name="page161"/>
    <w:bookmarkEnd w:id="160"/>
    <w:p>
      <w:pPr>
        <w:spacing w:after="0" w:line="200" w:lineRule="exact"/>
        <w:rPr>
          <w:sz w:val="20"/>
          <w:szCs w:val="20"/>
          <w:color w:val="auto"/>
        </w:rPr>
      </w:pPr>
    </w:p>
    <w:p>
      <w:pPr>
        <w:spacing w:after="0" w:line="222" w:lineRule="exact"/>
        <w:rPr>
          <w:sz w:val="20"/>
          <w:szCs w:val="20"/>
          <w:color w:val="auto"/>
        </w:rPr>
      </w:pPr>
    </w:p>
    <w:p>
      <w:pPr>
        <w:ind w:left="8" w:right="120" w:firstLine="74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trading prohibitions and restrictions set forth in the Trading Procedures do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apply to periodic wage withholding contributions by the Company or employees of the Company which are used to purchase the Company’s securities pursuant to the employees’ advance instructions under the Company’s 2020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63" w:lineRule="exact"/>
        <w:rPr>
          <w:sz w:val="20"/>
          <w:szCs w:val="20"/>
          <w:color w:val="auto"/>
        </w:rPr>
      </w:pPr>
    </w:p>
    <w:p>
      <w:pPr>
        <w:ind w:left="748" w:hanging="748"/>
        <w:spacing w:after="0"/>
        <w:tabs>
          <w:tab w:leader="none" w:pos="748" w:val="left"/>
        </w:tabs>
        <w:numPr>
          <w:ilvl w:val="0"/>
          <w:numId w:val="8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left="8"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Policy, or the Trading Procedures contained herein, in a specific instance may be authorized in writing by the Compliance Officer or Audit Committee of the Board of Directors, and any such waiver shall be reported to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8"/>
          </w:cols>
          <w:pgMar w:left="552" w:top="1440" w:right="679" w:bottom="1440" w:gutter="0" w:footer="0" w:header="0"/>
        </w:sectPr>
      </w:pPr>
    </w:p>
    <w:bookmarkStart w:id="161" w:name="page162"/>
    <w:bookmarkEnd w:id="161"/>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This Policy will be delivered to all current Insiders and to all directors, officers, employees and designated consultants at the start of their employment or relationship with the Company. Upon first receiving a copy of this Policy, each individual must acknowledge that he or she has received a copy and agrees to comply with the terms of this Insider Trading Policy, and, if applicable, the Trading Procedures contained herein. The acknowledgment must be returned within ten (10) days of receipt to:</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Brian Adams, JD Chief Legal</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Officer</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Kymera Therapeutics, Inc.</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500 North Beacon Street, 4th Floor</w:t>
      </w:r>
    </w:p>
    <w:p>
      <w:pPr>
        <w:jc w:val="center"/>
        <w:ind w:right="-19"/>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0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200" w:lineRule="exact"/>
        <w:rPr>
          <w:sz w:val="20"/>
          <w:szCs w:val="20"/>
          <w:color w:val="auto"/>
        </w:rPr>
      </w:pPr>
    </w:p>
    <w:p>
      <w:pPr>
        <w:spacing w:after="0" w:line="21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Policy (including any amendments or modifications). For such purpose, an individual will be deemed to have acknowledged and agreed to comply with the Policy, as amended from time to time, when copies of such items have been delivered by regular or electronic mail (or other delivery option used by the Company) by the Compliance Officer or his or her designee.</w:t>
      </w:r>
    </w:p>
    <w:p>
      <w:pPr>
        <w:spacing w:after="0" w:line="177" w:lineRule="exact"/>
        <w:rPr>
          <w:sz w:val="20"/>
          <w:szCs w:val="20"/>
          <w:color w:val="auto"/>
        </w:rPr>
      </w:pPr>
    </w:p>
    <w:p>
      <w:pPr>
        <w:ind w:left="4900"/>
        <w:spacing w:after="0"/>
        <w:tabs>
          <w:tab w:leader="none" w:pos="5320" w:val="left"/>
          <w:tab w:leader="none" w:pos="57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Questions regarding this Policy are encouraged and may be directed to the Compliance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effective June 28,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effective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615315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1440" w:right="599" w:bottom="1440" w:gutter="0" w:footer="0" w:header="0"/>
        </w:sectPr>
      </w:pPr>
    </w:p>
    <w:bookmarkStart w:id="162" w:name="page163"/>
    <w:bookmarkEnd w:id="162"/>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22" w:lineRule="exact"/>
        <w:rPr>
          <w:sz w:val="20"/>
          <w:szCs w:val="20"/>
          <w:color w:val="auto"/>
        </w:rPr>
      </w:pPr>
    </w:p>
    <w:p>
      <w:pPr>
        <w:ind w:left="120" w:right="340"/>
        <w:spacing w:after="0" w:line="301" w:lineRule="auto"/>
        <w:rPr>
          <w:sz w:val="20"/>
          <w:szCs w:val="20"/>
          <w:color w:val="auto"/>
        </w:rPr>
      </w:pPr>
      <w:r>
        <w:rPr>
          <w:rFonts w:ascii="Times New Roman" w:cs="Times New Roman" w:eastAsia="Times New Roman" w:hAnsi="Times New Roman"/>
          <w:sz w:val="16"/>
          <w:szCs w:val="16"/>
          <w:color w:val="auto"/>
        </w:rPr>
        <w:t>Pursuant to Kymera Therapeutics, Inc.’s Insider Trading Policy, I hereby notify Kymera Therapeutics,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238125</wp:posOffset>
            </wp:positionV>
            <wp:extent cx="6990715" cy="33883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6990715" cy="3388360"/>
                    </a:xfrm>
                    <a:prstGeom prst="rect">
                      <a:avLst/>
                    </a:prstGeom>
                    <a:noFill/>
                  </pic:spPr>
                </pic:pic>
              </a:graphicData>
            </a:graphic>
          </wp:anchor>
        </w:drawing>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REQUESTER INFORMATION</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Insider’s Name:</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INTENT TO PURCHASE</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Number of shares: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Intended tradedate:</w:t>
      </w:r>
    </w:p>
    <w:p>
      <w:pPr>
        <w:spacing w:after="0" w:line="36" w:lineRule="exact"/>
        <w:rPr>
          <w:sz w:val="20"/>
          <w:szCs w:val="20"/>
          <w:color w:val="auto"/>
        </w:rPr>
      </w:pPr>
    </w:p>
    <w:p>
      <w:pPr>
        <w:ind w:left="40"/>
        <w:spacing w:after="0" w:line="150" w:lineRule="exact"/>
        <w:tabs>
          <w:tab w:leader="none" w:pos="3560" w:val="left"/>
          <w:tab w:leader="none" w:pos="3860" w:val="left"/>
        </w:tabs>
        <w:rPr>
          <w:sz w:val="20"/>
          <w:szCs w:val="20"/>
          <w:color w:val="auto"/>
        </w:rPr>
      </w:pPr>
      <w:r>
        <w:rPr>
          <w:rFonts w:ascii="Times New Roman" w:cs="Times New Roman" w:eastAsia="Times New Roman" w:hAnsi="Times New Roman"/>
          <w:sz w:val="13"/>
          <w:szCs w:val="13"/>
          <w:color w:val="auto"/>
        </w:rPr>
        <w:t>Means of acquiring shares: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Acquisition through employee benefit plan(please specify):</w:t>
      </w:r>
    </w:p>
    <w:p>
      <w:pPr>
        <w:spacing w:after="0" w:line="219" w:lineRule="exact"/>
        <w:rPr>
          <w:sz w:val="20"/>
          <w:szCs w:val="20"/>
          <w:color w:val="auto"/>
        </w:rPr>
      </w:pPr>
    </w:p>
    <w:p>
      <w:pPr>
        <w:ind w:left="3860" w:hanging="278"/>
        <w:spacing w:after="0"/>
        <w:tabs>
          <w:tab w:leader="none" w:pos="3860" w:val="left"/>
        </w:tabs>
        <w:numPr>
          <w:ilvl w:val="0"/>
          <w:numId w:val="8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Purchase through a broker on the openmarket</w:t>
      </w:r>
    </w:p>
    <w:p>
      <w:pPr>
        <w:spacing w:after="0" w:line="201" w:lineRule="exact"/>
        <w:rPr>
          <w:rFonts w:ascii="MS PGothic" w:cs="MS PGothic" w:eastAsia="MS PGothic" w:hAnsi="MS PGothic"/>
          <w:sz w:val="13"/>
          <w:szCs w:val="13"/>
          <w:color w:val="auto"/>
        </w:rPr>
      </w:pPr>
    </w:p>
    <w:p>
      <w:pPr>
        <w:ind w:left="3880" w:hanging="298"/>
        <w:spacing w:after="0"/>
        <w:tabs>
          <w:tab w:leader="none" w:pos="3880" w:val="left"/>
        </w:tabs>
        <w:numPr>
          <w:ilvl w:val="0"/>
          <w:numId w:val="8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Other (please specify):</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INTENT TOSELL</w:t>
      </w:r>
    </w:p>
    <w:p>
      <w:pPr>
        <w:spacing w:after="0" w:line="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Number of shares: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Intended tradedate:</w:t>
      </w:r>
    </w:p>
    <w:p>
      <w:pPr>
        <w:spacing w:after="0" w:line="36" w:lineRule="exact"/>
        <w:rPr>
          <w:sz w:val="20"/>
          <w:szCs w:val="20"/>
          <w:color w:val="auto"/>
        </w:rPr>
      </w:pPr>
    </w:p>
    <w:p>
      <w:pPr>
        <w:ind w:left="40"/>
        <w:spacing w:after="0" w:line="150" w:lineRule="exact"/>
        <w:tabs>
          <w:tab w:leader="none" w:pos="3560" w:val="left"/>
          <w:tab w:leader="none" w:pos="3860" w:val="left"/>
        </w:tabs>
        <w:rPr>
          <w:sz w:val="20"/>
          <w:szCs w:val="20"/>
          <w:color w:val="auto"/>
        </w:rPr>
      </w:pPr>
      <w:r>
        <w:rPr>
          <w:rFonts w:ascii="Times New Roman" w:cs="Times New Roman" w:eastAsia="Times New Roman" w:hAnsi="Times New Roman"/>
          <w:sz w:val="13"/>
          <w:szCs w:val="13"/>
          <w:color w:val="auto"/>
        </w:rPr>
        <w:t>Means of sellingshares: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Sale through employee benefit plan (please specify):</w:t>
      </w:r>
    </w:p>
    <w:p>
      <w:pPr>
        <w:spacing w:after="0" w:line="219" w:lineRule="exact"/>
        <w:rPr>
          <w:sz w:val="20"/>
          <w:szCs w:val="20"/>
          <w:color w:val="auto"/>
        </w:rPr>
      </w:pPr>
    </w:p>
    <w:p>
      <w:pPr>
        <w:ind w:left="3860" w:hanging="278"/>
        <w:spacing w:after="0"/>
        <w:tabs>
          <w:tab w:leader="none" w:pos="3860" w:val="left"/>
        </w:tabs>
        <w:numPr>
          <w:ilvl w:val="0"/>
          <w:numId w:val="8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Sale through a broker on the openmarket</w:t>
      </w:r>
    </w:p>
    <w:p>
      <w:pPr>
        <w:spacing w:after="0" w:line="201" w:lineRule="exact"/>
        <w:rPr>
          <w:rFonts w:ascii="MS PGothic" w:cs="MS PGothic" w:eastAsia="MS PGothic" w:hAnsi="MS PGothic"/>
          <w:sz w:val="13"/>
          <w:szCs w:val="13"/>
          <w:color w:val="auto"/>
        </w:rPr>
      </w:pPr>
    </w:p>
    <w:p>
      <w:pPr>
        <w:ind w:left="3880" w:hanging="298"/>
        <w:spacing w:after="0"/>
        <w:tabs>
          <w:tab w:leader="none" w:pos="3880" w:val="left"/>
        </w:tabs>
        <w:numPr>
          <w:ilvl w:val="0"/>
          <w:numId w:val="8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Other (please specify):</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w:t>
      </w:r>
    </w:p>
    <w:p>
      <w:pPr>
        <w:spacing w:after="0" w:line="39" w:lineRule="exact"/>
        <w:rPr>
          <w:sz w:val="20"/>
          <w:szCs w:val="20"/>
          <w:color w:val="auto"/>
        </w:rPr>
      </w:pPr>
    </w:p>
    <w:p>
      <w:pPr>
        <w:ind w:left="140" w:right="320"/>
        <w:spacing w:after="0" w:line="251" w:lineRule="auto"/>
        <w:rPr>
          <w:sz w:val="20"/>
          <w:szCs w:val="20"/>
          <w:color w:val="auto"/>
        </w:rPr>
      </w:pPr>
      <w:r>
        <w:rPr>
          <w:rFonts w:ascii="Times New Roman" w:cs="Times New Roman" w:eastAsia="Times New Roman" w:hAnsi="Times New Roman"/>
          <w:sz w:val="13"/>
          <w:szCs w:val="13"/>
          <w:color w:val="auto"/>
        </w:rPr>
        <w:t>I hereby certify that (1) I am not in possession of any material, nonpublic information concerning the Company, as defined in the Company’s Insider Trading Policy, and (2) to the best of my knowledge, the proposed trade(s) listed above will not constitute a short-swing transaction for purposes of Section 16 of the Securities Exchange Act of 1934, as amended, and will satisfy the requirements of Rule 144 under the Securities Act of 1933, as amended. I understand that,if I trade while possessing such information or in violation of such trading restrictions, I may be subjectto severe civiland/or criminal penalties and may be subject to discipline by the Company including termination.</w:t>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420" w:type="dxa"/>
            <w:vAlign w:val="bottom"/>
            <w:gridSpan w:val="7"/>
          </w:tcPr>
          <w:p>
            <w:pPr>
              <w:ind w:left="100"/>
              <w:spacing w:after="0"/>
              <w:rPr>
                <w:sz w:val="20"/>
                <w:szCs w:val="20"/>
                <w:color w:val="auto"/>
              </w:rPr>
            </w:pPr>
            <w:r>
              <w:rPr>
                <w:rFonts w:ascii="Times New Roman" w:cs="Times New Roman" w:eastAsia="Times New Roman" w:hAnsi="Times New Roman"/>
                <w:sz w:val="13"/>
                <w:szCs w:val="13"/>
                <w:color w:val="auto"/>
              </w:rPr>
              <w:t>Insider’s Signature</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08"/>
        </w:trPr>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20" w:type="dxa"/>
            <w:vAlign w:val="bottom"/>
            <w:tcBorders>
              <w:left w:val="single" w:sz="8" w:color="auto"/>
              <w:bottom w:val="single" w:sz="8" w:color="auto"/>
            </w:tcBorders>
          </w:tcPr>
          <w:p>
            <w:pPr>
              <w:spacing w:after="0"/>
              <w:rPr>
                <w:sz w:val="24"/>
                <w:szCs w:val="24"/>
                <w:color w:val="auto"/>
              </w:rPr>
            </w:pPr>
          </w:p>
        </w:tc>
        <w:tc>
          <w:tcPr>
            <w:tcW w:w="3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AUTHORIZED APPROVAL</w:t>
            </w: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60" w:type="dxa"/>
            <w:vAlign w:val="bottom"/>
            <w:tcBorders>
              <w:right w:val="single" w:sz="8" w:color="auto"/>
            </w:tcBorders>
            <w:gridSpan w:val="3"/>
            <w:vMerge w:val="restart"/>
          </w:tcPr>
          <w:p>
            <w:pPr>
              <w:ind w:left="48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33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Signature of Compliance Officer (or designee)</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2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tcPr>
          <w:p>
            <w:pPr>
              <w:spacing w:after="0"/>
              <w:rPr>
                <w:sz w:val="12"/>
                <w:szCs w:val="12"/>
                <w:color w:val="auto"/>
              </w:rPr>
            </w:pPr>
          </w:p>
        </w:tc>
        <w:tc>
          <w:tcPr>
            <w:tcW w:w="3300" w:type="dxa"/>
            <w:vAlign w:val="bottom"/>
            <w:gridSpan w:val="6"/>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CONFIRMATION OF TRANSACTION</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0" w:type="dxa"/>
            <w:vAlign w:val="bottom"/>
            <w:tcBorders>
              <w:left w:val="single" w:sz="8" w:color="auto"/>
            </w:tcBorders>
          </w:tcPr>
          <w:p>
            <w:pPr>
              <w:spacing w:after="0"/>
              <w:rPr>
                <w:sz w:val="17"/>
                <w:szCs w:val="17"/>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 hereby confirm that the transaction(s) requested above was (were) executed as follows: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40" w:type="dxa"/>
            <w:vAlign w:val="bottom"/>
            <w:tcBorders>
              <w:left w:val="single" w:sz="8" w:color="auto"/>
            </w:tcBorders>
            <w:gridSpan w:val="3"/>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Purchase of shares:</w:t>
            </w: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Price pershare:</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Date and approximate time of purchase:</w:t>
            </w:r>
          </w:p>
        </w:tc>
        <w:tc>
          <w:tcPr>
            <w:tcW w:w="0" w:type="dxa"/>
            <w:vAlign w:val="bottom"/>
          </w:tcPr>
          <w:p>
            <w:pPr>
              <w:spacing w:after="0"/>
              <w:rPr>
                <w:sz w:val="1"/>
                <w:szCs w:val="1"/>
                <w:color w:val="auto"/>
              </w:rPr>
            </w:pPr>
          </w:p>
        </w:tc>
      </w:tr>
      <w:tr>
        <w:trPr>
          <w:trHeight w:val="174"/>
        </w:trPr>
        <w:tc>
          <w:tcPr>
            <w:tcW w:w="740" w:type="dxa"/>
            <w:vAlign w:val="bottom"/>
            <w:tcBorders>
              <w:left w:val="single" w:sz="8" w:color="auto"/>
            </w:tcBorders>
            <w:gridSpan w:val="3"/>
            <w:vMerge w:val="continue"/>
          </w:tcPr>
          <w:p>
            <w:pPr>
              <w:spacing w:after="0"/>
              <w:rPr>
                <w:sz w:val="15"/>
                <w:szCs w:val="15"/>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*Number of shares:</w:t>
            </w:r>
          </w:p>
        </w:tc>
        <w:tc>
          <w:tcPr>
            <w:tcW w:w="154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8"/>
        </w:trPr>
        <w:tc>
          <w:tcPr>
            <w:tcW w:w="740" w:type="dxa"/>
            <w:vAlign w:val="bottom"/>
            <w:tcBorders>
              <w:left w:val="single" w:sz="8" w:color="auto"/>
            </w:tcBorders>
            <w:gridSpan w:val="3"/>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*Number of shares:</w:t>
            </w: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Price pershare:</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Date and approximate time of sale:</w:t>
            </w:r>
          </w:p>
        </w:tc>
        <w:tc>
          <w:tcPr>
            <w:tcW w:w="0" w:type="dxa"/>
            <w:vAlign w:val="bottom"/>
          </w:tcPr>
          <w:p>
            <w:pPr>
              <w:spacing w:after="0"/>
              <w:rPr>
                <w:sz w:val="1"/>
                <w:szCs w:val="1"/>
                <w:color w:val="auto"/>
              </w:rPr>
            </w:pPr>
          </w:p>
        </w:tc>
      </w:tr>
      <w:tr>
        <w:trPr>
          <w:trHeight w:val="94"/>
        </w:trPr>
        <w:tc>
          <w:tcPr>
            <w:tcW w:w="120" w:type="dxa"/>
            <w:vAlign w:val="bottom"/>
            <w:tcBorders>
              <w:lef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Insider’s Signature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63"/>
        </w:trPr>
        <w:tc>
          <w:tcPr>
            <w:tcW w:w="120" w:type="dxa"/>
            <w:vAlign w:val="bottom"/>
            <w:tcBorders>
              <w:left w:val="single" w:sz="8" w:color="auto"/>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Signature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Date</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*NOTE: Multiple lots must be listed on separate forms or broken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612140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ind w:left="140" w:firstLine="749"/>
        <w:spacing w:after="0" w:line="248" w:lineRule="auto"/>
        <w:rPr>
          <w:sz w:val="20"/>
          <w:szCs w:val="20"/>
          <w:color w:val="auto"/>
        </w:rPr>
      </w:pPr>
      <w:r>
        <w:rPr>
          <w:rFonts w:ascii="Times New Roman" w:cs="Times New Roman" w:eastAsia="Times New Roman" w:hAnsi="Times New Roman"/>
          <w:sz w:val="21"/>
          <w:szCs w:val="21"/>
          <w:color w:val="auto"/>
        </w:rPr>
        <w:t>I hereby acknowledge that I have read, that I understand, and that I agree to comply with, Insider Trading Policy of Kymera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further acknowledge and agree that I am responsible for ensuring compliance with the Insider Trading Policy and the Trading Procedures included therein by all of my “Affiliated Persons” [(including such persons listed below)].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170" w:lineRule="exact"/>
        <w:rPr>
          <w:sz w:val="20"/>
          <w:szCs w:val="20"/>
          <w:color w:val="auto"/>
        </w:rPr>
      </w:pPr>
    </w:p>
    <w:p>
      <w:pPr>
        <w:ind w:left="140" w:right="300" w:firstLine="749"/>
        <w:spacing w:after="0" w:line="241" w:lineRule="auto"/>
        <w:rPr>
          <w:sz w:val="20"/>
          <w:szCs w:val="20"/>
          <w:color w:val="auto"/>
        </w:rPr>
      </w:pPr>
      <w:r>
        <w:rPr>
          <w:rFonts w:ascii="Times New Roman" w:cs="Times New Roman" w:eastAsia="Times New Roman" w:hAnsi="Times New Roman"/>
          <w:sz w:val="22"/>
          <w:szCs w:val="22"/>
          <w:color w:val="auto"/>
        </w:rPr>
        <w:t>I hereby designate the following investment funds and partnerships as entities for which the Trading Procedures contained in the Insider trading Policy shall not</w:t>
      </w:r>
    </w:p>
    <w:p>
      <w:pPr>
        <w:spacing w:after="0" w:line="2" w:lineRule="exact"/>
        <w:rPr>
          <w:sz w:val="20"/>
          <w:szCs w:val="20"/>
          <w:color w:val="auto"/>
        </w:rPr>
      </w:pPr>
    </w:p>
    <w:p>
      <w:pPr>
        <w:ind w:left="140" w:right="120"/>
        <w:spacing w:after="0" w:line="232" w:lineRule="auto"/>
        <w:rPr>
          <w:sz w:val="20"/>
          <w:szCs w:val="20"/>
          <w:color w:val="auto"/>
        </w:rPr>
      </w:pPr>
      <w:r>
        <w:rPr>
          <w:rFonts w:ascii="Times New Roman" w:cs="Times New Roman" w:eastAsia="Times New Roman" w:hAnsi="Times New Roman"/>
          <w:sz w:val="22"/>
          <w:szCs w:val="22"/>
          <w:color w:val="auto"/>
        </w:rPr>
        <w:t>apply: . I hereby represent to the Company that such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-800100</wp:posOffset>
            </wp:positionV>
            <wp:extent cx="2057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Signature:</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755650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20" w:top="1440" w:right="619" w:bottom="1440" w:gutter="0" w:footer="0" w:header="0"/>
        </w:sectPr>
      </w:pPr>
    </w:p>
    <w:bookmarkStart w:id="165" w:name="page166"/>
    <w:bookmarkEnd w:id="165"/>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SUBSIDIARIES</w:t>
            </w:r>
          </w:p>
        </w:tc>
      </w:tr>
      <w:tr>
        <w:trPr>
          <w:trHeight w:val="616"/>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620" w:type="dxa"/>
            <w:vAlign w:val="bottom"/>
          </w:tcPr>
          <w:p>
            <w:pPr>
              <w:jc w:val="center"/>
              <w:ind w:left="357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Kymera Securities Corporation</w:t>
            </w:r>
          </w:p>
        </w:tc>
        <w:tc>
          <w:tcPr>
            <w:tcW w:w="7620" w:type="dxa"/>
            <w:vAlign w:val="bottom"/>
          </w:tcPr>
          <w:p>
            <w:pPr>
              <w:jc w:val="center"/>
              <w:ind w:left="3576"/>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761"/>
        </w:trPr>
        <w:tc>
          <w:tcPr>
            <w:tcW w:w="3620" w:type="dxa"/>
            <w:vAlign w:val="bottom"/>
          </w:tcPr>
          <w:p>
            <w:pPr>
              <w:spacing w:after="0"/>
              <w:rPr>
                <w:sz w:val="20"/>
                <w:szCs w:val="20"/>
                <w:color w:val="auto"/>
              </w:rPr>
            </w:pPr>
            <w:r>
              <w:rPr>
                <w:rFonts w:ascii="Arial" w:cs="Arial" w:eastAsia="Arial" w:hAnsi="Arial"/>
                <w:sz w:val="14"/>
                <w:szCs w:val="14"/>
                <w:color w:val="auto"/>
              </w:rPr>
              <w:t>ACTIVE/107610297.1</w:t>
            </w:r>
          </w:p>
        </w:tc>
        <w:tc>
          <w:tcPr>
            <w:tcW w:w="7620" w:type="dxa"/>
            <w:vAlign w:val="bottom"/>
          </w:tcPr>
          <w:p>
            <w:pPr>
              <w:spacing w:after="0"/>
              <w:rPr>
                <w:sz w:val="24"/>
                <w:szCs w:val="24"/>
                <w:color w:val="auto"/>
              </w:rPr>
            </w:pPr>
          </w:p>
        </w:tc>
      </w:tr>
      <w:tr>
        <w:trPr>
          <w:trHeight w:val="1190"/>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760" w:right="60" w:hanging="378"/>
        <w:spacing w:after="0" w:line="247"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333-248249) pertaining to the Kymera Therapeutics, Inc. 2018 Stock Option and Grant Plan, Kymera Therapeutics, Inc. 2020 Stock Option and Incentive Plan, and Kymera Therapeutics, Inc. 2020 Employee Stock Purchase Plan,</w:t>
      </w:r>
    </w:p>
    <w:p>
      <w:pPr>
        <w:ind w:left="760" w:right="220" w:hanging="378"/>
        <w:spacing w:after="0" w:line="239"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333-254122) pertaining to the Kymera Therapeutics, Inc. 2020 Stock Option and Incentive Plan and the Amended and Restated Kymera Therapeutics, Inc. 2020 Employee Stock Purchase Plan,</w:t>
      </w:r>
    </w:p>
    <w:p>
      <w:pPr>
        <w:ind w:left="760" w:right="220" w:hanging="378"/>
        <w:spacing w:after="0" w:line="239"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333-262947) pertaining to the Kymera Therapeutics, Inc. 2020 Stock Option and Incentive Plan and the Kymera Therapeutics, Inc. Amended and Restated 2020 Employee Stock Purchase Plan,</w:t>
      </w:r>
    </w:p>
    <w:p>
      <w:pPr>
        <w:ind w:left="760" w:right="220" w:hanging="378"/>
        <w:spacing w:after="0" w:line="239"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333-269928) pertaining to the Kymera Therapeutics, Inc. 2020 Stock Option and Incentive Plan and the Kymera Therapeutics, Inc. Amended and Restated 2020 Employee Stock Purchase Plan,</w:t>
      </w:r>
    </w:p>
    <w:p>
      <w:pPr>
        <w:ind w:left="760" w:right="220" w:hanging="378"/>
        <w:spacing w:after="0" w:line="239"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333-277242) pertaining to the Kymera Therapeutics, Inc. 2020 Stock Option and Incentive Plan and the Kymera Therapeutics, Inc. Amended and Restated 2020 Employee Stock Purchase Plan,</w:t>
      </w:r>
    </w:p>
    <w:p>
      <w:pPr>
        <w:ind w:left="760" w:hanging="378"/>
        <w:spacing w:after="0"/>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S-3ASR No. 333-282912) of Kymera Therapeutics, Inc., and</w:t>
      </w:r>
    </w:p>
    <w:p>
      <w:pPr>
        <w:ind w:left="760" w:right="220" w:hanging="378"/>
        <w:spacing w:after="0" w:line="246" w:lineRule="auto"/>
        <w:tabs>
          <w:tab w:leader="none" w:pos="7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333-285308) pertaining to the Kymera Therapeutics, Inc. 2020 Stock Option and Incentive Plan and the Kymera Therapeutics, Inc. Amended and Restated 2020 Employee Stock Purchase Plan;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February 26, 2026, with respect to the consolidated financial statements of Kymera Therapeutics, Inc. and the effectiveness of internal control over financial reporting of Kymera Therapeutics, Inc. included in this Annual Report (Form 10-K) of Kymera Therapeutics, Inc. for the year ended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3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303"/>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56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Bruce Jacobs, CFA, MBA</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303"/>
        </w:trPr>
        <w:tc>
          <w:tcPr>
            <w:tcW w:w="3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540" w:val="left"/>
          <w:tab w:leader="none" w:pos="748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Bruce Jacobs, CFA, MBA</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1" w:name="page172"/>
    <w:bookmarkEnd w:id="1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o"/>
      <w:numFmt w:val="bullet"/>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bullet"/>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lowerLetter"/>
      <w:start w:val="3"/>
    </w:lvl>
  </w:abstractNum>
  <w:abstractNum w:abstractNumId="59">
    <w:nsid w:val="5DC79EA8"/>
    <w:multiLevelType w:val="hybridMultilevel"/>
    <w:lvl w:ilvl="0">
      <w:lvlJc w:val="left"/>
      <w:lvlText w:val="%1."/>
      <w:numFmt w:val="upperLetter"/>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upperLetter"/>
      <w:start w:val="4"/>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upperLetter"/>
      <w:start w:val="5"/>
    </w:lvl>
  </w:abstractNum>
  <w:abstractNum w:abstractNumId="69">
    <w:nsid w:val="1A32234B"/>
    <w:multiLevelType w:val="hybridMultilevel"/>
    <w:lvl w:ilvl="0">
      <w:lvlJc w:val="left"/>
      <w:lvlText w:val="%1."/>
      <w:numFmt w:val="upperLetter"/>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2"/>
    </w:lvl>
    <w:lvl w:ilvl="1">
      <w:lvlJc w:val="left"/>
      <w:lvlText w:val="•"/>
      <w:numFmt w:val="bullet"/>
      <w:start w:val="1"/>
    </w:lvl>
  </w:abstractNum>
  <w:abstractNum w:abstractNumId="72">
    <w:nsid w:val="4962813B"/>
    <w:multiLevelType w:val="hybridMultilevel"/>
    <w:lvl w:ilvl="0">
      <w:lvlJc w:val="left"/>
      <w:lvlText w:val="%1."/>
      <w:numFmt w:val="upperLetter"/>
      <w:start w:val="2"/>
    </w:lvl>
  </w:abstractNum>
  <w:abstractNum w:abstractNumId="73">
    <w:nsid w:val="60B6DF70"/>
    <w:multiLevelType w:val="hybridMultilevel"/>
    <w:lvl w:ilvl="0">
      <w:lvlJc w:val="left"/>
      <w:lvlText w:val="%1."/>
      <w:numFmt w:val="decimal"/>
      <w:start w:val="1"/>
    </w:lvl>
    <w:lvl w:ilvl="1">
      <w:lvlJc w:val="left"/>
      <w:lvlText w:val="•"/>
      <w:numFmt w:val="bullet"/>
      <w:start w:val="1"/>
    </w:lvl>
  </w:abstractNum>
  <w:abstractNum w:abstractNumId="74">
    <w:nsid w:val="6A5EE64"/>
    <w:multiLevelType w:val="hybridMultilevel"/>
    <w:lvl w:ilvl="0">
      <w:lvlJc w:val="left"/>
      <w:lvlText w:val="%1."/>
      <w:numFmt w:val="decimal"/>
      <w:start w:val="2"/>
    </w:lvl>
  </w:abstractNum>
  <w:abstractNum w:abstractNumId="75">
    <w:nsid w:val="14330624"/>
    <w:multiLevelType w:val="hybridMultilevel"/>
    <w:lvl w:ilvl="0">
      <w:lvlJc w:val="left"/>
      <w:lvlText w:val="%1."/>
      <w:numFmt w:val="decimal"/>
      <w:start w:val="3"/>
    </w:lvl>
  </w:abstractNum>
  <w:abstractNum w:abstractNumId="76">
    <w:nsid w:val="7FFFCA11"/>
    <w:multiLevelType w:val="hybridMultilevel"/>
    <w:lvl w:ilvl="0">
      <w:lvlJc w:val="left"/>
      <w:lvlText w:val="%1."/>
      <w:numFmt w:val="decimal"/>
      <w:start w:val="4"/>
    </w:lvl>
  </w:abstractNum>
  <w:abstractNum w:abstractNumId="77">
    <w:nsid w:val="1A27709E"/>
    <w:multiLevelType w:val="hybridMultilevel"/>
    <w:lvl w:ilvl="0">
      <w:lvlJc w:val="left"/>
      <w:lvlText w:val="%1."/>
      <w:numFmt w:val="decimal"/>
      <w:start w:val="5"/>
    </w:lvl>
  </w:abstractNum>
  <w:abstractNum w:abstractNumId="78">
    <w:nsid w:val="71EA1109"/>
    <w:multiLevelType w:val="hybridMultilevel"/>
    <w:lvl w:ilvl="0">
      <w:lvlJc w:val="left"/>
      <w:lvlText w:val="%1."/>
      <w:numFmt w:val="upperLetter"/>
      <w:start w:val="3"/>
    </w:lvl>
  </w:abstractNum>
  <w:abstractNum w:abstractNumId="79">
    <w:nsid w:val="100F59DC"/>
    <w:multiLevelType w:val="hybridMultilevel"/>
    <w:lvl w:ilvl="0">
      <w:lvlJc w:val="left"/>
      <w:lvlText w:val="%1."/>
      <w:numFmt w:val="decimal"/>
      <w:start w:val="2"/>
    </w:lvl>
  </w:abstractNum>
  <w:abstractNum w:abstractNumId="80">
    <w:nsid w:val="7FB7E0AA"/>
    <w:multiLevelType w:val="hybridMultilevel"/>
    <w:lvl w:ilvl="0">
      <w:lvlJc w:val="left"/>
      <w:lvlText w:val="%1."/>
      <w:numFmt w:val="upperLetter"/>
      <w:start w:val="4"/>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380" Type="http://schemas.openxmlformats.org/officeDocument/2006/relationships/hyperlink" Target="https://www.sec.gov/Archives/edgar/data/1815442/000119312520229873/d45025dex31.htm" TargetMode="External"/><Relationship Id="rId381" Type="http://schemas.openxmlformats.org/officeDocument/2006/relationships/hyperlink" Target="https://www.sec.gov/Archives/edgar/data/1815442/000119312520229873/d45025dex32.htm" TargetMode="External"/><Relationship Id="rId382" Type="http://schemas.openxmlformats.org/officeDocument/2006/relationships/hyperlink" Target="https://www.sec.gov/Archives/edgar/data/1815442/000119312520221618/d940105dex41.htm" TargetMode="External"/><Relationship Id="rId383" Type="http://schemas.openxmlformats.org/officeDocument/2006/relationships/hyperlink" Target="https://www.sec.gov/Archives/edgar/data/1815442/000119312525151393/d85382dex101.htm" TargetMode="External"/><Relationship Id="rId384" Type="http://schemas.openxmlformats.org/officeDocument/2006/relationships/hyperlink" Target="https://www.sec.gov/Archives/edgar/data/1815442/000156459021012240/kymr-ex43_735.htm" TargetMode="External"/><Relationship Id="rId385" Type="http://schemas.openxmlformats.org/officeDocument/2006/relationships/hyperlink" Target="https://www.sec.gov/Archives/edgar/data/1815442/000119312522224656/d247240dex41.htm" TargetMode="External"/><Relationship Id="rId386" Type="http://schemas.openxmlformats.org/officeDocument/2006/relationships/hyperlink" Target="https://www.sec.gov/Archives/edgar/data/1815442/000119312524003373/d103567dex41.htm" TargetMode="External"/><Relationship Id="rId387" Type="http://schemas.openxmlformats.org/officeDocument/2006/relationships/hyperlink" Target="https://www.sec.gov/Archives/edgar/data/1815442/000119312524203755/d846843dex41.htm" TargetMode="External"/><Relationship Id="rId388" Type="http://schemas.openxmlformats.org/officeDocument/2006/relationships/hyperlink" Target="https://www.sec.gov/Archives/edgar/data/1815442/000119312525151393/d85382dex41.htm" TargetMode="External"/><Relationship Id="rId389" Type="http://schemas.openxmlformats.org/officeDocument/2006/relationships/hyperlink" Target="https://www.sec.gov/Archives/edgar/data/0001815442/000119312520206645/d940105dex101.htm" TargetMode="External"/><Relationship Id="rId390" Type="http://schemas.openxmlformats.org/officeDocument/2006/relationships/hyperlink" Target="https://www.sec.gov/Archives/edgar/data/0001815442/000119312520221618/d940105dex102.htm" TargetMode="External"/><Relationship Id="rId391" Type="http://schemas.openxmlformats.org/officeDocument/2006/relationships/hyperlink" Target="https://www.sec.gov/Archives/edgar/data/1815442/000119312524164550/d841500dex101.htm" TargetMode="External"/><Relationship Id="rId392" Type="http://schemas.openxmlformats.org/officeDocument/2006/relationships/hyperlink" Target="https://www.sec.gov/Archives/edgar/data/1815442/000095017024051567/kymr-ex10_1.htm" TargetMode="External"/><Relationship Id="rId395" Type="http://schemas.openxmlformats.org/officeDocument/2006/relationships/hyperlink" Target="https://www.sec.gov/Archives/edgar/data/0001815442/000119312520218412/d940105dex104.htm" TargetMode="External"/><Relationship Id="rId396" Type="http://schemas.openxmlformats.org/officeDocument/2006/relationships/hyperlink" Target="https://www.sec.gov/Archives/edgar/data/0001815442/000156459020050872/kymr-ex101_540.htm" TargetMode="External"/><Relationship Id="rId397" Type="http://schemas.openxmlformats.org/officeDocument/2006/relationships/hyperlink" Target="https://www.sec.gov/Archives/edgar/data/0001815442/000119312520221618/d940105dex106.htm" TargetMode="External"/><Relationship Id="rId398" Type="http://schemas.openxmlformats.org/officeDocument/2006/relationships/hyperlink" Target="https://www.sec.gov/Archives/edgar/data/0001815442/000119312520206645/d940105dex108.htm" TargetMode="External"/><Relationship Id="rId399" Type="http://schemas.openxmlformats.org/officeDocument/2006/relationships/hyperlink" Target="https://www.sec.gov/Archives/edgar/data/0001815442/000119312520218412/d940105dex109.htm" TargetMode="External"/><Relationship Id="rId400" Type="http://schemas.openxmlformats.org/officeDocument/2006/relationships/hyperlink" Target="https://www.sec.gov/Archives/edgar/data/1815442/000095017023003935/kymr-ex10_10.htm" TargetMode="External"/><Relationship Id="rId401" Type="http://schemas.openxmlformats.org/officeDocument/2006/relationships/hyperlink" Target="https://www.sec.gov/Archives/edgar/data/1815442/000095017024018414/kymr-ex10_13.htm" TargetMode="External"/><Relationship Id="rId402" Type="http://schemas.openxmlformats.org/officeDocument/2006/relationships/hyperlink" Target="https://www.sec.gov/Archives/edgar/data/1815442/000119312522224656/d247240dex101.htm" TargetMode="External"/><Relationship Id="rId403" Type="http://schemas.openxmlformats.org/officeDocument/2006/relationships/hyperlink" Target="https://www.sec.gov/Archives/edgar/data/1815442/000119312522224656/d247240dex102.htm" TargetMode="External"/><Relationship Id="rId404" Type="http://schemas.openxmlformats.org/officeDocument/2006/relationships/hyperlink" Target="https://www.sec.gov/Archives/edgar/data/1815442/000095017024018414/kymr-ex10_16.htm" TargetMode="External"/><Relationship Id="rId405" Type="http://schemas.openxmlformats.org/officeDocument/2006/relationships/hyperlink" Target="https://www.sec.gov/Archives/edgar/data/1815442/000095017024119249/kymr-ex10_1.htm" TargetMode="External"/><Relationship Id="rId406" Type="http://schemas.openxmlformats.org/officeDocument/2006/relationships/hyperlink" Target="https://www.sec.gov/Archives/edgar/data/1815442/000095017024119249/kymr-ex10_2.htm" TargetMode="External"/><Relationship Id="rId407" Type="http://schemas.openxmlformats.org/officeDocument/2006/relationships/hyperlink" Target="https://www.sec.gov/Archives/edgar/data/1815442/000095017024018414/kymr-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2026-02-26T06:23:50Z</dcterms:created>
  <dcterms:modified xsi:type="dcterms:W3CDTF">2026-02-26T06:23:50Z</dcterms:modified>
</cp:coreProperties>
</file>