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2600" w:right="1600" w:hanging="2579"/>
        <w:spacing w:after="0" w:line="232" w:lineRule="auto"/>
        <w:tabs>
          <w:tab w:leader="none" w:pos="471"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45"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p>
      <w:pPr>
        <w:spacing w:after="0" w:line="188"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2">
            <w:col w:w="7140" w:space="720"/>
            <w:col w:w="3380"/>
          </w:cols>
          <w:pgMar w:left="320" w:top="1334" w:right="3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31" w:lineRule="exact"/>
        <w:rPr>
          <w:sz w:val="24"/>
          <w:szCs w:val="24"/>
          <w:color w:val="auto"/>
        </w:rPr>
      </w:pPr>
    </w:p>
    <w:p>
      <w:pPr>
        <w:ind w:left="17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Watertown, Massachusetts</w:t>
      </w:r>
      <w:r>
        <w:rPr>
          <w:sz w:val="20"/>
          <w:szCs w:val="20"/>
          <w:color w:val="auto"/>
        </w:rPr>
        <w:tab/>
      </w:r>
      <w:r>
        <w:rPr>
          <w:rFonts w:ascii="Times New Roman" w:cs="Times New Roman" w:eastAsia="Times New Roman" w:hAnsi="Times New Roman"/>
          <w:sz w:val="18"/>
          <w:szCs w:val="18"/>
          <w:b w:val="1"/>
          <w:bCs w:val="1"/>
          <w:color w:val="auto"/>
        </w:rPr>
        <w:t>02472</w:t>
      </w:r>
    </w:p>
    <w:p>
      <w:pPr>
        <w:spacing w:after="0" w:line="11"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8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KYMR</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7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26, 2024, the registrant had 61,358,262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ind w:left="1323"/>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337" w:lineRule="exact"/>
        <w:rPr>
          <w:sz w:val="20"/>
          <w:szCs w:val="20"/>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biopharmaceutical company with a limited operating history and have not generated any revenue to date from drug sales, and may never become profitable.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in recent periods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IRAK4, STAT3 and MDM2 programs are still in early clinical development. If we are unable to advance them through the clinic for safety or efficacy reasons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timely completion or outcome of our preclinical testing, including our STAT6 and TYK2 programs. In addition, the results of preclinical studies may not be predictive of the results of clinical trials and the results of any early-stage clinical trials we commence may not be predictive of the results of later-stage clinical trials.</w:t>
      </w:r>
    </w:p>
    <w:p>
      <w:pPr>
        <w:spacing w:after="0" w:line="74" w:lineRule="exact"/>
        <w:rPr>
          <w:rFonts w:ascii="Times New Roman" w:cs="Times New Roman" w:eastAsia="Times New Roman" w:hAnsi="Times New Roman"/>
          <w:sz w:val="18"/>
          <w:szCs w:val="18"/>
          <w:color w:val="auto"/>
        </w:rPr>
      </w:pPr>
    </w:p>
    <w:p>
      <w:pPr>
        <w:ind w:left="503" w:hanging="503"/>
        <w:spacing w:after="0" w:line="233"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based on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is novel and unproven, which makes it difficult to predict the time, cost of development, and likelihood of successfully developing any products.</w:t>
      </w:r>
    </w:p>
    <w:p>
      <w:pPr>
        <w:spacing w:after="0" w:line="9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any pandemic or similar public health crises could cause a disruption to our supply chain or the development of our product candidates and adversely impact our business.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obligations and continued regulatory review, which may result in significant additional expense.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ongoing and planned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spacing w:after="0" w:line="187"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future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74"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construct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our drug discovery platform, and to enable a rational and effective drug discovery and development engine;</w:t>
      </w:r>
    </w:p>
    <w:p>
      <w:pPr>
        <w:spacing w:after="0" w:line="9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success of preclinical development efforts for STAT6 and TYK2 and clinical studies under our IRAK4, STAT3 and MDM2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investigational new drug applications to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initiation of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manufacture our drug substances, delivery vehicles,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pandemics, including mitigation efforts and economic effects, on any of the foregoing or other aspects of our business operations, including but not limited to our preclinical studies and future clinical trials;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7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9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2"/>
                <w:szCs w:val="1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8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93,510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109,966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Marketable securities (Note 4)</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427,034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assets</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14,679</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11,674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537,253</w:t>
            </w:r>
          </w:p>
        </w:tc>
        <w:tc>
          <w:tcPr>
            <w:tcW w:w="24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Marketable securities, non-current (Note 4)</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224,390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 (Note 6)</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operating leases</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49,329</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5,825</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868,251</w:t>
            </w: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575,759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 (Note 8)</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22,613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56,136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23,781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75,975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157,048</w:t>
            </w:r>
          </w:p>
        </w:tc>
        <w:tc>
          <w:tcPr>
            <w:tcW w:w="24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3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$0.0001 par value; 150,000,000 shares authorized at March 31, 2024 and December 31, 2023, 61,353,146 and</w:t>
            </w:r>
          </w:p>
        </w:tc>
        <w:tc>
          <w:tcPr>
            <w:tcW w:w="2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55,585,305 shares issued and outstanding at March 31, 2024 and December 31, 2023, respectively</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1,292,283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926,269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(579,309 )</w:t>
            </w:r>
          </w:p>
        </w:tc>
        <w:tc>
          <w:tcPr>
            <w:tcW w:w="18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(530,752 )</w:t>
            </w:r>
          </w:p>
        </w:tc>
        <w:tc>
          <w:tcPr>
            <w:tcW w:w="0" w:type="dxa"/>
            <w:vAlign w:val="bottom"/>
          </w:tcPr>
          <w:p>
            <w:pPr>
              <w:spacing w:after="0"/>
              <w:rPr>
                <w:sz w:val="1"/>
                <w:szCs w:val="1"/>
                <w:color w:val="auto"/>
              </w:rPr>
            </w:pPr>
          </w:p>
        </w:tc>
      </w:tr>
      <w:tr>
        <w:trPr>
          <w:trHeight w:val="175"/>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(1,777 )</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(552 )</w:t>
            </w:r>
          </w:p>
        </w:tc>
        <w:tc>
          <w:tcPr>
            <w:tcW w:w="0" w:type="dxa"/>
            <w:vAlign w:val="bottom"/>
          </w:tcPr>
          <w:p>
            <w:pPr>
              <w:spacing w:after="0"/>
              <w:rPr>
                <w:sz w:val="1"/>
                <w:szCs w:val="1"/>
                <w:color w:val="auto"/>
              </w:rPr>
            </w:pPr>
          </w:p>
        </w:tc>
      </w:tr>
      <w:tr>
        <w:trPr>
          <w:trHeight w:val="169"/>
        </w:trPr>
        <w:tc>
          <w:tcPr>
            <w:tcW w:w="83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711,203</w:t>
            </w: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394,971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300" w:type="dxa"/>
            <w:vAlign w:val="bottom"/>
            <w:tcBorders>
              <w:bottom w:val="single" w:sz="8" w:color="CFF0FC"/>
            </w:tcBorders>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868,251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575,759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-3308350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-2630805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-264795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42,227</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68,118</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54,792</w:t>
            </w:r>
          </w:p>
        </w:tc>
        <w:tc>
          <w:tcPr>
            <w:tcW w:w="100" w:type="dxa"/>
            <w:vAlign w:val="bottom"/>
            <w:tcBorders>
              <w:top w:val="single" w:sz="8" w:color="CFF0FC"/>
            </w:tcBorders>
          </w:tcPr>
          <w:p>
            <w:pPr>
              <w:spacing w:after="0"/>
              <w:rPr>
                <w:sz w:val="20"/>
                <w:szCs w:val="20"/>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(57,831</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380" w:type="dxa"/>
            <w:vAlign w:val="bottom"/>
          </w:tcPr>
          <w:p>
            <w:pPr>
              <w:spacing w:after="0"/>
              <w:rPr>
                <w:sz w:val="21"/>
                <w:szCs w:val="21"/>
                <w:color w:val="auto"/>
              </w:rPr>
            </w:pP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(69 )</w:t>
            </w: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7"/>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(48,557 )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(40,928 )</w:t>
            </w: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80" w:type="dxa"/>
            <w:vAlign w:val="bottom"/>
          </w:tcPr>
          <w:p>
            <w:pPr>
              <w:spacing w:after="0"/>
              <w:rPr>
                <w:sz w:val="21"/>
                <w:szCs w:val="21"/>
                <w:color w:val="auto"/>
              </w:rPr>
            </w:pP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(1,225 )</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1"/>
                <w:szCs w:val="21"/>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(48,557</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7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70,770,320</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58,187,038</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-2965450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-2965450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-2339340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-2339340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-1388110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-1388110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-728345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-710565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-728345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-710565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-205105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-205105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-187960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90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900" w:type="dxa"/>
            <w:vAlign w:val="bottom"/>
            <w:tcBorders>
              <w:bottom w:val="single" w:sz="8" w:color="auto"/>
            </w:tcBorders>
            <w:gridSpan w:val="4"/>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55,039,380</w:t>
            </w:r>
          </w:p>
        </w:tc>
        <w:tc>
          <w:tcPr>
            <w:tcW w:w="900" w:type="dxa"/>
            <w:vAlign w:val="bottom"/>
            <w:gridSpan w:val="3"/>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878,884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(383,790 )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(4,949 )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490,151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28,141</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(40,928 )</w:t>
            </w:r>
          </w:p>
        </w:tc>
        <w:tc>
          <w:tcPr>
            <w:tcW w:w="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(40,928 )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March 31, 2023</w:t>
            </w:r>
          </w:p>
        </w:tc>
        <w:tc>
          <w:tcPr>
            <w:tcW w:w="10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55,276,226</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889,755</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(424,718 )</w:t>
            </w:r>
          </w:p>
        </w:tc>
        <w:tc>
          <w:tcPr>
            <w:tcW w:w="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(3,038 )</w:t>
            </w: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462,005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55,585,305</w:t>
            </w:r>
          </w:p>
        </w:tc>
        <w:tc>
          <w:tcPr>
            <w:tcW w:w="120" w:type="dxa"/>
            <w:vAlign w:val="bottom"/>
          </w:tcPr>
          <w:p>
            <w:pPr>
              <w:spacing w:after="0"/>
              <w:rPr>
                <w:sz w:val="24"/>
                <w:szCs w:val="24"/>
                <w:color w:val="auto"/>
              </w:rPr>
            </w:pPr>
          </w:p>
        </w:tc>
        <w:tc>
          <w:tcPr>
            <w:tcW w:w="78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926,269</w:t>
            </w: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(530,752 )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(552 )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and accompanying pre-funded</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warrants from public offering, net of issuance costs of</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3,884,158</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34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$14.9 million</w:t>
            </w:r>
          </w:p>
        </w:tc>
        <w:tc>
          <w:tcPr>
            <w:tcW w:w="10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through at-the market sales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1,519,453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agreement, net of issuance costs of $1.2 million</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281,021</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83,209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11,968</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(1,225 )</w:t>
            </w:r>
          </w:p>
        </w:tc>
        <w:tc>
          <w:tcPr>
            <w:tcW w:w="2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(1,225 )</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(48,557 )</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(48,557 )</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March 31, 2024</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61,353,146</w:t>
            </w:r>
          </w:p>
        </w:tc>
        <w:tc>
          <w:tcPr>
            <w:tcW w:w="900" w:type="dxa"/>
            <w:vAlign w:val="bottom"/>
            <w:gridSpan w:val="3"/>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1,292,283</w:t>
            </w:r>
          </w:p>
        </w:tc>
        <w:tc>
          <w:tcPr>
            <w:tcW w:w="3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(579,309 )</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(1,777 )</w:t>
            </w: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711,203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-1482090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-1464945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-1482090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-1464945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-1482090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-1464945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-1482090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-1464945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-1482090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-1464945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-1482090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-1464945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-145415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-145415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-145415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-145415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-145415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-145415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81" w:right="39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2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(48,557 )</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(40,928 )</w:t>
            </w:r>
          </w:p>
        </w:tc>
      </w:tr>
      <w:tr>
        <w:trPr>
          <w:trHeight w:val="239"/>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11,968</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9,385</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 Impairment Charge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Premiums and discounts on available-for-sale marketable securities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(3,072 )</w:t>
            </w:r>
          </w:p>
        </w:tc>
        <w:tc>
          <w:tcPr>
            <w:tcW w:w="6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(1,326 )</w:t>
            </w:r>
          </w:p>
        </w:tc>
      </w:tr>
      <w:tr>
        <w:trPr>
          <w:trHeight w:val="22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(3,005 )</w:t>
            </w:r>
          </w:p>
        </w:tc>
        <w:tc>
          <w:tcPr>
            <w:tcW w:w="6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(1,641 )</w:t>
            </w:r>
          </w:p>
        </w:tc>
      </w:tr>
      <w:tr>
        <w:trPr>
          <w:trHeight w:val="220"/>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Contract asset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(783 )</w:t>
            </w:r>
          </w:p>
        </w:tc>
      </w:tr>
      <w:tr>
        <w:trPr>
          <w:trHeight w:val="220"/>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(15,394 )</w:t>
            </w:r>
          </w:p>
        </w:tc>
        <w:tc>
          <w:tcPr>
            <w:tcW w:w="6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(10,037 )</w:t>
            </w:r>
          </w:p>
        </w:tc>
      </w:tr>
      <w:tr>
        <w:trPr>
          <w:trHeight w:val="220"/>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(8,257 )</w:t>
            </w:r>
          </w:p>
        </w:tc>
        <w:tc>
          <w:tcPr>
            <w:tcW w:w="6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(6,145 )</w:t>
            </w:r>
          </w:p>
        </w:tc>
      </w:tr>
      <w:tr>
        <w:trPr>
          <w:trHeight w:val="239"/>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100" w:type="dxa"/>
            <w:vAlign w:val="bottom"/>
          </w:tcPr>
          <w:p>
            <w:pPr>
              <w:spacing w:after="0"/>
              <w:rPr>
                <w:sz w:val="19"/>
                <w:szCs w:val="19"/>
                <w:color w:val="auto"/>
              </w:rPr>
            </w:pPr>
          </w:p>
        </w:tc>
      </w:tr>
      <w:tr>
        <w:trPr>
          <w:trHeight w:val="236"/>
        </w:trPr>
        <w:tc>
          <w:tcPr>
            <w:tcW w:w="79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(39,591 )</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(43,968 )</w:t>
            </w:r>
          </w:p>
        </w:tc>
      </w:tr>
      <w:tr>
        <w:trPr>
          <w:trHeight w:val="22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net</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(7,402 )</w:t>
            </w:r>
          </w:p>
        </w:tc>
        <w:tc>
          <w:tcPr>
            <w:tcW w:w="6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(4,009 )</w:t>
            </w:r>
          </w:p>
        </w:tc>
      </w:tr>
      <w:tr>
        <w:trPr>
          <w:trHeight w:val="239"/>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(422,704 )</w:t>
            </w:r>
          </w:p>
        </w:tc>
        <w:tc>
          <w:tcPr>
            <w:tcW w:w="6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(61,835 )</w:t>
            </w:r>
          </w:p>
        </w:tc>
      </w:tr>
      <w:tr>
        <w:trPr>
          <w:trHeight w:val="226"/>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99,499</w:t>
            </w: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90,428</w:t>
            </w:r>
          </w:p>
        </w:tc>
        <w:tc>
          <w:tcPr>
            <w:tcW w:w="100" w:type="dxa"/>
            <w:vAlign w:val="bottom"/>
          </w:tcPr>
          <w:p>
            <w:pPr>
              <w:spacing w:after="0"/>
              <w:rPr>
                <w:sz w:val="19"/>
                <w:szCs w:val="19"/>
                <w:color w:val="auto"/>
              </w:rPr>
            </w:pPr>
          </w:p>
        </w:tc>
      </w:tr>
      <w:tr>
        <w:trPr>
          <w:trHeight w:val="22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(330,607 )</w:t>
            </w:r>
          </w:p>
        </w:tc>
        <w:tc>
          <w:tcPr>
            <w:tcW w:w="6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24,584</w:t>
            </w:r>
          </w:p>
        </w:tc>
        <w:tc>
          <w:tcPr>
            <w:tcW w:w="100" w:type="dxa"/>
            <w:vAlign w:val="bottom"/>
            <w:shd w:val="clear" w:color="auto" w:fill="CFF0FC"/>
          </w:tcPr>
          <w:p>
            <w:pPr>
              <w:spacing w:after="0"/>
              <w:rPr>
                <w:sz w:val="19"/>
                <w:szCs w:val="19"/>
                <w:color w:val="auto"/>
              </w:rPr>
            </w:pPr>
          </w:p>
        </w:tc>
      </w:tr>
      <w:tr>
        <w:trPr>
          <w:trHeight w:val="217"/>
        </w:trPr>
        <w:tc>
          <w:tcPr>
            <w:tcW w:w="7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1"/>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and accompanying pre-funded</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warrants from public offering, net of underwriting discounts and issuance costs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301,373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through at-the market sales agreement,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issuance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shd w:val="clear" w:color="auto" w:fill="CFF0FC"/>
          </w:tcPr>
          <w:p>
            <w:pPr>
              <w:spacing w:after="0"/>
              <w:rPr>
                <w:sz w:val="20"/>
                <w:szCs w:val="20"/>
                <w:color w:val="auto"/>
              </w:rPr>
            </w:pPr>
          </w:p>
        </w:tc>
      </w:tr>
      <w:tr>
        <w:trPr>
          <w:trHeight w:val="226"/>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(290 )</w:t>
            </w:r>
          </w:p>
        </w:tc>
        <w:tc>
          <w:tcPr>
            <w:tcW w:w="6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(327 )</w:t>
            </w:r>
          </w:p>
        </w:tc>
      </w:tr>
      <w:tr>
        <w:trPr>
          <w:trHeight w:val="223"/>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353,756</w:t>
            </w: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(16,442 )</w:t>
            </w:r>
          </w:p>
        </w:tc>
        <w:tc>
          <w:tcPr>
            <w:tcW w:w="6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(18,225 )</w:t>
            </w:r>
          </w:p>
        </w:tc>
      </w:tr>
      <w:tr>
        <w:trPr>
          <w:trHeight w:val="236"/>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115,777</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99,335</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56,299</w:t>
            </w:r>
          </w:p>
        </w:tc>
        <w:tc>
          <w:tcPr>
            <w:tcW w:w="100" w:type="dxa"/>
            <w:vAlign w:val="bottom"/>
          </w:tcPr>
          <w:p>
            <w:pPr>
              <w:spacing w:after="0"/>
              <w:rPr>
                <w:sz w:val="19"/>
                <w:szCs w:val="19"/>
                <w:color w:val="auto"/>
              </w:rPr>
            </w:pPr>
          </w:p>
        </w:tc>
      </w:tr>
      <w:tr>
        <w:trPr>
          <w:trHeight w:val="22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48,833</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FF0FC"/>
          </w:tcPr>
          <w:p>
            <w:pPr>
              <w:spacing w:after="0"/>
              <w:rPr>
                <w:sz w:val="20"/>
                <w:szCs w:val="20"/>
                <w:color w:val="auto"/>
              </w:rPr>
            </w:pPr>
          </w:p>
        </w:tc>
      </w:tr>
      <w:tr>
        <w:trPr>
          <w:trHeight w:val="221"/>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expenses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-3239770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-2339340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-1190625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-890905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93,510</w:t>
            </w:r>
          </w:p>
        </w:tc>
        <w:tc>
          <w:tcPr>
            <w:tcW w:w="68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50,152</w:t>
            </w:r>
          </w:p>
        </w:tc>
        <w:tc>
          <w:tcPr>
            <w:tcW w:w="100" w:type="dxa"/>
            <w:vAlign w:val="bottom"/>
            <w:shd w:val="clear" w:color="auto" w:fill="CFF0FC"/>
          </w:tcPr>
          <w:p>
            <w:pPr>
              <w:spacing w:after="0"/>
              <w:rPr>
                <w:sz w:val="19"/>
                <w:szCs w:val="19"/>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6,147</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99,335</w:t>
            </w:r>
          </w:p>
        </w:tc>
        <w:tc>
          <w:tcPr>
            <w:tcW w:w="28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56,299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historical net losses and anticipates that it will continue to incur losses for the foreseeable future and had an accumulated deficit of $579.3 million as of March 31, 2024. The Company has funded these losses principally through issuance of preferred stock, convertible notes, common stock, including its initial public offering and concurrent private placement completed in August 2020 (“IPO”), follow-on offering and concurrent private placement completed in July 2021 (“2021 Follow-on”) offering, August 2022 Private Investment in Public Equity (“PIPE”) offering, follow-on offering completed in January 2024 ("2024 Follow-on"), sales under our Sales agreement with Cowen, and from cash proceeds received in connection with the Company’s collaboration agreements with Vertex Pharmaceuticals Incorporated (“Vertex”) and Genzyme Corporation (“Sanofi”) (see Note 5). The Company expects to continue to incur operating losses and negative cash flows until such time as it generates a level of revenue that is sufficient to support its cost structure.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cash, cash equivalents and marketable securities of $744.9 million. The Company believes these cash, cash equivalents and marketable securities will be sufficient to fund its operations and capital expenditure requirements through at least twelve months from the issuance of these condensed consolidated financial statements.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Investment in Public Equity “PIPE”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18, 2022, the Company and certain accredited investors entered into a securities purchase agreement pursuant to which the Company agreed to sell and issue to such investors in a private placement (i) an aggregate of 2,769,228 shares of the Company’s common stock at a purchase price of $26.00 per share, and (ii) 3,000,000 pre-funded warrants to purchase common stock, at a purchase price of $25.9999 per Pre-Funded Warrant. The Pre-Funded Warrants will have an exercise price of $0.0001 per share of common stock. The offering closed on August 22, 2022, resulting in net proceeds of $149.8 million after offering expenses.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Follow-on Public Offering</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9, 2024, the Company completed a follow-on offering of its common stock and, in lieu of common stock to certain investors, pre-funded warrants to purchase shares of its common stock. The Company issued and sold 3,884,158 shares of common stock, including full exercise of the underwriters’ over-allotment option to purchase an additional 1,633,663 shares, at a public offering price of $25.25 per share. Additionally, in lieu of common stock to certain investors, the Company issued and sold pre-funded warrants to purchase 8,640,594 shares of its common stock at a public offering price of $25.2499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$316.2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certain offerings mentioned above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(or, at the election of the holder, 9.99%)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 pre-funded warrants were exercised. As of March 31, 2024, there were 11,640,594 pre-funded warrants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application of certain significant accounting policies as described in this note, and elsewhere in the accompanying condensed consolidated financial statements and notes.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Kymera Securities Corporation. All intercompany transactions and balances have been eliminated in consolidation.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2023 included in the Company’s Annual Report on Form 10-K, filed with the SEC on February 22, 2024.</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as of and for the year ended December 31, 2023, and, in the opinion of management, reflect all adjustments necessary, all of which were normal and recurring, for the fair statement of the Company’s financial position as of March 31, 2024, and the results of operations and cash flows for the three months ended March 31, 2024 and 2023. The results for the three months ended March 31, 2024 are not necessarily indicative of the results for the year ended December 31, 2024 or for any future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months ended March 31, 2024 are consistent with those discussed in Note 2 to the consolidated financial statements in the 2023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indicates the level of the fair value hierarchy utilized to determine such fair values as of March 31, 2024 and December 31, 2023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50,248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50,248</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167,206</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106,672</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106,672</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153,157</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153,157</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36,278</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36,278</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167,746</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167,746</w:t>
            </w:r>
          </w:p>
        </w:tc>
        <w:tc>
          <w:tcPr>
            <w:tcW w:w="100" w:type="dxa"/>
            <w:vAlign w:val="bottom"/>
            <w:shd w:val="clear" w:color="auto" w:fill="CFF0FC"/>
          </w:tcPr>
          <w:p>
            <w:pPr>
              <w:spacing w:after="0"/>
              <w:rPr>
                <w:sz w:val="21"/>
                <w:szCs w:val="21"/>
                <w:color w:val="auto"/>
              </w:rPr>
            </w:pP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Pr>
          <w:p>
            <w:pPr>
              <w:spacing w:after="0"/>
              <w:rPr>
                <w:sz w:val="21"/>
                <w:szCs w:val="21"/>
                <w:color w:val="auto"/>
              </w:rPr>
            </w:pPr>
          </w:p>
        </w:tc>
      </w:tr>
      <w:tr>
        <w:trPr>
          <w:trHeight w:val="277"/>
        </w:trPr>
        <w:tc>
          <w:tcPr>
            <w:tcW w:w="53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283,238</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463,853</w:t>
            </w:r>
          </w:p>
        </w:tc>
        <w:tc>
          <w:tcPr>
            <w:tcW w:w="2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747,091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1"/>
        </w:trPr>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3"/>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w:t>
            </w:r>
          </w:p>
        </w:tc>
        <w:tc>
          <w:tcPr>
            <w:tcW w:w="100" w:type="dxa"/>
            <w:vAlign w:val="bottom"/>
            <w:shd w:val="clear" w:color="auto" w:fill="CFF0FC"/>
          </w:tcPr>
          <w:p>
            <w:pPr>
              <w:spacing w:after="0"/>
              <w:rPr>
                <w:sz w:val="21"/>
                <w:szCs w:val="21"/>
                <w:color w:val="auto"/>
              </w:rPr>
            </w:pP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21"/>
                <w:szCs w:val="21"/>
                <w:color w:val="auto"/>
              </w:rPr>
            </w:pPr>
          </w:p>
        </w:tc>
      </w:tr>
      <w:tr>
        <w:trPr>
          <w:trHeight w:val="277"/>
        </w:trPr>
        <w:tc>
          <w:tcPr>
            <w:tcW w:w="53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136,056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303,096</w:t>
            </w:r>
          </w:p>
        </w:tc>
        <w:tc>
          <w:tcPr>
            <w:tcW w:w="2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439,152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-2862580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-2845435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-2862580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-2845435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-2862580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-2845435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-2862580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-2845435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and the year ended December 31, 2023, there were no transfers in or out of Level 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2" w:name="page13"/>
    <w:bookmarkEnd w:id="1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available-for-sale debt securities held at March 31, 2024 and December 31, 2023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187,570</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143,361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(423 )</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142,950</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321,978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(1,084 )</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320,904</w:t>
            </w:r>
          </w:p>
        </w:tc>
        <w:tc>
          <w:tcPr>
            <w:tcW w:w="10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653,186</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(1,784 )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651,424</w:t>
            </w:r>
          </w:p>
        </w:tc>
        <w:tc>
          <w:tcPr>
            <w:tcW w:w="100" w:type="dxa"/>
            <w:vAlign w:val="bottom"/>
            <w:shd w:val="clear" w:color="auto" w:fill="CFF0FC"/>
          </w:tcPr>
          <w:p>
            <w:pPr>
              <w:spacing w:after="0"/>
              <w:rPr>
                <w:sz w:val="24"/>
                <w:szCs w:val="24"/>
                <w:color w:val="auto"/>
              </w:rPr>
            </w:pPr>
          </w:p>
        </w:tc>
      </w:tr>
      <w:tr>
        <w:trPr>
          <w:trHeight w:val="361"/>
        </w:trPr>
        <w:tc>
          <w:tcPr>
            <w:tcW w:w="5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Borders>
              <w:top w:val="single" w:sz="8" w:color="CFF0FC"/>
            </w:tcBorders>
          </w:tcPr>
          <w:p>
            <w:pPr>
              <w:spacing w:after="0"/>
              <w:rPr>
                <w:sz w:val="24"/>
                <w:szCs w:val="24"/>
                <w:color w:val="auto"/>
              </w:rPr>
            </w:pP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(305 )</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142,691</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(306 )</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160,405</w:t>
            </w:r>
          </w:p>
        </w:tc>
        <w:tc>
          <w:tcPr>
            <w:tcW w:w="10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326,907</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326,349</w:t>
            </w:r>
          </w:p>
        </w:tc>
        <w:tc>
          <w:tcPr>
            <w:tcW w:w="100" w:type="dxa"/>
            <w:vAlign w:val="bottom"/>
            <w:shd w:val="clear" w:color="auto" w:fill="CFF0FC"/>
          </w:tcPr>
          <w:p>
            <w:pPr>
              <w:spacing w:after="0"/>
              <w:rPr>
                <w:sz w:val="22"/>
                <w:szCs w:val="22"/>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-1199515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-1182370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-1199515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-1182370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-1199515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-1182370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-1199515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-1182370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held 113 securities that had been in an unrealized loss position for less than 12 months with an aggregate fair value of $467.4 million. As of December 31, 2023, the Company held 109 securities that had been in an unrealized loss position for less than 12 months with an aggregate fair value of $229.7 million. As of March 31, 2024, the Company held 39 securities that had been in an unrealized loss position for greater than 12 months with an aggregate fair value of $81.5 million. As of December 31, 2023, the Company held 16 securities that had been in an unrealized loss position for greater than 12 months with an aggregate fair value of $36.6 million.</w:t>
      </w:r>
    </w:p>
    <w:p>
      <w:pPr>
        <w:spacing w:after="0" w:line="2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140 securities with a fair value of $427.0 million with a contractual maturity of less than 12 months and 61 securities with a fair value of $224.4 million with a contractual maturity of greater than 12 months. As of December 31, 2023 the Company had 124 securities with a fair value of $264.9 million with a contractual maturity of less than 12 months and 27 securities with a fair value of $61.4 million with a contractual maturity of greater than 12 months.</w:t>
      </w:r>
    </w:p>
    <w:p>
      <w:pPr>
        <w:spacing w:after="0" w:line="24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March 31, 2024 and December 31,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the Company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21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the Company an upfront payment of $150.0 million. The Company will also be reimbursed for certain research activities for a certain backup degrader under the IRAK4 program as well as contract manufacturing costs for the lead KT-474 program, unless certain criteria are not met for an initial IRAK4 degrader. In addition to the upfront payment and the reimbursements, the Company is eligible to receive certain development milestone payments of up to $1.48 billion in the aggregate, of which more than $1.0 billion relates to the IRAK4 program, upon the achievement of certain developmental or regulatory events. The Company will be eligible to receive certain commercial milestone payments up to $700.0 million in the aggregate, of which $400.0 million relates to the IRAK4 program, which are payable upon the achievement of certain net sales thresholds. The Company will be eligible to receive tiered royalties for each program on net sales ranging from the high-single digits to high teens, subject to low-single digits upward adjustments in certain circumstances.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total transaction price to be $150.0 million, which consists solely of the upfront payment. All milestone payments and option payments are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1: $120.0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2: $30.0 million</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allocation of the $150.0 million transaction price between Collaboration Target 1 and Collaboration Target 2 based on the value of the research and development for the programs from projected research and development costs for each collaboration target plus a developer’s profit and the total potential milestones for each collaboration target.</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Milestone and reimbursement consideration added to the transaction price will be recognized as revenue with a cumulative catch-up upon becoming unconstrained. The performance obligation associated with Collaboration Target 1 has not been fully satisfied as of March 31, 2024. The performance obligation associated with Collaboration Target 2 has been fully satisfied. In the three months ended March 31, 2024, the Company recognized $10.3 million in revenue under the Sanofi Agreement, all of which was associated with Collaboration Target 1. In the three months ended March 31, 2023, the Company recognized $7.7 million in revenue under the Sanofi Agreement, of which $7.1 million was associated with Collaboration Target 1 and $0.6 million was associated with Collaboration Target 2. Of the $10.3 million of revenue recognized in the three months ended March 31, 2024, $8.7 million was recognized from amounts that were recorded in deferred revenue as of December 31, 2023. The aggregate amount of the transaction price allocated to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18"/>
          <w:szCs w:val="18"/>
          <w:color w:val="auto"/>
        </w:rPr>
        <w:t>Company’s unsatisfied performance obligations and recorded in deferred revenue at March 31, 2024 and December 31, 2023 is $46.4 million and $54.7 million, respectively. During the three months ended March 31, 2024, the Company received $3.8 million in cost reimbursement payments, and additionally received a $15.0 million milestone payment from Sanofi for dosing of the first patient in the second indication of the Phase 2 Clinical Trial which had been recorded in accounts receivable as of December 31, 2023. As of March 31, 2024, the Company recorded a contract asset for unbilled accounts receivable of $2.0 million related to reimbursable research and development costs under the Sanofi Agreement for activities performed during the first quarter of 2024 The Company will recognize the deferred revenue related to the performance obligations based on a cost input method, as described, over the remaining research term, which as a result of the amended agreement, is a maximum of approximately 2.8 years as of March 31, 2024.</w:t>
      </w:r>
    </w:p>
    <w:p>
      <w:pPr>
        <w:spacing w:after="0" w:line="22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consideration related to performance-based milestones will be recognized when the risk of probable reversal is resolved, at which point the Company shall adjust the transaction price determined for the agreement accordingly and recognize revenue on a cumulative-catch up basis, reallocating the revised arrangement consideration to the performance obligations. Any consideration related to sales milestone payments and royalties will be recognized when the related milestone events or sales occur and therefore are recognized at the later of when the related sales occur or the relevant performance obligation is satisfied. As part of its evaluation of constraining the milestones, the Company considered numerous factors, including the fact that the achievement of the research and development milestones are contingent upon the results of the underlying research and development activities and are thus outside of the control of the Company. 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in the fourth quarter of 2023. During the quarter ended March 31, 2024, the Company recognized $2.3 million of revenue from the unconstrained milestones. As of March 31, 2024, $42.6 million of the $55.0 million of consideration has been recorded as revenue, with the remaining $12.4 million recorded as deferred revenue.</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9, 2019 (the “Effective Date”), the Company entered into a collaboration agreement (the “Vertex Agreement”) with Vertex to advance small molecule protein degraders against up to six targets. Under the Vertex Agreement, Vertex had the exclusive option to license the rights to the product candidates developed for the designated targets at which point Vertex would control development and commercialization. Pursuant to the Vertex Agreement, the Company was only responsible for discovery and preclinical research on the targets, and Vertex was responsible for development, manufacturing, and commercialization of the product candidates after it exercises its option to license. The initial research term of the collaboration was four (4) years, extendable for an additional one (1) year period upon mutual agreement by the parties and payment by Vertex of certain per-target fees.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was eligible to receive up to $170.0 million in payments per target, including development, regulatory and commercial milestones as well as option exercise payments. In addition, Vertex was obligated to pay the Company tiered royalties on future net sales on any products that may result from the Vertex Agreement. None of the payments under the Vertex Agreement are refundable. The Company may also perform follow-on research for an optioned target upon Vertex’s request and at Vertex’s expense.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term of the Vertex Agreement began on the Effective Date and expired upon the completion of the initial research term on May 9, 2023.</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Vertex provided the Company with a non-refundable upfront payment of $50.0 million and purchased 3,059,695 shares of the Company’s Series B-1 Convertible Preferred Stock (the “Series B-1 Preferred Stock”) at $6.54 a share, pursuant to a separate, but simultaneously executed Share Purchase Agreement. The shares were purchased at a premium of $5.9 million, which was included in the transaction price and will be recognized as revenue over the period of performance. As a result of this purchase, Vertex was considered a related party. Vertex is no longer considered a related party.</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joint research activities required under the Vertex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 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its evaluation of constraining the research and development milestones, the Company considered numerous factors, including the fact that the achievement of the research and development milestones is contingent upon the results of the underlying research and development activities and is thus outside of the control of the Company.</w:t>
      </w:r>
    </w:p>
    <w:p>
      <w:pPr>
        <w:spacing w:after="0" w:line="176"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At the commencement of the arrangement, two units of accounting were identified: the issuance of 3,059,695 shares of the Series B-1 Preferred Stock and the research activities the Company will perform over the Research Term. The Company determined the total transaction price to be $55.9 million, which consists of $5.9 million attributed to the premium from the shares of Series B-1 Preferred Stock sold to Vertex and the $50.0 million upfront payment. To determine the fair value of the Series B-1 Preferred Stock issued to Vertex, the Company performed a valuation of the shares of the Company’s common and preferred stock, which took into consideration recent financings, and the Company’s recent development and future exit strategies, as well as a discount for lack of marketability.</w:t>
      </w:r>
    </w:p>
    <w:p>
      <w:pPr>
        <w:spacing w:after="0" w:line="187" w:lineRule="exact"/>
        <w:rPr>
          <w:sz w:val="20"/>
          <w:szCs w:val="20"/>
          <w:color w:val="auto"/>
        </w:rPr>
      </w:pPr>
    </w:p>
    <w:p>
      <w:pPr>
        <w:jc w:val="both"/>
        <w:ind w:firstLine="515"/>
        <w:spacing w:after="0" w:line="253"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Vertex collaboration agreement expired upon completion of the initial research term in May of 2023. Accordingly, the Company fully satisfied its performance obligation and recognized all remaining deferred revenue associated with the Vertex collaboration in May 2023. No revenue was recognized during the three months ended March 31, 2024, under the Vertex Agreement. During the three months ended March 31, 2023, the Company recognized $1.8 million, under the Vertex Agreement. All $1.8 million of revenue recognized in the three months ended March 31, 2023 was recognized from amounts that were recorded in deferred revenue as of December 31, 2022. There were no unsatisfied performance obligations as of March 31, 2024. The aggregate amount of the transaction price allocated to the Company’s unsatisfied performance obligation and recorded in deferred revenue is $0 at both March 31, 2024 and December 31, 2023.</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accounts receivable, contract assets and contract liabilities for the three months ended March 31, 2024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3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16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Billed receivables - Sanofi</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(18,762 )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Unbilled receivables - Sanofi</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(3,762 )</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and contract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4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4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(22,524 )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Sanofi</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4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(10,287 )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42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(10,287 )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72"/>
        </w:trPr>
        <w:tc>
          <w:tcPr>
            <w:tcW w:w="43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-1748155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-1748155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-1748155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-1087755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-1070610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-1087755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-1070610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-1087755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-1070610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March 31, 2024 and December 31, 2023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office equipment under finance right-of-use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Assets not yet in service</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37,303</w:t>
            </w:r>
          </w:p>
        </w:tc>
        <w:tc>
          <w:tcPr>
            <w:tcW w:w="80" w:type="dxa"/>
            <w:vAlign w:val="bottom"/>
          </w:tcPr>
          <w:p>
            <w:pPr>
              <w:spacing w:after="0"/>
              <w:rPr>
                <w:sz w:val="20"/>
                <w:szCs w:val="20"/>
                <w:color w:val="auto"/>
              </w:rPr>
            </w:pPr>
          </w:p>
        </w:tc>
      </w:tr>
      <w:tr>
        <w:trPr>
          <w:trHeight w:val="24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(10,536 )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(10,440 )</w:t>
            </w: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49,336</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2024 and 2023 was $1.5 million and $0.9 million, respectively.</w:t>
      </w:r>
    </w:p>
    <w:p>
      <w:pPr>
        <w:spacing w:after="0" w:line="225"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Included in property and equipment is lab and office equipment right-of-use assets under finance leases with a cost basis of $5.7 million and $6.7 million and accumulated amortization expense of $3.5 million and $4.1 million as of March 31, 2024 and December 31, 2023, respectively.</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right-of-use assets during the three months ended March 31, 2024 and 2023 was $0.4 million and $0.4 million, respectively.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2019, the Company entered into a noncancelable facility lease agreement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March 31, 2024 and December 31, 2023. The letter of credit totaled $1.3 million and $1.3 million as of March 31, 2024 and December 31, 2023, respectively.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March 31, 2024 and December 31, 2023.</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the improvements paid for by the landlord in connection with the tenant improvement allowance represent lessee assets and therefore recorded $17.6 million of leasehold improvements in property and equipment. The Company recorded an additional $12.1 million of leasehold improvements in excess of the tenant improvement allowance, all of which were placed in service as of March 31, 2024.</w:t>
      </w:r>
    </w:p>
    <w:p>
      <w:pPr>
        <w:spacing w:after="0" w:line="39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Upon occupancy of the 2021 Lease facility in February of 2024, the Company exited the 2019 Lease facility and is actively looking to sublease the entire facility for the remaining noncancellable lease term through March 31, 2030. These actions resulted in an impairment charge of $4.9 million in the three months ended March 31, 2024. The Company continues to evaluate the potential recovery of the ROU asset under sublease scenarios, and thus it is possible that additional impairments could be identified in future periods, and such amounts could be material.</w:t>
      </w:r>
    </w:p>
    <w:p>
      <w:pPr>
        <w:spacing w:after="0" w:line="180"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impairment charge reduces the carrying value of the associated ROU asset, leasehold improvements and certain furniture and fixture assets that remained in the facility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finance lease obligations consist of certain property and equipment financed through finance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lease costs for the three months ended March 31, 2024 and 2023, were as follows (in thousands):</w:t>
      </w:r>
    </w:p>
    <w:p>
      <w:pPr>
        <w:spacing w:after="0" w:line="25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12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22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FF0FC"/>
          </w:tcPr>
          <w:p>
            <w:pPr>
              <w:spacing w:after="0"/>
              <w:rPr>
                <w:sz w:val="20"/>
                <w:szCs w:val="20"/>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right-to-use assets, finance leases</w:t>
            </w:r>
          </w:p>
        </w:tc>
        <w:tc>
          <w:tcPr>
            <w:tcW w:w="12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FF0FC"/>
          </w:tcPr>
          <w:p>
            <w:pPr>
              <w:spacing w:after="0"/>
              <w:rPr>
                <w:sz w:val="21"/>
                <w:szCs w:val="21"/>
                <w:color w:val="auto"/>
              </w:rPr>
            </w:pPr>
          </w:p>
        </w:tc>
      </w:tr>
      <w:tr>
        <w:trPr>
          <w:trHeight w:val="239"/>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for finance lease liabilities</w:t>
            </w:r>
          </w:p>
        </w:tc>
        <w:tc>
          <w:tcPr>
            <w:tcW w:w="1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r>
      <w:tr>
        <w:trPr>
          <w:trHeight w:val="243"/>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2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-187960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relating to the Company’s leases for the three months ended March 31, 2024 and 2023, were as follows (in thousands):</w:t>
      </w:r>
    </w:p>
    <w:p>
      <w:pPr>
        <w:spacing w:after="0" w:line="196"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05"/>
        </w:trPr>
        <w:tc>
          <w:tcPr>
            <w:tcW w:w="48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4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Pr>
          <w:p>
            <w:pPr>
              <w:spacing w:after="0"/>
              <w:rPr>
                <w:sz w:val="20"/>
                <w:szCs w:val="20"/>
                <w:color w:val="auto"/>
              </w:rPr>
            </w:pPr>
          </w:p>
        </w:tc>
      </w:tr>
      <w:tr>
        <w:trPr>
          <w:trHeight w:val="24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FF0FC"/>
          </w:tcPr>
          <w:p>
            <w:pPr>
              <w:spacing w:after="0"/>
              <w:rPr>
                <w:sz w:val="21"/>
                <w:szCs w:val="21"/>
                <w:color w:val="auto"/>
              </w:rPr>
            </w:pPr>
          </w:p>
        </w:tc>
      </w:tr>
      <w:tr>
        <w:trPr>
          <w:trHeight w:val="234"/>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r>
    </w:tbl>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as of March 31, 2024 and 2023 were as follows:</w:t>
      </w:r>
    </w:p>
    <w:p>
      <w:pPr>
        <w:spacing w:after="0" w:line="232"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20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20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 years</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10.75 years</w:t>
            </w: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2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w:t>
            </w:r>
          </w:p>
        </w:tc>
        <w:tc>
          <w:tcPr>
            <w:tcW w:w="20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2.36 years</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2.33 years</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8"/>
        </w:trPr>
        <w:tc>
          <w:tcPr>
            <w:tcW w:w="1700" w:type="dxa"/>
            <w:vAlign w:val="bottom"/>
          </w:tcPr>
          <w:p>
            <w:pPr>
              <w:spacing w:after="0"/>
              <w:rPr>
                <w:sz w:val="20"/>
                <w:szCs w:val="20"/>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3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8.74 %</w:t>
            </w:r>
          </w:p>
        </w:tc>
        <w:tc>
          <w:tcPr>
            <w:tcW w:w="316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8.87 %</w:t>
            </w:r>
          </w:p>
        </w:tc>
      </w:tr>
      <w:tr>
        <w:trPr>
          <w:trHeight w:val="243"/>
        </w:trPr>
        <w:tc>
          <w:tcPr>
            <w:tcW w:w="1700" w:type="dxa"/>
            <w:vAlign w:val="bottom"/>
          </w:tcPr>
          <w:p>
            <w:pPr>
              <w:spacing w:after="0"/>
              <w:rPr>
                <w:sz w:val="21"/>
                <w:szCs w:val="21"/>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w:t>
            </w:r>
          </w:p>
        </w:tc>
        <w:tc>
          <w:tcPr>
            <w:tcW w:w="3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8.17 %</w:t>
            </w:r>
          </w:p>
        </w:tc>
        <w:tc>
          <w:tcPr>
            <w:tcW w:w="316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8.52 %</w:t>
            </w:r>
          </w:p>
        </w:tc>
      </w:tr>
      <w:tr>
        <w:trPr>
          <w:trHeight w:val="661"/>
        </w:trPr>
        <w:tc>
          <w:tcPr>
            <w:tcW w:w="1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-1216660</wp:posOffset>
            </wp:positionV>
            <wp:extent cx="498919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The undiscounted future lease payments for operating and finance leases as of March 31, 2024, were as follows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3"/>
                <w:szCs w:val="13"/>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80"/>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r>
      <w:tr>
        <w:trPr>
          <w:trHeight w:val="243"/>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(excluding the first quarter)</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FF0FC"/>
          </w:tcPr>
          <w:p>
            <w:pPr>
              <w:spacing w:after="0"/>
              <w:rPr>
                <w:sz w:val="21"/>
                <w:szCs w:val="21"/>
                <w:color w:val="auto"/>
              </w:rPr>
            </w:pPr>
          </w:p>
        </w:tc>
      </w:tr>
      <w:tr>
        <w:trPr>
          <w:trHeight w:val="23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20"/>
                <w:szCs w:val="20"/>
                <w:color w:val="auto"/>
              </w:rPr>
            </w:pPr>
          </w:p>
        </w:tc>
      </w:tr>
      <w:tr>
        <w:trPr>
          <w:trHeight w:val="247"/>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FF0FC"/>
          </w:tcPr>
          <w:p>
            <w:pPr>
              <w:spacing w:after="0"/>
              <w:rPr>
                <w:sz w:val="21"/>
                <w:szCs w:val="21"/>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r>
      <w:tr>
        <w:trPr>
          <w:trHeight w:val="252"/>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131,206</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shd w:val="clear" w:color="auto" w:fill="CFF0FC"/>
          </w:tcPr>
          <w:p>
            <w:pPr>
              <w:spacing w:after="0"/>
              <w:rPr>
                <w:sz w:val="20"/>
                <w:szCs w:val="20"/>
                <w:color w:val="auto"/>
              </w:rPr>
            </w:pPr>
          </w:p>
        </w:tc>
      </w:tr>
      <w:tr>
        <w:trPr>
          <w:trHeight w:val="23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 or imputed interest</w:t>
            </w:r>
          </w:p>
        </w:tc>
        <w:tc>
          <w:tcPr>
            <w:tcW w:w="2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(46,474 )</w:t>
            </w: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41"/>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84,732</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8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undiscounted future lease payments in 2024 includes approximately $2.6 million of future reimbursements related to landlord funded tenant improvements in connection with the 2021 Lease.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as of March 31, 2024 and December 31, 2023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80" w:type="dxa"/>
            <w:vAlign w:val="bottom"/>
            <w:shd w:val="clear" w:color="auto" w:fill="CFF0FC"/>
          </w:tcPr>
          <w:p>
            <w:pPr>
              <w:spacing w:after="0"/>
              <w:rPr>
                <w:sz w:val="20"/>
                <w:szCs w:val="20"/>
                <w:color w:val="auto"/>
              </w:rPr>
            </w:pPr>
          </w:p>
        </w:tc>
      </w:tr>
      <w:tr>
        <w:trPr>
          <w:trHeight w:val="23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80" w:type="dxa"/>
            <w:vAlign w:val="bottom"/>
          </w:tcPr>
          <w:p>
            <w:pPr>
              <w:spacing w:after="0"/>
              <w:rPr>
                <w:sz w:val="20"/>
                <w:szCs w:val="20"/>
                <w:color w:val="auto"/>
              </w:rPr>
            </w:pPr>
          </w:p>
        </w:tc>
      </w:tr>
      <w:tr>
        <w:trPr>
          <w:trHeight w:val="24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shd w:val="clear" w:color="auto" w:fill="CFF0FC"/>
          </w:tcPr>
          <w:p>
            <w:pPr>
              <w:spacing w:after="0"/>
              <w:rPr>
                <w:sz w:val="21"/>
                <w:szCs w:val="21"/>
                <w:color w:val="auto"/>
              </w:rPr>
            </w:pPr>
          </w:p>
        </w:tc>
      </w:tr>
      <w:tr>
        <w:trPr>
          <w:trHeight w:val="23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80" w:type="dxa"/>
            <w:vAlign w:val="bottom"/>
          </w:tcPr>
          <w:p>
            <w:pPr>
              <w:spacing w:after="0"/>
              <w:rPr>
                <w:sz w:val="20"/>
                <w:szCs w:val="20"/>
                <w:color w:val="auto"/>
              </w:rPr>
            </w:pPr>
          </w:p>
        </w:tc>
      </w:tr>
      <w:tr>
        <w:trPr>
          <w:trHeight w:val="236"/>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-8255</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March 31, 2024 or December 31,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Grant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has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As of March 31, 2024, there were an aggregate of 3,760,882 shares remaining available for future grants.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Employee Stock Purchase Plan (the “2020 ESPP”), which became effective August 20, 2020. The 2020 ESPP initially reserved and authorized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lesser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March 31, 2024, there were an aggregate 2,021,393 shares remaining available for future grants.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2020 Plan during the three months ended March 31, 2024 is as follows (in thousands except share and per share data):</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Strike</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0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8,113,164</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2,192,471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(281,021 )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(147,900 )</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9,876,714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4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109,297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5,093,242</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-799465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-799465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-156845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-332105</wp:posOffset>
            </wp:positionV>
            <wp:extent cx="93980" cy="196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21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during the three months ended March 31, 2024 and 2023 was $6.8 million and $5.5 million, respectively.</w:t>
      </w:r>
    </w:p>
    <w:p>
      <w:pPr>
        <w:spacing w:after="0" w:line="1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The weighted-average fair value of options granted during the three months ended March 31, 2024 and 2023 was $26.53 and $18.67,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total unrecognized stock-based compensation expense for unvested stock options was $101.0 million, with a weighted average recognition period of 2.4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our equity-based compensation expense for stock options for the three months ended March 31, 2024 and 2023:</w:t>
      </w:r>
    </w:p>
    <w:p>
      <w:pPr>
        <w:spacing w:after="0" w:line="259"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7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shd w:val="clear" w:color="auto" w:fill="CFF0FC"/>
          </w:tcPr>
          <w:p>
            <w:pPr>
              <w:spacing w:after="0"/>
              <w:rPr>
                <w:sz w:val="20"/>
                <w:szCs w:val="20"/>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Pr>
          <w:p>
            <w:pPr>
              <w:spacing w:after="0"/>
              <w:rPr>
                <w:sz w:val="20"/>
                <w:szCs w:val="20"/>
                <w:color w:val="auto"/>
              </w:rPr>
            </w:pPr>
          </w:p>
        </w:tc>
      </w:tr>
      <w:tr>
        <w:trPr>
          <w:trHeight w:val="237"/>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in the Black-Scholes option pricing model to determine the grant date fair value of stock options granted to employees and non-employees for the three months ended March 31, 2024 and 2023 were as follows:</w:t>
      </w:r>
    </w:p>
    <w:p>
      <w:pPr>
        <w:spacing w:after="0" w:line="101"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68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2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7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shd w:val="clear" w:color="auto" w:fill="CFF0FC"/>
          </w:tcPr>
          <w:p>
            <w:pPr>
              <w:spacing w:after="0"/>
              <w:rPr>
                <w:sz w:val="20"/>
                <w:szCs w:val="20"/>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65 %</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8"/>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4.13 %</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4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shares of restricted stock units with service-based and performance-based vesting conditions. A summary of restricted stock activity during the three months ended March 31, 2024 is as follows: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8"/>
        </w:trPr>
        <w:tc>
          <w:tcPr>
            <w:tcW w:w="536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7"/>
        </w:trPr>
        <w:tc>
          <w:tcPr>
            <w:tcW w:w="536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2"/>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593,140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231,834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(83,209 )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(16,327 )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tcPr>
          <w:p>
            <w:pPr>
              <w:spacing w:after="0"/>
              <w:rPr>
                <w:sz w:val="20"/>
                <w:szCs w:val="20"/>
                <w:color w:val="auto"/>
              </w:rPr>
            </w:pPr>
          </w:p>
        </w:tc>
      </w:tr>
      <w:tr>
        <w:trPr>
          <w:trHeight w:val="23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2024</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725,438</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-642620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-642620</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granted 231,834 and 216,289 restricted stock units, respectively. As of March 31, 2024, the total unrecognized stock-based compensation expense for unvested restricted stock was $19.5 million with a weighted average recognition period of 2.5 years.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recognized approximately $1.4 million of expense for restricted stock of which $0.9 million and $0.5 million was recorded in research and development and general and administrative expense, respectively. During the three months ended March 31, 2023 the Company recognized approximately $0.6 million of expense for restricted stock of which $0.4 million and $0.2 million was recorded in research and development and general and administrative expense,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recorded as research and development and general and administrative expenses for employees, directors, and non-employees during the three months ended March 31, 2024 and 2023 is as follows (in thousands):</w:t>
      </w:r>
    </w:p>
    <w:p>
      <w:pPr>
        <w:spacing w:after="0" w:line="196"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4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404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646"/>
        </w:trPr>
        <w:tc>
          <w:tcPr>
            <w:tcW w:w="580" w:type="dxa"/>
            <w:vAlign w:val="bottom"/>
          </w:tcPr>
          <w:p>
            <w:pPr>
              <w:spacing w:after="0"/>
              <w:rPr>
                <w:sz w:val="24"/>
                <w:szCs w:val="24"/>
                <w:color w:val="auto"/>
              </w:rPr>
            </w:pPr>
          </w:p>
        </w:tc>
        <w:tc>
          <w:tcPr>
            <w:tcW w:w="3660" w:type="dxa"/>
            <w:vAlign w:val="bottom"/>
            <w:tcBorders>
              <w:top w:val="single" w:sz="8" w:color="CFF0FC"/>
            </w:tcBorders>
          </w:tcPr>
          <w:p>
            <w:pPr>
              <w:spacing w:after="0"/>
              <w:rPr>
                <w:sz w:val="24"/>
                <w:szCs w:val="24"/>
                <w:color w:val="auto"/>
              </w:rPr>
            </w:pPr>
          </w:p>
        </w:tc>
        <w:tc>
          <w:tcPr>
            <w:tcW w:w="3120" w:type="dxa"/>
            <w:vAlign w:val="bottom"/>
            <w:tcBorders>
              <w:top w:val="single" w:sz="8" w:color="CFF0FC"/>
            </w:tcBorders>
          </w:tcPr>
          <w:p>
            <w:pPr>
              <w:jc w:val="right"/>
              <w:ind w:right="155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-916305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11. Related-Party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the collaborations discussed in Note 5, the Company had no related party transactions for the periods presented in the accompanying condensed consolidated financial statements, which have not otherwise been discussed in these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Income taxes for the three months ended March 31, 2024 and 2023 have been calculated based on an estimated annual effective tax rate and certain discrete items. The company recorded immaterial income tax expense related to investment income for the three months ended March 31, 2024 and 2023.</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shares outstanding for the period, including the pre-funded warrants given their nominal exercise price (in thousands, except for share and per share data):</w:t>
      </w:r>
    </w:p>
    <w:p>
      <w:pPr>
        <w:spacing w:after="0" w:line="16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(40,928 )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70,770,320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58,187,038</w:t>
            </w:r>
          </w:p>
        </w:tc>
        <w:tc>
          <w:tcPr>
            <w:tcW w:w="100" w:type="dxa"/>
            <w:vAlign w:val="bottom"/>
          </w:tcPr>
          <w:p>
            <w:pPr>
              <w:spacing w:after="0"/>
              <w:rPr>
                <w:sz w:val="20"/>
                <w:szCs w:val="20"/>
                <w:color w:val="auto"/>
              </w:rPr>
            </w:pPr>
          </w:p>
        </w:tc>
      </w:tr>
      <w:tr>
        <w:trPr>
          <w:trHeight w:val="26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(0.69 )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(0.70 )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March 31, 2024 and 2023 because including them would have had an anti-dilutive effect:</w:t>
      </w:r>
    </w:p>
    <w:p>
      <w:pPr>
        <w:spacing w:after="0" w:line="218"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3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725,438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452,721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1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9,876,714</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8,291,731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10,602,152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8,744,452</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646"/>
        </w:trPr>
        <w:tc>
          <w:tcPr>
            <w:tcW w:w="1700" w:type="dxa"/>
            <w:vAlign w:val="bottom"/>
          </w:tcPr>
          <w:p>
            <w:pPr>
              <w:spacing w:after="0"/>
              <w:rPr>
                <w:sz w:val="24"/>
                <w:szCs w:val="24"/>
                <w:color w:val="auto"/>
              </w:rPr>
            </w:pPr>
          </w:p>
        </w:tc>
        <w:tc>
          <w:tcPr>
            <w:tcW w:w="3200" w:type="dxa"/>
            <w:vAlign w:val="bottom"/>
            <w:tcBorders>
              <w:top w:val="single" w:sz="8" w:color="CFF0FC"/>
            </w:tcBorders>
          </w:tcPr>
          <w:p>
            <w:pPr>
              <w:spacing w:after="0"/>
              <w:rPr>
                <w:sz w:val="24"/>
                <w:szCs w:val="24"/>
                <w:color w:val="auto"/>
              </w:rPr>
            </w:pPr>
          </w:p>
        </w:tc>
        <w:tc>
          <w:tcPr>
            <w:tcW w:w="2160" w:type="dxa"/>
            <w:vAlign w:val="bottom"/>
            <w:tcBorders>
              <w:top w:val="single" w:sz="8" w:color="CFF0FC"/>
            </w:tcBorders>
          </w:tcPr>
          <w:p>
            <w:pPr>
              <w:jc w:val="right"/>
              <w:ind w:right="125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-916305</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focused on discovering and developing novel small molecule therapeutics that selectively degrade disease-causing proteins by harnessing the body’s own natural protein degradation system. Our proprietary targeted protein degradation, or TPD, platform, which we refer to as Pegasus™, allows us to discover highly selective small molecule protein degraders with activity against disease-causing proteins throughout the body. We believe that our small molecule protein degraders have unique advantages over existing therapies and allow us to address a large portion of the human genome that was previously intractable with traditional modalities. We focus on biological pathways that have been clinically validated but where key biological nodes/proteins have not been drugged or are inadequately drugged. To date, we have utilized our Pegasus™ platform to design novel protein degraders focused in the areas of immunology-inflammation and oncology, and we continue to apply our platform’s capabilities to additional therapeutic areas. We have a mission to drug all target classes in human cells using TPD.</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current clinical stage programs are IRAK4, STAT3, and MDM2, which each address high impact targets within biologically-proven pathways, providing the opportunity to treat a broad range of immuno-inflammatory diseases, hematologic malignancies, and/or solid tumors. Our programs exemplify our focus on addressing high impact targets that have been elusive to conventional modalities and that drive the pathogenesis of multiple serious diseases with significant unmet medical needs. Our disclosed preclinical programs target STAT6 and TYK2, two proteins in well-validated pathways where we believe our degrader technology has the potential to offer unique advantages as compared to competing therapies. Both programs are currently in IND-enabling studies.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With respect to our IRAK4 program, we are collaborating with Sanofi S.A, or Sanofi, on the development of drug candidates targeting IRAK4 outside the oncology and immuno-oncology fields. We are developing KT-474, a highly active and selective, orally bioavailable IRAK4 degrader, for the treatment of interleukin-1 receptor/toll-like receptor or IL-1R/TLR-driven immunology-inflammation conditions and diseases with high unmet medical need, including hidradenitis suppurativa, or HS, an inflammatory skin disease, as well as atopic dermatitis, or AD, and potentially other indications. We have completed our Phase 1 trial of KT-474, which included cohorts of healthy volunteers, as well as patients with HS and AD. Phase 2 clinical trials of KT-474, conducted by Sanofi, are initially investigating its potential in HS and AD. The clinical trials for both indications have been initiated, and patient dosing is ongoing.</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With respect to our clinical oncology programs, we are evaluating KT-333, a STAT3 degrader, in a Phase 1 clinical trial. The study is evaluating the safety, tolerability, pharmacokinetics (PK)/pharmacodynamics (PD), and clinical activity of KT-333 dosed weekly in adult patients with relapsed and/or refractory lymphomas, leukemias and solid tumors. Patient enrollment and dosing are ongoing in the Phase 1a portion of the trial, and we expect to present additional clinical data in 2024. In September 2023, we announced that the FDA, granted KT-333 Fast Track Designation for the treatment of relapsed/refractory peripheral T cell lymphoma, an indication for which we have previously received Orphan Drug Designation.</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Phase 1 clinical trial of KT-253, a MDM2 degrader is evaluating the safety, tolerability, PK/PD, and clinical activity of ascending doses of KT-253 in adult patients with relapsed or refractory high grade myeloid malignancies, acute lymphocytic leukemia, or ALL, lymphomas, and solid tumors. Patient enrollment and dosing are ongoing in the Phase 1a portion of the trial, and we expect to present additional clinical data in 2024. In November, 2023 we provided initial safety, proof-of-mechanism and proof-of-concept data . In June 2023, KT-253 was granted orphan drug designation by the FDA for the treatment of acute myeloid leukemia.</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$1.45 billion from sales of our convertible preferred stock, the sale of common stock including our August 2020 initial public offering, or IPO, and concurrent private placement, our July 2021 follow-on offering and concurrent private placement, our August 2022 private investment in public equity offering, or PIPE, our January 2024 follow-on offering, our sales agreement with Cowen and Company, LLC., and through our corporate collaborations.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$147.0 million and $154.8 million for the years ended December 31, 2023 and 2022, respectively. We reported net losses of $48.6 million and $40.9 million for the three months ended March 31, 2024 and 2023, respectively. In addition, as of March 31, 2024 and December 31, 2023 we had an accumulated deficit of $579.3 million and $530.8 million, respectively. We expect that our expense and capital requirements will increase substantially in connection with our ongoing activities, particularly if and as we:</w:t>
      </w:r>
    </w:p>
    <w:p>
      <w:pPr>
        <w:spacing w:after="0" w:line="7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Pegasus™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3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we had cash, cash equivalents and marketable securities of $744.9 million. We believe the existing cash, cash equivalents and marketable securities on hand will be sufficient to fund our operations into the first half of 2027, which is expected to take us beyond the Phase 2 data for KT-474, as well as additional proof-of-concept data for KT-253 and KT-333, and several clinical inflection points for our STAT6 and TYK2 programs. We have based this estimate on assumptions that may prove to be wrong, and we could exhaust our available capital resources sooner than we expect. See “— Liquidity and capital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Our only revenues have been derived from research collaboration arrangements with Vertex and Sanofi. We expect that our revenue for the next several years will be derived primarily from our current collaboration agreements and any additional collaborations that we may enter into in the future. To date, we have not received any royalties under any of the collaboration agreements.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Collaboration Agreement</w:t>
      </w:r>
    </w:p>
    <w:p>
      <w:pPr>
        <w:spacing w:after="0" w:line="121"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7"/>
          <w:szCs w:val="17"/>
          <w:color w:val="auto"/>
        </w:rPr>
        <w:t>On May 9, 2019, we entered into a collaboration agreement, or the Vertex Agreement, with Vertex, to advance small molecule protein degradation against up to six targets. Under the Vertex Agreement, Vertex was granted the exclusive option to license the rights to the product candidates developed through the collaboration at which point Vertex would control development and commercialization. Pursuant to the Vertex Agreement, we were responsible for discovery and preclinical research on the targets, and Vertex was responsible for development, manufacturing, and commercialization of the product candidates after it exercises its option to license. Vertex provided us with a non-refundable upfront payment of $50.0 million and purchased 3,059,695 shares of our Series B-1 Convertible Preferred Stock at $6.54 a share, pursuant to a separate, but simultaneously executed Share Purchase Agreement.</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Vertex Agreement expired upon the completion of the initial research term on May 9, 2023.</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made an upfront payment of $150.0 million. In addition to the upfront payment, we are eligible to receive certain development milestone payments of up to $1.48 billion in the aggregate, of which more than $1.0 billion relates to the IRAK4 program, upon the achievement of certain developmental or regulatory events. We will be eligible to receive certain commercial milestone payments up to $700.0 million in the aggregate, of which $400.0 million relates to the IRAK4 program, which are payable upon the achievement of certain net sales thresholds. We will be eligible to receive tiered royalties for each program on net sales ranging from the high single digits to high teens, subject to low-single digits upward adjustments in certain circumstances. As of March 31, 2024, we have achieved $55.0 million of milestones to date under the Sanofi Agreement related to certain IRAK4 clinical milestones.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for which the Company received milestone payments as further set forth in the Amended Sanofi Agreement. Phase 2 clinical trials of KT-474 are initially investigating its potential in HS and AD with the clinical trial for both indications having been initiated and commenced dosing in 2023.</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organizations that support our platform program development;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or CMOs, that are primarily engaged to provide drug substance and product for our preclinical research and development programs, nonclinical studies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and nonclinical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5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the COVID-19 pandemic or similar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 and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and expense consists of interest earned on our invested cash balances and interest expense related to our financing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three months ended March 31, 2024 and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42,227</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68,118</w:t>
            </w: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54,792</w:t>
            </w: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(57,831 )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(45,326 )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(12,505 )</w:t>
            </w:r>
          </w:p>
        </w:tc>
        <w:tc>
          <w:tcPr>
            <w:tcW w:w="0" w:type="dxa"/>
            <w:vAlign w:val="bottom"/>
          </w:tcPr>
          <w:p>
            <w:pPr>
              <w:spacing w:after="0"/>
              <w:rPr>
                <w:sz w:val="1"/>
                <w:szCs w:val="1"/>
                <w:color w:val="auto"/>
              </w:rPr>
            </w:pPr>
          </w:p>
        </w:tc>
      </w:tr>
      <w:tr>
        <w:trPr>
          <w:trHeight w:val="26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(48,557</w:t>
            </w:r>
          </w:p>
        </w:tc>
        <w:tc>
          <w:tcPr>
            <w:tcW w:w="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FF0FC"/>
            </w:tcBorders>
            <w:shd w:val="clear" w:color="auto" w:fill="CFF0FC"/>
          </w:tcPr>
          <w:p>
            <w:pPr>
              <w:spacing w:after="0"/>
              <w:rPr>
                <w:sz w:val="21"/>
                <w:szCs w:val="21"/>
                <w:color w:val="auto"/>
              </w:rPr>
            </w:pPr>
          </w:p>
        </w:tc>
        <w:tc>
          <w:tcPr>
            <w:tcW w:w="280" w:type="dxa"/>
            <w:vAlign w:val="bottom"/>
            <w:tcBorders>
              <w:top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(40,928 )</w:t>
            </w:r>
          </w:p>
        </w:tc>
        <w:tc>
          <w:tcPr>
            <w:tcW w:w="1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(7,629 )</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-668020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-668020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-668020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revenues were $10.3 million for the three months ended March 31, 2024, the entirety of which is attributable to our collaboration agreement with Sanofi. Collaboration revenues were $9.5 million for the three months ended March 31, 2023, of which $7.7 million and $1.8 million were attributable to our collaboration agreements with Sanofi and Vertex,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IRAK4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(758 )</w:t>
            </w: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STAT3</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MDM2</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STAT6</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28,123</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48,819</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$48.8 million for the three months ended March 31, 2024, compared to $42.2 million for the three months ended March 31, 2023. The increase of $6.6 million was primarily due to a $5.5 million increase in personnel, stock-based compensation, and occupancy related costs due to increases in employee headcount in the research and development functions and a $2.6 million increase in costs related to our STAT6 and discovery programs. These increases were partially offset by a $1.5 million reduction in activities related to our IRAK4, STAT3 and MDM2 programs.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$14.4 million for the three months ended March 31, 2024, compared to $12.6 million for the three months ended March 31, 2023. This increase was primarily due to an increase in legal and professional service fees, personnel, facility, occupancy, and other expenses to support our growth. Stock based compensation expenses included in general and administrative expenses were $5.8 million and $4.7 million for the three months ended March 31, 2024 and March 31, 2023, respectively.</w:t>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Impairment on long-lived assets was $4.9 million for the three months ended March 31, 2024, compared to $0 for three months ended March 31, 2023. The increase of $4.9 million was as a result of the occupancy of the 2021 Lease facility in February of 2024 and the corresponding exit of the 2019 Lease facility, resulting in an impairment charge of $4.9 million in the three months ended March 31, 2024.</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$9.3 million for the three months ended March 31, 2024, compared to $4.4 million for the three months ended March 31, 2023. The $4.9 million increase was primarily due to the increase in our investments balance as a result of the 2024 financing activities as well as prevailing interest rates in the respective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received gross proceeds of $1.45 billion from sales of our convertible preferred stock, the sale of common stock including our August 2020 IPO and concurrent private placement, our July 2021 follow-on offering and concurrent private placement, our August 2022 PIPE offering, January 2024 follow-on offering, our sales agreement with Cowen and Company, LLC., and through our corporate collaborations. As of March 31, 2024 we had cash and cash equivalents and marketable securities of $744.9 million.</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2021, we entered into a sales agreement, or Sales Agreement, with Cowen and Company, LLC, or Cowen, pursuant to which we may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As of March 31, 2024 we have sold 1,519,453 shares of common stock under the Sales agreement resulting in gross proceeds of approximately $50 million.</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59"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(39,591 )</w:t>
            </w:r>
          </w:p>
        </w:tc>
        <w:tc>
          <w:tcPr>
            <w:tcW w:w="380" w:type="dxa"/>
            <w:vAlign w:val="bottom"/>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(43,968 )</w:t>
            </w:r>
          </w:p>
        </w:tc>
        <w:tc>
          <w:tcPr>
            <w:tcW w:w="20" w:type="dxa"/>
            <w:vAlign w:val="bottom"/>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280" w:type="dxa"/>
            <w:vAlign w:val="bottom"/>
          </w:tcPr>
          <w:p>
            <w:pPr>
              <w:spacing w:after="0"/>
              <w:rPr>
                <w:sz w:val="20"/>
                <w:szCs w:val="20"/>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(330,607 )</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353,756</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(16,442 )</w:t>
            </w:r>
          </w:p>
        </w:tc>
        <w:tc>
          <w:tcPr>
            <w:tcW w:w="3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(18,225 )</w:t>
            </w:r>
          </w:p>
        </w:tc>
        <w:tc>
          <w:tcPr>
            <w:tcW w:w="2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43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Operating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cash used in operating activities was $39.6 million, primarily resulting from our net loss of $48.6 million during the period and the $8.3 million change in deferred revenue related to our collaboration agreements. These were offset by a $2.0 million net decrease in other operating assets and liabilities primarily driven by changes in accounts receivable, accounts payable, accrued expenses and operating lease liabilities. and adjustments for non-cash items of $15.3 million (primarily consisting of stock-based compensation, lease impairment charge, depreciation &amp; amortization and premiums &amp; discounts on available-sale-securities).</w:t>
      </w:r>
    </w:p>
    <w:p>
      <w:pPr>
        <w:spacing w:after="0" w:line="29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cash used in operating activities was $44.0 million, primarily resulting from our net loss of $40.9 million during the period, the $6.1 million change in deferred revenue under our collaboration agreements, and a $5.9 million net decrease in other operating assets and liabilities primarily driven by changes in accounts receivable, accounts payable, accrued expenses and operating lease liabilities. These were offset by adjustments for non-cash items of $8.9 million (primarily consisting of stock-based compensation, depreciation &amp; amortization and premiums &amp; discounts on available-sale-securities).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cash used in investing activities was $330.6 million comprised of purchases of marketable securities of $422.7 million and purchases of property and equipment of $7.4 million, partially offset by maturities of marketable securities of $99.5 million</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cash provided by investing activities was $24.6 million comprised of maturities of marketable securities of $90.4 million, partially offset by purchases of marketable securities of $61.8 million and purchases of property and equipment of $4.0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Financing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financing activities was $353.8 million, consisting of $301.4 million in proceeds from issuance of common stock and accompanying pre-funded warrants, net of offering costs, $48.7 million in proceeds from the issuance of common stock through an at-the-market sales agreement, net of issuance costs, $3.9 million in proceeds from the exercise of employee stock options, partially offset by finance lease payments of $0.3 million.</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net cash provided by financing activities was $1.2 million, consisting of $1.5 in proceeds from the exercise of employee stock options, partially offset by finance lease payments of $0.3 million.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2"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maintaining or acquiring operating space;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approved product candidates, including product pricing, as well as product coverage and the adequacy of reimbursement by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the existing cash, cash equivalents and marketable securities of $744.9 million as of March 31, 2024, will enable us to fund our operating expenses and capital expenditure requirements into the first half of 2027. We have based this estimate on assumptions that may prove to be wrong, and we could exhaust our available capital resources sooner than we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2" w:name="page33"/>
    <w:bookmarkEnd w:id="32"/>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and commitments described under “Management’s Discussion and Analysis of Financial Condition and Results of Operations” in our Annual Report on Form 10-K for the fiscal year ended December 31, 2023.</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three months ended March 31, 2024, there were no material changes to our critical accounting policies from those described in our Annual Report Form 10-K filed with the SEC on February 22, 2024.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March 31, 2024, we had no significant liabilities denominated in foreign currencies.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March 31, 2024,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activities,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limited operating history and have not generated any revenue to date from drug sales, and may never become profitable.</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Phase 1 clinical trials of our product candidates. We have never generated any revenue from drug sales. We have not obtained regulatory approvals for any of our current product candidates. Typically, it takes many years to develop one new pharmaceutical drug from the time it is discovered to when it is available for treating patients. Consequently,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the pandemics or developments relating to macroeconomic conditions. We will need to transition from a company with a research and development focus to a company capable of supporting late-stage development and commercial activities. We may not be successful in such a transition.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focused substantially all of our efforts and financial resources on developing our proprietary targeted protein degradation drug discovery platform, or the PegasusTM platform, and initial product candidates as well as supporting our collaborations and partnerships. To date, we have financed our operations primarily through the issuance and sale of our convertible preferred stock to outside investors and collaborators in private equity financings, upfront payments under our collaborations and our initial public offering (IPO), follow-on offerings, PIPE offering and at-the market sales program. From our inception through March 31, 2024, we raised an aggregate of approximately $1.45 billion of gross proceeds from such transactions and through our collaborations. As of March 31, 2024, our cash and cash equivalents and investments were $744.9 million. We have incurred net losses in each year since our inception, and we had an accumulated deficit of $579.3 million as of March 31, 2024. For the years ended December 31, 2023, 2022 and 2021, we reported net losses of $147.0 million, $154.8 million, $100.2 million, respectively. We reported net losses of $48.6 million and $40.9 million for the three months ended March 31, 2024 and 2023,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Our prior losses, combined with expected future losses, have had and will continue to have an adverse effect on our stockholders’ deficit and working capital. We expect our expenses to significantly increase in connection with our ongoing activities, as we:</w:t>
      </w:r>
    </w:p>
    <w:p>
      <w:pPr>
        <w:spacing w:after="0" w:line="79" w:lineRule="exact"/>
        <w:rPr>
          <w:sz w:val="20"/>
          <w:szCs w:val="20"/>
          <w:color w:val="auto"/>
        </w:rPr>
      </w:pPr>
    </w:p>
    <w:p>
      <w:pPr>
        <w:ind w:left="5540" w:right="3200" w:hanging="5023"/>
        <w:spacing w:after="0" w:line="532" w:lineRule="auto"/>
        <w:tabs>
          <w:tab w:leader="none" w:pos="10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5" w:name="page36"/>
    <w:bookmarkEnd w:id="35"/>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FDA, for future product candidates</w:t>
      </w:r>
      <w:r>
        <w:rPr>
          <w:rFonts w:ascii="Times New Roman" w:cs="Times New Roman" w:eastAsia="Times New Roman" w:hAnsi="Times New Roman"/>
          <w:sz w:val="21"/>
          <w:szCs w:val="21"/>
          <w:color w:val="auto"/>
        </w:rPr>
        <w:t>;</w:t>
      </w:r>
    </w:p>
    <w:p>
      <w:pPr>
        <w:spacing w:after="0" w:line="11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2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Future Financial Condition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are engaged in clinical development activities on various programs and are also currently advancing multiple development candidates through preclinical development across a number of potential indications.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2024, we had approximately $744.9 million of cash and cash equivalents and investments. In August 2020, we completed an IPO of our common stock by issuing 9,987,520 shares of our common stock, including the exercise in full by the underwriters of their option to purchase up to 1,302,720 additional shares of common stock, at a public offering price of $20.00 per share. The aggregate gross proceeds to us from the offering, before deducting underwriting discounts and commissions, and other estimated offering expenses payable by us, were approximately $199.8 million. Concurrent with the IPO, we announced the sale of 676,354 common shares at the public offering price per share in a private placement to Vertex. The aggregate gross proceeds to us from the concurrent private placement were approximately $13.5 million. The concurrent private placement also closed in August 2020. In July 2021, we completed a follow-on offering of our common stock and an additional private placement transaction with Vertex resulting, in the aggregate, in net proceeds of approximately, $243.1 million. In August 2022, we completed a PIPE offering of our common stock and pre-funded warrants resulting in gross proceeds of $150.0 million. In January 2024, we completed a follow-on offering of our common stock and pre-funded warrants resulting in gross proceeds of $316.2 million before deducting underwriting discounts and commissions and estimated offering expenses. In February 2024, we received $50 million before deduction sales commissions from sales of common stock under our sales agreement with Cowen and Company, LLC. We expect that the approximately $744.9 million of cash and cash equivalents and investments at March 31, 2024, will be sufficient to fund our operations into the first half of 2027. We have based this estimate on assumptions that may prove to be wrong, and we could use our capital resources sooner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54"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existing or additional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current or future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current or future product candidates.</w:t>
      </w:r>
    </w:p>
    <w:p>
      <w:pPr>
        <w:spacing w:after="0" w:line="3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that we did not incur as a private company. We are subject to the reporting requirements of the Securities Exchange Act of 1934, as amended, or the Exchange Act, which require, among other things, that we file with the Securities and Exchange Commission, or the SEC, annual, quarterly and current reports with respect to our business and financial condition. In addition, the Sarbanes-Oxley Act of 2002, as amended, or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We were required to implement these requirements beginning in 2022 and incurred unexpected expenses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connection with such implementation.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that date, SVB has announced they have been acquired by First Citizens Bank and have resumed mostly normal operations. Similarly, on March 12, 2023, Signature Bank and Silvergate Capital Corp. were each swept into receivership. Since then, additional financial institutions have experienced similar failures and have been placed into receivership.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500"/>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Preclinical and Clinical Development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IRAK4, STAT3 and MDM2 programs are in early clinical development. If we are unable to advance them through the clinic for safety or effective reasons or commercialize our product candidates or experience significant delays in doing so, our business will be materially harmed.</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7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ongoing or planned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timing of IND clearances of future product candidates, and/or clinical trial costs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completion of all safety studies required to obtain U.S. and foreign marketing approval for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Pegasus platform is novel and unproven, which makes it difficult to predict the time, cost of development and likelihood of successfully developing any products.</w:t>
      </w:r>
    </w:p>
    <w:p>
      <w:pPr>
        <w:spacing w:after="0" w:line="16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utilizes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99"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any similar or competitive platforms, will result in the development and marketing approval of any products. Any development problems we experience in the future related to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2"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 key element of our strategy is to apply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We are currently focused on our immunology portfolio, consisting of IRAK4, STAT6 and TYK2 programs, which target key signaling pathways implicated in multiple inflammatory and autoimmune diseases, as well as our oncology portfolio, consisting of our STAT3 and MDM2 programs, which target numerous cancers. In some instances, we may decide to discontinue our investment in programs. For example, in November 2023, we announced the decision to discontinue the development of our KT-413 (IRAKIMID) program in order to focus resources to support our growing immunology pipeline. As a result, we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This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 For example, in December 2020, we submitted an IND application for KT-474 to initiate a first-in-human Phase 1 randomized, double-blind, placebo-controlled clinical trial in healthy volunteers and patients with HS or AD. The program was initially placed on partial clinical hold regarding the multiple ascending dose, or MAD, portion of the Phase 1 trial, pending FDA review of the interim data in healthy volunteers from the SAD portion of the trial. In June 2021, the FDA lifted the partial clinical hold on the MAD portion of the Phase 1 trial of KT-474 following review of interim SAD results, and the Phase 1 trial has since been completed.</w:t>
      </w:r>
    </w:p>
    <w:p>
      <w:pPr>
        <w:spacing w:after="0" w:line="1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following scientific evaluation by the EMA,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75"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the number, design, size, conduct or implementation of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require that we conduct additional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approve the formulation, labeling or specifications of any of our current or future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accept data generated at our preclinical studies and clinical trial sites;</w:t>
      </w:r>
    </w:p>
    <w:p>
      <w:pPr>
        <w:spacing w:after="0" w:line="15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be delayed in its review processes due to staffing or other constraints;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may be delays in trial initiation,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 for the indications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subjects, principal investigators or staff or clinical site availability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December 2023, we announced positive interim results from our Phase 1 trial of KT-333 and in November 2023, we announced positive interim results from our Phase 1a trial of KT-253. However, there can be no assurance that the final topline data from either trial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of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Positive results from our preclinical studies of our current or future product candidates, and any positive results we may obtain from our early clinical trials of our current or future product candidates, including the ongoing clinical trials of KT-474, KT-333 and KT-253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and/or clinical trials of our current or future product candidates, including KT-474, KT-621, KT-294, KT-333 and KT-253, may not be replicated in subsequent preclinical studies or clinical trials. In particular, while we have conducted certain preclinical studies of KT-621 and KT-294, we do not know whether either of these product candidates will perform in our planned clinical trials as it has performed in these prior preclinical studies. For example, in preclinical studies, (i) KT-621 demonstrated full inhibition of IL-4/IL-13 pathway in all relevant human cell contexts with picomolar potency that was superior to dupilumab, and equivalent or superior activity to dupilumab, and (ii) KT-294 demonstrated picomolar to nanomolar potencies across all relevant human cell types evaluated.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our planned or future clinical trials may utilize an “open-label” trial design, such as the open-label patient portion of our Phase 1 clinical trials of KT-474, KT-333 and KT-253.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including our Phase 1 trials of KT-474, KT-333 and KT-253, may not be predictive of future clinical trial results with any of our product candidates for which we include an open-label clinical trial when studied in a controlled environment with a placebo or active control.</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KT-474 for the treatment of a broad set of immunology-inflammation diseases, such as HS, an inflammatory skin disease, AD, and rheumatoid arthritis.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For example, in December 2019, a novel strain of a virus named SARS-CoV-2 (severe acute respiratory syndrome coronavirus 2), or coronavirus, which causes COVID-19, surfaced in Wuhan, China and has since spread worldwide, including to Eastern Massachusetts where our primary office and laboratory space is located. The pandemic and policies and regulations implemented by governments in response to the pandemic, most of which have been lifted, have had a significant impact, both direct and indirect, on businesses and commerce. The coronavirus pandemic has evolved considerably, and led to the implementation of various responses, including government-imposed quarantines, travel restrictions and other public health safety measures which now have been lifted. The extent to which any future pandemic impacts our operations or those of our third-party partners, including our preclinical studies or clinical trial operations, will also depend on future developments, which are highly uncertain and cannot be predicted with confidence, including the duration of the outbreak, new information that will emerge concerning the severity of disease and the actions to contain the disease or treat its impact, among others. For example, similar to other biopharmaceutical companies, we may experience delays in enrolling subjects in our clinical trials. Infectious diseases may also affect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9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affect on the operations of our third-party manufacturers and the supply chain for our product candidates. For example, in February 2020, one of our vendors for active pharmaceutical ingredient, or API, starting materials based in Wuhan, China ceased its operations for several weeks due to the COVID-19 pandemic, which caused a minor delay in the delivery of API starting materials to a separate vendor who manufactures API;</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Legislative proposals are pending that, if enacted, could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This includes proposed legislation currently pending in the U.S. Senate, following a vote by the Senate Homeland Security and Government Affairs Committee in March of this year.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18"/>
          <w:szCs w:val="18"/>
          <w:color w:val="auto"/>
        </w:rPr>
        <w:t>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current or future product candidates could be delayed in receiving, or fail to receive, regulatory approval for many reasons, including the following</w:t>
      </w:r>
      <w:r>
        <w:rPr>
          <w:rFonts w:ascii="Times New Roman" w:cs="Times New Roman" w:eastAsia="Times New Roman" w:hAnsi="Times New Roman"/>
          <w:sz w:val="21"/>
          <w:szCs w:val="21"/>
          <w:color w:val="auto"/>
        </w:rPr>
        <w:t>:</w:t>
      </w:r>
    </w:p>
    <w:p>
      <w:pPr>
        <w:spacing w:after="0" w:line="6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Fast Track Designation for one or more of our current or future product candidates. In the third quarter of 2023, the U.S. Food and Drug Administration granted Fast Track designation to KT-333 for the treatment of both relapsed/refractory CTCL and relapsed/refractory PTCL.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 current or future product candidates,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of KT-474, KT-621, KT-294, KT-333, KT-253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accelerated approval of KT-474, KT-621, KT-294, KT-333, KT-253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orphan drug designation for some of our product candidates. We may also seek Orphan Drug Designation for certain of our other current or future product candidates, and we may be unsuccessful or may be unable to maintain the benefits associated with Orphan Drug Designation, including the potential for market exclusivity.</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granted Orphan Drug Designation for KT-333 for the treatment of peripheral T cell lymphoma and cutaneous T cell lymphoma and for KT-253 for the treatment of acute myeloid leukemia. As part of our business strategy, we may also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may grant orphan designation with respect products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product would be of significant benefit to those affected by the applicable condition). Additionally, designation may be granted for products intended for the diagnosis, prevention, or treatment of a life-threatening, seriously debilitating or serious and chronic condition when, without incentives, it is unlikely that sales of the product in the European Union would be sufficient to justify the necessary investment in developing the product. In the European Union, orphan designation entitles a party to financial incentives such as reduction of fees or fee waivers.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U.S. and ten years in the European Union. The exclusivity period in the European Union can be reduced to six years if at the end of the fifth year, it is established that a product no longer meets the criteria for Orphan Designation, including where it is shown that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the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Foreign Regulatory Approval and Foreign Markets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79" w:lineRule="exact"/>
        <w:rPr>
          <w:sz w:val="20"/>
          <w:szCs w:val="20"/>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that obtaining regulatory approvals outside of the U.S. may take longer and be more costly than obtaining approval in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current or future product candidates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Foreign sales of our current or future product candidates could also be adversely affected by the imposition of governmental controls, political and economic instability, trade restrictions and changes in tariffs.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in the future choose to conduct one or more clinical trials outside the U.S., including in Europe.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w:t>
      </w:r>
    </w:p>
    <w:p>
      <w:pPr>
        <w:spacing w:after="0" w:line="3" w:lineRule="exact"/>
        <w:rPr>
          <w:sz w:val="20"/>
          <w:szCs w:val="20"/>
          <w:color w:val="auto"/>
        </w:rPr>
      </w:pPr>
    </w:p>
    <w:p>
      <w:pPr>
        <w:jc w:val="both"/>
        <w:ind w:firstLine="8"/>
        <w:spacing w:after="0" w:line="251" w:lineRule="auto"/>
        <w:tabs>
          <w:tab w:leader="none" w:pos="2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 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auto"/>
        </w:rPr>
        <w:t>Risks Related to Compliance with Healthcare and Other Regulations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In the U.S. and in other countries, sales of any products for which we may receive regulatory marketing approval for commercial sale will depend, in part, on the availability of coverage and reimbursement from third-party payors. Third-party payors include government healthcare programs (e.g., Medicare and Medicaid), managed care providers, private health insurers, health maintenance organizations and other organizations. These third-party payors decide which medications they will pay for and establish reimbursement levels. The availability of coverage and extent of reimbursement by governmental and other third-party payors is essential for most patients to be able to afford treatments such as targeted protein degradation therapies.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Private payors tend to follow CMS to a substantial degree. Factors payors consider in determining reimbursement are based on whether the product is:</w:t>
      </w:r>
    </w:p>
    <w:p>
      <w:pPr>
        <w:spacing w:after="0" w:line="7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commercialize any current or future product candidates successfully also will depend in part on the extent to which coverage and reimbursement for these current or future product candidates and related treatments will be available from government authorities, private health insurers and other organizations. Moreover, a payor’s decision to provide coverage for a product does not imply that an adequate reimbursement rate will be approved. We cannot be sure that coverage will be available for any product candidate that we commercialize. If coverage is available, but reimbursement is available only to limited levels, we may not be able to successfully commercialize any product candidate for which we obtain marketing approval.</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 Also, third-party payors may refuse to include a particular branded product on their formularies or otherwise restrict patient access to a branded drug when a less costly generic equivalent or other alternative is available.</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or ASP, and best price. Penalties may apply in some cases when such metrics are not submitted accurately and timely. Further, these prices for drugs may be reduced by mandatory discounts or rebates required by government healthcare programs.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Despite our best efforts, our product candidates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legislative reform measures may have a material adverse effect on our business and results of operations.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March 2010, the Patient Protection and Affordable Care Act, as amended by the Health Care and Education Reconciliation Act, or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expands the types of entities eligible for the 340B drug discount program, addresses a new methodology by which rebates owed by manufacturers under the Medicaid Drug Rebate Program are calculated for drugs that are inhaled, infused, instilled, implanted or injected, increases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judicial, administrative, executive and Congressional legislative challenges to certain aspects of the ACA, and we expect there will be additional challenges and amendments to the ACA in the future. On June 17, 2021, the U.S. Supreme Court dismissed the most recent judicial challenge to the ACA brought by several states without specifically ruling on the constitutionality of the ACA. In addition, President Biden has issued multiple executive orders that have sought to address the issue of prescription drug costs. It is unclear how other healthcare reform measures of the Biden administration or other efforts, if any, to challenge, repeal or replace the ACA will impact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left="520"/>
        <w:spacing w:after="0"/>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among other things, created measures for spending reductions by Congress that included, along with subsequent legislation, aggregate reductions of Medicare payments to providers of up to 2% per fiscal year will remain in effect through 2032 unless additional Congressional action is taken.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Taxpayer Relief Act of 2012 among other things, further reduced Medicare payments to several providers, including hospitals, imaging centers and cancer treatment centers, and increased the statute of limitations period for the government to recover overpayments to providers from three to five years. The BBA also amended the ACA, effective January 1, 2019, by increasing the point-of-sale discount that is owed by pharmaceutical manufacturers who participate in Medicare Part D and closing the coverage gap in most Medicare drug plans, commonly referred to as the “donut hole.”</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Rescue Plan Act of 2021 eliminates the statutory Medicaid drug rebate cap, currently set at 100% of a drug’s average manufacturer price, for single source and innovator multiple source drugs, effective January 1, 2024.</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annual out-of-pocket spending cap for Medicare Part D beneficiaries from $7,050 to $2,000 starting in 2025, thereby effectively eliminating the coverage gap; impose new manufacturer financial liability on many drugs reimbursed under Medicare Part D; allow the U.S. government to negotiate Medicare Part B and Part D pricing for certain high-cost drugs and biologics without generic or biosimilar competition; and require companies to pay rebates to Medicare for drug prices that increase faster than inflation.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Medicare drug price negotiation program. The effects of the IRA on our business and the healthcare industry in general is not yet known.</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marketed products. Such scrutiny has resulted in several recent U.S. Congressional inquiries and has further resulted in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7" w:lineRule="exact"/>
        <w:rPr>
          <w:sz w:val="20"/>
          <w:szCs w:val="20"/>
          <w:color w:val="auto"/>
        </w:rPr>
      </w:pPr>
    </w:p>
    <w:p>
      <w:pPr>
        <w:jc w:val="both"/>
        <w:ind w:firstLine="559"/>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the IRA further delayed implementation of this rule to January 1, 2032.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restrictions could harm our business, financial condition, results of operations and prospects.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which could negatively affect our business, financial condition, results of operations and prospects.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See the section of this report titled “Government Regulation -other Regulatory Matters – Other Healthcare Laws” for additional information.</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 result in substantial fines and imprisonment. Payments made to physicians in certain EU Member States must be publicly disclosed.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8" w:lineRule="exact"/>
        <w:rPr>
          <w:sz w:val="20"/>
          <w:szCs w:val="20"/>
          <w:color w:val="auto"/>
        </w:rPr>
      </w:pPr>
    </w:p>
    <w:p>
      <w:pPr>
        <w:jc w:val="both"/>
        <w:ind w:left="1020" w:right="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patent protection and establish collaborative arrangements for research, development, manufacturing and commercialization of new drugs.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Competitors in our efforts to develop small molecule protein degraders therapies for patients, include, but are not limited to, Arvinas, Inc., C4 Therapeutics, Inc., Foghorn Therapeutics Inc. and Nurix Therapeutics, Inc., some of which have entered clinical development. Further, several large pharmaceutical companies have disclosed preclinical and clinical investments in this field.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TYK2, STAT3 and MDM2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59" w:lineRule="exact"/>
        <w:rPr>
          <w:sz w:val="20"/>
          <w:szCs w:val="20"/>
          <w:color w:val="auto"/>
        </w:rPr>
      </w:pPr>
    </w:p>
    <w:p>
      <w:pPr>
        <w:jc w:val="both"/>
        <w:ind w:firstLine="563"/>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manufacturing organizations and strategic partners to help conduct our preclinical studies. We do not have the ability to independently conduct clinical trials. We rely on medical institutions, clinical investigators, contract laboratories, and other third parties, including collaboration partners, to conduct or otherwise support clinical trials for our current product candidates, and we expect to rely on such third parties for our future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the Phase 1 trials of KT-474, KT-333 and KT-253,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Legislative proposals are pending that, if enacted, could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This includes proposed legislation currently pending in the U.S. Senate, following a vote by the Senate Homeland Security and Government Affairs Committee in March of this year.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 collaboration and licensing arrangement with Sanofi and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the company in a timely manner.</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discussed elsewhere in our Annual Report on Form 10-K and this Quarterly Report on Form 10-Q, our collaboration partner, Sanofi, is conducting a randomized Phase 2 clinical trial evaluating KT-474 in HS and a second randomized Phase 2 trial in AD. Sanofi will have significant discretion in determining the efforts and resources that it will apply to advance those clinical trials. 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18"/>
          <w:szCs w:val="18"/>
          <w:color w:val="auto"/>
        </w:rPr>
        <w:t>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our initial IRAK4, STAT3 and MDM2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own patent applications and one patent related to our platform E3 ligase ligand technology and our novel bifunctional degrader compounds, including claims to compositions of matter, pharmaceutical compositions, methods of use, methods of treatment, and other related methods.</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our patent portfolio covering novel compounds, and the methods of making and using thereof, included 103 patent families. Patent term adjustments, supplementary protection certificate filings, or patent term extensions could result in later expiration dates in various countries, while terminal disclaimers could result in earlier expiration dates in the U.S.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9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in other countries.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69"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in all countries. Filing, prosecuting and defending patents on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other technologies in all countries throughout the world would be prohibitively expensive, and intellectual property rights in some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spacing w:after="0" w:line="252" w:lineRule="auto"/>
        <w:rPr>
          <w:sz w:val="20"/>
          <w:szCs w:val="20"/>
          <w:color w:val="auto"/>
        </w:rPr>
      </w:pPr>
      <w:r>
        <w:rPr>
          <w:rFonts w:ascii="Times New Roman" w:cs="Times New Roman" w:eastAsia="Times New Roman" w:hAnsi="Times New Roman"/>
          <w:sz w:val="18"/>
          <w:szCs w:val="18"/>
          <w:color w:val="auto"/>
        </w:rPr>
        <w:t>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current or future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Patent Protection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auto"/>
        </w:rPr>
        <w:t>Risks Related to our Trademarks, Trade Names and Trade Secrets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to building our product brand recognition.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during the trademark registration process, we may receive Office Actions from the USPTO or from comparable agencies in foreign jurisdictions refusing registration of our trademarks. For example, in April 2021 and October 2022, respectively, the USPTO issued preliminary office action refusals against our applications to register E3 LIGASE WHOLE BODY ATLAS and E3 HUMAN ATLAS and our K &amp; Design logo mark. While E3 LIGASE WHOLE BODY ATLAS and E3 HUMAN ATLAS have since been published and notices of allowance issued, we do not yet know whether the USPTO will issue a subsequent office action against our application for our logo mark, to which we will have to respond, and which we may not ultimately be able to overcome, or if this application will be approved for publication as well.</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Litigation and Infringement Claims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jc w:val="both"/>
        <w:spacing w:after="0" w:line="256" w:lineRule="auto"/>
        <w:rPr>
          <w:sz w:val="20"/>
          <w:szCs w:val="20"/>
          <w:color w:val="auto"/>
        </w:rPr>
      </w:pPr>
      <w:r>
        <w:rPr>
          <w:rFonts w:ascii="Times New Roman" w:cs="Times New Roman" w:eastAsia="Times New Roman" w:hAnsi="Times New Roman"/>
          <w:sz w:val="18"/>
          <w:szCs w:val="18"/>
          <w:color w:val="auto"/>
        </w:rPr>
        <w:t>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are rightfully owned by their former or concurrent employer. Litigation may be necessary to defend against these claims.</w:t>
      </w:r>
    </w:p>
    <w:p>
      <w:pPr>
        <w:spacing w:after="0" w:line="20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ind w:left="1020" w:hanging="503"/>
        <w:spacing w:after="0" w:line="24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or future product candidates, or from using our proprietary technologies, including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unless the third-party licenses its product rights to us, which it is not required to do on commercially reasonable terms or at all;</w:t>
      </w:r>
    </w:p>
    <w:p>
      <w:pPr>
        <w:spacing w:after="0" w:line="90"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may be impaired or delayed, which could in turn significantly harm our business. Even if we obtain a license, it may be nonexclusive, thereby giving our competitors access to the same technologies licensed to us.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reasonable terms, if at all. In that event, we would be unable to further develop and commercialize our current or future product candidates or technologies, which could harm our business significantly.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Employee Matters and Managing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Nello Mainolfi, Ph.D., our President and Chief Executive Officer, Jared Gollob, M.D., our Chief Medical Officer, Bruce Jacobs, our Chief Financial Officer, Ellen Chiniara, our Chief Legal Officer and Jeremy Chadwick, our Chief Operating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2024, we had 186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Data and Privacy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sublease our current space in Watertown, Massachusetts for occupancy now that we have moved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began occupying in February 2024. We intend to sublease our original space to third parties. In the event that we are unable to sublease our excess space on favorable terms, or at all, or if we are able to sublease our space but our subtenants fail to make lease payments to us or otherwise default on their obligations to us, we could incur unanticipated payment obligations or further impairment.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the lack of a fundamental change in their underlying business models or prospects. As a result of this volatility, you may lose all or part of your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influenced by many factors, including:</w:t>
      </w:r>
    </w:p>
    <w:p>
      <w:pPr>
        <w:spacing w:after="0" w:line="99"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current or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 or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collaboration agreements, including announcements regarding our collaboration agreement with Sanofi;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0" w:lineRule="exact"/>
        <w:rPr>
          <w:sz w:val="20"/>
          <w:szCs w:val="20"/>
          <w:color w:val="auto"/>
        </w:rPr>
      </w:pPr>
    </w:p>
    <w:p>
      <w:pPr>
        <w:spacing w:after="0" w:line="24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current or future product candidates.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2024, the existing holdings of our executive officers, directors, principal stockholders and their affiliates represent beneficial ownership, in the aggregate, of approximately 30%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2024, approximately 11,640,594 shares of our common stock were reserved for issuance upon exercise of pre-funded warrants. Additionally, 10,602,152 shares of our common stock were reserved for issuance upon exercise of outstanding stock options and vested restricted stock units. The exercise or conversion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 capital will be needed in the future to continue our planned operations. To the extent we issue additional equity securities to raise capital or pursuant to our equity incentive plans or other contractual obligations, our stockholders may experience substantial dilution. We may sell common stock, convertible securities or other equity securities in one or more transactions at prices and in a manner we determine from time to time. If we sell or issue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8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w:t>
      </w:r>
    </w:p>
    <w:p>
      <w:pPr>
        <w:spacing w:after="0" w:line="18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because we expect we will need to raise additional capital to fund our future activities, we may in the future sell substantial amounts of common stock or securities convertible into or exchangeable for common stock. Future issuances of common stock or common stock-related securities, together with the exercise of outstanding stock options or warrants, the vesting and settlement of outstanding restricted stock units, and new equity awards granted under our equity incentive plans, if any, may result in further dilution. Pursuant to the sales agreement, or Sales Agreement, with Cowen and Company, LLC, or Cowen, we may offer and sell up to an aggregate amount of $250.0 million of our common stock from time to time in “at-the-market” offerings, subject to the limitations thereof. As of March 31, 2023, approximately $50 million worth of common stock had been sold under the Sales Agreement. To the extent that we sell additional shares of our common stock in the future pursuant to the Sales Agreement, investors purchasing shares of our common stock could experience further dilution</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or settlement of restricted stock units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our common stock to, or through, Cowen may cause significant dilution and the sale of the shares of common stock acquired by Cowen, or the perception that such sales may occur, could cause the price of our common stock to fall.</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October 1, 2021, we entered into a Sales Agreement with Cowen, pursuant to which we may offer and sell our common stock, subject to certain limitations in the Sales Agreement and compliance with applicable law, at any time throughout the term of the Sales Agreement. The number of shares that are sold by Cowen after delivering a placement notice will fluctuate based on the market price of the common stock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 Sales to, or through, Cowen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 From October 1, 2021 through March 31, 2024, we have sold any 1,519,453 shares of common stock through the Cowen sales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For example, under Section 174 of the Code, in taxable years beginning after December 31, 2021, expenses that are incurred for research and development in the U.S. will be capitalized and amortized, which may have an adverse effect on our cash flow.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$160.5 million and $161.3 million, respectively, which begin to expire in various amounts in 2036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2023, we also had federal and state research and development tax credit carryforwards of $19.5 million and $8.1 million, respectively, which begin to expire in 2036.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 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Risks Related to Our Controls and Reporting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achieve compliance with Section 404,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Charter and Bylaws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0" w:name="page81"/>
    <w:bookmarkEnd w:id="80"/>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March 31, 2024, we did not have any sales of unregistered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Securities Exchange Act of 1934, as amended) or director who adopted a Rule 10b5-1 trading arrangement or non-Rule 10b5-1 trading arrangement (as such terms are defined in Item 408 of Regulation S-K) during the three months ended March 31, 2024:</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380" w:type="dxa"/>
            <w:vAlign w:val="bottom"/>
            <w:tcBorders>
              <w:top w:val="single" w:sz="8" w:color="auto"/>
              <w:left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 or End</w:t>
            </w:r>
          </w:p>
        </w:tc>
        <w:tc>
          <w:tcPr>
            <w:tcW w:w="220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218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Description of Trading</w:t>
            </w:r>
          </w:p>
        </w:tc>
      </w:tr>
      <w:tr>
        <w:trPr>
          <w:trHeight w:val="265"/>
        </w:trPr>
        <w:tc>
          <w:tcPr>
            <w:tcW w:w="2380" w:type="dxa"/>
            <w:vAlign w:val="bottom"/>
            <w:tcBorders>
              <w:left w:val="single" w:sz="8" w:color="auto"/>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Sold</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r>
      <w:tr>
        <w:trPr>
          <w:trHeight w:val="189"/>
        </w:trPr>
        <w:tc>
          <w:tcPr>
            <w:tcW w:w="238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Joanna Horobin</w:t>
            </w:r>
          </w:p>
        </w:tc>
        <w:tc>
          <w:tcPr>
            <w:tcW w:w="17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Trading plan intended</w:t>
            </w:r>
          </w:p>
        </w:tc>
        <w:tc>
          <w:tcPr>
            <w:tcW w:w="13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Adoption (March</w:t>
            </w:r>
          </w:p>
        </w:tc>
        <w:tc>
          <w:tcPr>
            <w:tcW w:w="14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July 1, 2025</w:t>
            </w:r>
          </w:p>
        </w:tc>
        <w:tc>
          <w:tcPr>
            <w:tcW w:w="22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34,000</w:t>
            </w:r>
          </w:p>
        </w:tc>
        <w:tc>
          <w:tcPr>
            <w:tcW w:w="2180" w:type="dxa"/>
            <w:vAlign w:val="bottom"/>
            <w:tcBorders>
              <w:right w:val="single" w:sz="8" w:color="auto"/>
            </w:tcBorders>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Exercises of vested stock</w:t>
            </w:r>
          </w:p>
        </w:tc>
      </w:tr>
      <w:tr>
        <w:trPr>
          <w:trHeight w:val="218"/>
        </w:trPr>
        <w:tc>
          <w:tcPr>
            <w:tcW w:w="2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satisfy the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8, 2024)</w:t>
            </w:r>
          </w:p>
        </w:tc>
        <w:tc>
          <w:tcPr>
            <w:tcW w:w="14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options and sales of shares of</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affirmative defense</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Company’s common</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conditions of Securities</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pursuant to the terms of</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Exchange Act Rule</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trading plan</w:t>
            </w:r>
          </w:p>
        </w:tc>
      </w:tr>
      <w:tr>
        <w:trPr>
          <w:trHeight w:val="234"/>
        </w:trPr>
        <w:tc>
          <w:tcPr>
            <w:tcW w:w="238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10b5- 1(c)</w:t>
            </w:r>
          </w:p>
        </w:tc>
        <w:tc>
          <w:tcPr>
            <w:tcW w:w="13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24"/>
        </w:trPr>
        <w:tc>
          <w:tcPr>
            <w:tcW w:w="238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2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disclosed above, no other officer or director adopted, modified or terminated a Rule 10b5-1 trading arrangement or non-Rule 10b5-1 trading arrangement (as such terms are defined in Item 408 of Regulation S-K) during the three months ended March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gridSpan w:val="8"/>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Amended and Restated Non-Employee Director Compensation Policy dated March 27, 2024.</w:t>
            </w:r>
          </w:p>
        </w:tc>
        <w:tc>
          <w:tcPr>
            <w:tcW w:w="3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120" w:hanging="109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w:t>
      </w:r>
    </w:p>
    <w:p>
      <w:pPr>
        <w:spacing w:after="0" w:line="211"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9030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0" w:lineRule="exact"/>
        <w:rPr>
          <w:sz w:val="20"/>
          <w:szCs w:val="20"/>
          <w:color w:val="auto"/>
        </w:rPr>
      </w:pPr>
    </w:p>
    <w:p>
      <w:pPr>
        <w:jc w:val="both"/>
        <w:ind w:firstLine="8"/>
        <w:spacing w:after="0" w:line="266" w:lineRule="auto"/>
        <w:tabs>
          <w:tab w:leader="none" w:pos="1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Kymera Therapeutics, Inc.</w:t>
      </w:r>
    </w:p>
    <w:p>
      <w:pPr>
        <w:spacing w:after="0" w:line="252" w:lineRule="exact"/>
        <w:rPr>
          <w:sz w:val="20"/>
          <w:szCs w:val="20"/>
          <w:color w:val="auto"/>
        </w:rPr>
      </w:pPr>
    </w:p>
    <w:p>
      <w:pPr>
        <w:ind w:left="20"/>
        <w:spacing w:after="0"/>
        <w:tabs>
          <w:tab w:leader="none" w:pos="5560" w:val="left"/>
          <w:tab w:leader="none" w:pos="772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47" w:lineRule="exact"/>
        <w:rPr>
          <w:sz w:val="20"/>
          <w:szCs w:val="20"/>
          <w:color w:val="auto"/>
        </w:rPr>
      </w:pPr>
    </w:p>
    <w:p>
      <w:pPr>
        <w:ind w:left="20"/>
        <w:spacing w:after="0"/>
        <w:tabs>
          <w:tab w:leader="none" w:pos="5560" w:val="left"/>
          <w:tab w:leader="none" w:pos="756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Bruce Jacobs, CFA, MBA</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purpose of this Non-Employee Director Compensation Policy (the “Policy”) of Kymera Therapeutics, Inc. (the “Company”) is to provide a total compensation package that enables the Company to attract and retain, on a long-term basis, high-caliber directors who are not employees or officers of the Company or its subsidiary (“Outside Directors”). In furtherance of the purpose stated above, all Outside Directors shall be paid compensation for services provided to the Company as set forth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Retainers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Annual Retainer for Board Membership</w:t>
      </w:r>
      <w:r>
        <w:rPr>
          <w:rFonts w:ascii="Times New Roman" w:cs="Times New Roman" w:eastAsia="Times New Roman" w:hAnsi="Times New Roman"/>
          <w:sz w:val="18"/>
          <w:szCs w:val="18"/>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Annual Retainer for Chairperson of the Board:</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$30,000</w:t>
            </w:r>
          </w:p>
        </w:tc>
      </w:tr>
      <w:tr>
        <w:trPr>
          <w:trHeight w:val="20"/>
        </w:trPr>
        <w:tc>
          <w:tcPr>
            <w:tcW w:w="41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25"/>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Annual Retainer for Lead Independent Director of the Board:</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$20,000</w:t>
            </w:r>
          </w:p>
        </w:tc>
      </w:tr>
      <w:tr>
        <w:trPr>
          <w:trHeight w:val="412"/>
        </w:trPr>
        <w:tc>
          <w:tcPr>
            <w:tcW w:w="5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Additional Annual Retainers for Committee Membership:</w:t>
            </w:r>
          </w:p>
        </w:tc>
        <w:tc>
          <w:tcPr>
            <w:tcW w:w="2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44"/>
        </w:trPr>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3520" w:type="dxa"/>
            <w:vAlign w:val="bottom"/>
            <w:gridSpan w:val="2"/>
          </w:tcPr>
          <w:p>
            <w:pPr>
              <w:spacing w:after="0"/>
              <w:rPr>
                <w:sz w:val="24"/>
                <w:szCs w:val="24"/>
                <w:color w:val="auto"/>
              </w:rPr>
            </w:pP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$20,000</w:t>
            </w:r>
          </w:p>
        </w:tc>
      </w:tr>
      <w:tr>
        <w:trPr>
          <w:trHeight w:val="32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$10,000</w:t>
            </w:r>
          </w:p>
        </w:tc>
      </w:tr>
      <w:tr>
        <w:trPr>
          <w:trHeight w:val="32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$15,000</w:t>
            </w:r>
          </w:p>
        </w:tc>
      </w:tr>
      <w:tr>
        <w:trPr>
          <w:trHeight w:val="32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$7,500</w:t>
            </w:r>
          </w:p>
        </w:tc>
      </w:tr>
      <w:tr>
        <w:trPr>
          <w:trHeight w:val="32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$10,000</w:t>
            </w:r>
          </w:p>
        </w:tc>
      </w:tr>
      <w:tr>
        <w:trPr>
          <w:trHeight w:val="32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Chair and committee member retainers are in addition to retainers for members of the Board of Directors. No additional compensation will be paid for attending individual committee meetings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Retainers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An initial, one-time stock option award (the “Initial Award”) to purchase 32,000 shares will be granted to each new Outside Director upon his or her election to the Board of Directors, which shall vest in 36 equal monthly installments over three years from the date of grant, provided, however, that all vesting shall cease if the director resigns from the Board of Directors or otherwise ceases to serve as a director of the Company. The Initial Award shall expire ten years from the date of grant, and shall have a per share exercise price equal to the Fair Market Value (as defined in the Company’s 2020 Stock Option and Incentive Plan) of the Company’s common stock on the date of grant.</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Annual Award</w:t>
      </w:r>
      <w:r>
        <w:rPr>
          <w:rFonts w:ascii="Times New Roman" w:cs="Times New Roman" w:eastAsia="Times New Roman" w:hAnsi="Times New Roman"/>
          <w:sz w:val="18"/>
          <w:szCs w:val="18"/>
          <w:color w:val="auto"/>
        </w:rPr>
        <w:t>: On each date of each Annual Meeting of Stockholders of the Company (the “Annual Meeting”), each continuing Outside Director, other than a director who has received an Initial Award in the same calendar year of the Annual Meeting for a particular year, will receive an annual stock option award (the “Annual Award”) to purchase 16,000 shares, which shall vest in full upon the earlier of (i) the first anniversary of the date of grant or (ii) the date of the next Annual Meeting; provided, however, that all vesting shall cease if the director resigns from the Board of Directors or otherwise ceases to serve as a director, unless the Board of Directors determines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36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circumstances warrant continuation of vesting. Such Annual Award shall expire ten years from the date of grant, and shall have a per share exercise price equal to the Fair Market Value (as defined in the Company’s 2020 Stock Option and Incentive Plan) of the Company’s common stock on the date of grant.</w:t>
      </w:r>
    </w:p>
    <w:p>
      <w:pPr>
        <w:spacing w:after="0" w:line="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For purposes of this Policy, “Value” means with respect to (i) any stock option award,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 and (ii) any award of restricted stock or restricted stock units the product of (A) the average closing market price on Nasdaq Global Market (or such other market on which the Company’s common stock is then principally listed) of one share of the Company’s common stock over the trailing 30-day period ending on the last day of the month immediately prior to the month of the grant date, and (B) the aggregate number of shares of common stock underlying such award.</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Sale Event Acceleration</w:t>
      </w:r>
      <w:r>
        <w:rPr>
          <w:rFonts w:ascii="Times New Roman" w:cs="Times New Roman" w:eastAsia="Times New Roman" w:hAnsi="Times New Roman"/>
          <w:sz w:val="18"/>
          <w:szCs w:val="18"/>
          <w:color w:val="auto"/>
        </w:rPr>
        <w:t>: All outstanding Initial Awards and Annual Awards held by an Outside Director shall become fully vested and exercisable upon a Sale Event (as defined in the Company’s 2020 Stock Option and Incentive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will reimburse all reasonable out-of-pocket expenses incurred by non-employee directors in attending meetings of the Board of Directors or any committee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Maximum Annual Compensation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by the Company to any Outside Director in a calendar year for services as an Outside Director period shall not exceed $750,000; provided, however, that such amount shall be $1,000,000 for the calendar year in which the applicable Outside Director is initially elected or appointed to the Board of Directors; (or such other limits as may be set forth in Section 3(b) of the Company’s 2020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August 11, 2020, subject to the effectiveness of the Company’s Registration Statement on Form S-1.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on January 17,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on March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72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56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CFO,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Bruce Jacobs, CFO, MBA</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580" w:val="left"/>
          <w:tab w:leader="none" w:pos="766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580" w:val="left"/>
          <w:tab w:leader="none" w:pos="750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Bruce Jacobs, CFA, MBA</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lowerRoman"/>
      <w:start w:val="2"/>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lvl w:ilvl="1">
      <w:lvlJc w:val="left"/>
      <w:lvlText w:val="%2"/>
      <w:numFmt w:val="decimal"/>
      <w:start w:val="104"/>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2024-05-02T06:33:18Z</dcterms:created>
  <dcterms:modified xsi:type="dcterms:W3CDTF">2024-05-02T06:33:18Z</dcterms:modified>
</cp:coreProperties>
</file>