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Adams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NORTH BEACON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Kymera Therapeutics, Inc.</w:t>
              </w:r>
            </w:hyperlink>
            <w:r>
              <w:rPr/>
              <w:t xml:space="preserve"> [ </w:t>
            </w:r>
            <w:r>
              <w:rPr>
                <w:rFonts w:ascii="Times;serif" w:hAnsi="Times;serif"/>
                <w:color w:val="0000FF"/>
                <w:sz w:val="24"/>
                <w:shd w:fill="FFFFFF" w:val="clear"/>
              </w:rPr>
              <w:t>KYMR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115.55</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55,416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116.81</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52,391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117.57</w:t>
            </w:r>
            <w:r>
              <w:rPr>
                <w:rFonts w:ascii="Times;serif" w:hAnsi="Times;serif"/>
                <w:color w:val="008000"/>
                <w:position w:val="7"/>
                <w:sz w:val="16"/>
                <w:sz w:val="20"/>
                <w:shd w:fill="FFFFFF" w:val="clear"/>
              </w:rPr>
              <w:t>(4)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50,254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required to be sold by the reporting person to cover tax withholding obligations in connection with the vesting of restricted stock units. Such sales were automatic and not in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$115.09 to $116.08,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$116.09 to $117.08,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$117.38 to $117.85,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Jacobs,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6994" TargetMode="External"/><Relationship Id="rId5" Type="http://schemas.openxmlformats.org/officeDocument/2006/relationships/hyperlink" Target="http://www.sec.gov/cgi-bin/browse-edgar?action=getcompany&amp;CIK=00018154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4509</Characters>
  <CharactersWithSpaces>5262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