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640" w:right="1600" w:hanging="3632"/>
        <w:spacing w:after="0" w:line="344" w:lineRule="auto"/>
        <w:tabs>
          <w:tab w:leader="none" w:pos="47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2600" w:right="1600" w:hanging="2592"/>
        <w:spacing w:after="0" w:line="226" w:lineRule="auto"/>
        <w:tabs>
          <w:tab w:leader="none" w:pos="459"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46"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ectPr>
          <w:pgSz w:w="11900" w:h="16838" w:orient="portrait"/>
          <w:cols w:equalWidth="0" w:num="1">
            <w:col w:w="11240"/>
          </w:cols>
          <w:pgMar w:left="320" w:top="1334"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53" w:lineRule="exact"/>
        <w:rPr>
          <w:sz w:val="24"/>
          <w:szCs w:val="24"/>
          <w:color w:val="auto"/>
        </w:rPr>
      </w:pPr>
    </w:p>
    <w:p>
      <w:pPr>
        <w:sectPr>
          <w:pgSz w:w="11900" w:h="16838" w:orient="portrait"/>
          <w:cols w:equalWidth="0" w:num="2">
            <w:col w:w="7700" w:space="160"/>
            <w:col w:w="3380"/>
          </w:cols>
          <w:pgMar w:left="320" w:top="1334" w:right="33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31" w:lineRule="exact"/>
        <w:rPr>
          <w:sz w:val="24"/>
          <w:szCs w:val="24"/>
          <w:color w:val="auto"/>
        </w:rPr>
      </w:pPr>
    </w:p>
    <w:p>
      <w:pPr>
        <w:ind w:left="17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Watertown, Massachusetts</w:t>
      </w:r>
      <w:r>
        <w:rPr>
          <w:sz w:val="20"/>
          <w:szCs w:val="20"/>
          <w:color w:val="auto"/>
        </w:rPr>
        <w:tab/>
      </w:r>
      <w:r>
        <w:rPr>
          <w:rFonts w:ascii="Times New Roman" w:cs="Times New Roman" w:eastAsia="Times New Roman" w:hAnsi="Times New Roman"/>
          <w:sz w:val="18"/>
          <w:szCs w:val="18"/>
          <w:b w:val="1"/>
          <w:bCs w:val="1"/>
          <w:color w:val="auto"/>
        </w:rPr>
        <w:t>02472</w:t>
      </w:r>
    </w:p>
    <w:p>
      <w:pPr>
        <w:spacing w:after="0" w:line="2"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5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KYMR</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49"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31, 2025, the registrant had 71,949,027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ind w:left="1303"/>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337" w:lineRule="exact"/>
        <w:rPr>
          <w:sz w:val="20"/>
          <w:szCs w:val="20"/>
          <w:color w:val="auto"/>
        </w:rPr>
      </w:pPr>
    </w:p>
    <w:p>
      <w:pPr>
        <w:ind w:left="503" w:right="2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company and that may make it difficult for our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STAT6 program is in early clinical development with additional programs in preclinical development. If we are unable to advance them through the clinic for safety or efficacy reasons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novel and unproven, which makes it difficult to predict the time, cost of development and likelihood of successfully developing any products.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may materially and adversely affect our business and our financial results and could cause a disruption to the development of our product candidates.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global economic and geopolitical conditions may have serious adverse consequences on our business, financial condition, stock price and results of operations.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spacing w:after="0" w:line="187"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enable a rational and effective drug discovery and development engine;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success of preclinical development efforts for our IRF5 and IRAK4 programs and clinical studies for our STAT6 program;</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investigational new drug applications to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initiation of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manufacture our drug substances, delivery vehicles,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pandemics, geopolitical conflicts or new or increased international tariffs, including mitigation efforts and economic effects, on any of the foregoing or other aspects of our business operations, including but not limited to our preclinical studies and future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cross-study assessments comparing non-head-to-head clinical data of KT-621 to published data for dupilumab;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6"/>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5"/>
        </w:trPr>
        <w:tc>
          <w:tcPr>
            <w:tcW w:w="8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112,949</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Marketable securities (Note 4)</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368,488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1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528,298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510,268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Marketable securities, non-current (Note 4)</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473,055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 (Note 6)</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45,128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50,457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Right-of-use assets, operating leases</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42,947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6,828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30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1,102,044</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978,035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3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5,506</w:t>
            </w:r>
          </w:p>
        </w:tc>
        <w:tc>
          <w:tcPr>
            <w:tcW w:w="140" w:type="dxa"/>
            <w:vAlign w:val="bottom"/>
          </w:tcPr>
          <w:p>
            <w:pPr>
              <w:spacing w:after="0"/>
              <w:rPr>
                <w:sz w:val="12"/>
                <w:szCs w:val="12"/>
                <w:color w:val="auto"/>
              </w:rPr>
            </w:pPr>
          </w:p>
        </w:tc>
        <w:tc>
          <w:tcPr>
            <w:tcW w:w="28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Accrued expenses (Note 8)</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28,639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34,867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Borders>
              <w:bottom w:val="single" w:sz="8" w:color="CFF0FC"/>
            </w:tcBorders>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71,575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67,767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1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68,450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72,423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Borders>
              <w:bottom w:val="single" w:sz="8" w:color="CFF0FC"/>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1,804</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155,786</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142,416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300" w:type="dxa"/>
            <w:vAlign w:val="bottom"/>
            <w:shd w:val="clear" w:color="auto" w:fill="CFF0FC"/>
          </w:tcPr>
          <w:p>
            <w:pPr>
              <w:ind w:left="160"/>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and no shares issued and outstanding as of September 30, 2025 and</w:t>
            </w:r>
          </w:p>
        </w:tc>
        <w:tc>
          <w:tcPr>
            <w:tcW w:w="16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December 31, 2024</w:t>
            </w:r>
          </w:p>
        </w:tc>
        <w:tc>
          <w:tcPr>
            <w:tcW w:w="16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30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Common stock, $0.0001 par value; 150,000,000 shares authorized at September 30, 2025 and December 31, 2024, 71,741,174 and</w:t>
            </w:r>
          </w:p>
        </w:tc>
        <w:tc>
          <w:tcPr>
            <w:tcW w:w="1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64,890,193 shares issued and outstanding at September 30, 2025 and December 31, 2024, respectively</w:t>
            </w:r>
          </w:p>
        </w:tc>
        <w:tc>
          <w:tcPr>
            <w:tcW w:w="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1,923,730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1,591,707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(978,980)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(754,610)</w:t>
            </w:r>
          </w:p>
        </w:tc>
        <w:tc>
          <w:tcPr>
            <w:tcW w:w="0" w:type="dxa"/>
            <w:vAlign w:val="bottom"/>
          </w:tcPr>
          <w:p>
            <w:pPr>
              <w:spacing w:after="0"/>
              <w:rPr>
                <w:sz w:val="1"/>
                <w:szCs w:val="1"/>
                <w:color w:val="auto"/>
              </w:rPr>
            </w:pPr>
          </w:p>
        </w:tc>
      </w:tr>
      <w:tr>
        <w:trPr>
          <w:trHeight w:val="148"/>
        </w:trPr>
        <w:tc>
          <w:tcPr>
            <w:tcW w:w="83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142"/>
        </w:trPr>
        <w:tc>
          <w:tcPr>
            <w:tcW w:w="8300" w:type="dxa"/>
            <w:vAlign w:val="bottom"/>
            <w:tcBorders>
              <w:top w:val="single" w:sz="8" w:color="CFF0FC"/>
            </w:tcBorders>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946,258</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835,619</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30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1,102,044</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978,035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-2357120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-2339340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-1576705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-1109345</wp:posOffset>
            </wp:positionV>
            <wp:extent cx="93980"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-1109345</wp:posOffset>
            </wp:positionV>
            <wp:extent cx="93980" cy="136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-231140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2025 and 2024</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74,094</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232,737</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95,285</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75,865</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287,844</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(251,503)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(82,175)</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(62,487)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(224,370)</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(153,106)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(80,953)</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(221,384)</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(150,623)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(82,175)</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(62,487)</w:t>
            </w:r>
          </w:p>
        </w:tc>
        <w:tc>
          <w:tcPr>
            <w:tcW w:w="22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(224,370)</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(153,106)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(2.71)</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87,300,286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76,125,975</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82,653,142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73,330,338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-2099310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-2099310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-2099310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-2099310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-1250950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-1250950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-1250950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-1250950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-659130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-642620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-659130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-642620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-659130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-642620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-659130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-642620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-170815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 and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00" w:type="dxa"/>
            <w:vAlign w:val="bottom"/>
            <w:gridSpan w:val="4"/>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61,572,383</w:t>
            </w:r>
          </w:p>
        </w:tc>
        <w:tc>
          <w:tcPr>
            <w:tcW w:w="900" w:type="dxa"/>
            <w:vAlign w:val="bottom"/>
            <w:gridSpan w:val="3"/>
            <w:shd w:val="clear" w:color="auto" w:fill="CFF0FC"/>
          </w:tcPr>
          <w:p>
            <w:pPr>
              <w:jc w:val="right"/>
              <w:ind w:right="4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1,308,388</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(621,371)</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(2,099)</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684,924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warrants from August 2024 public offering, net of issuance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2,830,533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246,505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246,506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 of $12.2 million</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340,482</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5,053</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14,904</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(62,487)</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(62,487)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2024</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64,748,226</w:t>
            </w:r>
          </w:p>
        </w:tc>
        <w:tc>
          <w:tcPr>
            <w:tcW w:w="120" w:type="dxa"/>
            <w:vAlign w:val="bottom"/>
          </w:tcPr>
          <w:p>
            <w:pPr>
              <w:spacing w:after="0"/>
              <w:rPr>
                <w:sz w:val="12"/>
                <w:szCs w:val="12"/>
                <w:color w:val="auto"/>
              </w:rPr>
            </w:pPr>
          </w:p>
        </w:tc>
        <w:tc>
          <w:tcPr>
            <w:tcW w:w="780" w:type="dxa"/>
            <w:vAlign w:val="bottom"/>
            <w:tcBorders>
              <w:bottom w:val="single" w:sz="8" w:color="auto"/>
            </w:tcBorders>
            <w:gridSpan w:val="2"/>
          </w:tcPr>
          <w:p>
            <w:pPr>
              <w:jc w:val="right"/>
              <w:ind w:right="456"/>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1,574,850</w:t>
            </w:r>
          </w:p>
        </w:tc>
        <w:tc>
          <w:tcPr>
            <w:tcW w:w="2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(683,858)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892,930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June 30, 2025</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70,557,442</w:t>
            </w:r>
          </w:p>
        </w:tc>
        <w:tc>
          <w:tcPr>
            <w:tcW w:w="900" w:type="dxa"/>
            <w:vAlign w:val="bottom"/>
            <w:gridSpan w:val="3"/>
            <w:shd w:val="clear" w:color="auto" w:fill="CFF0FC"/>
          </w:tcPr>
          <w:p>
            <w:pPr>
              <w:jc w:val="right"/>
              <w:ind w:right="4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1,867,999</w:t>
            </w:r>
          </w:p>
        </w:tc>
        <w:tc>
          <w:tcPr>
            <w:tcW w:w="3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(896,805)</w:t>
            </w:r>
          </w:p>
        </w:tc>
        <w:tc>
          <w:tcPr>
            <w:tcW w:w="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16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971,480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from June 2025 public offering, net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35,376</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35,376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issuance costs of $2.2 million</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275,484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4,553</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53,248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(82,175)</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(82,175)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71,741,174</w:t>
            </w:r>
          </w:p>
        </w:tc>
        <w:tc>
          <w:tcPr>
            <w:tcW w:w="320" w:type="dxa"/>
            <w:vAlign w:val="bottom"/>
            <w:tcBorders>
              <w:bottom w:val="single" w:sz="8" w:color="CFF0FC"/>
            </w:tcBorders>
            <w:gridSpan w:val="2"/>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3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1,923,730</w:t>
            </w:r>
          </w:p>
        </w:tc>
        <w:tc>
          <w:tcPr>
            <w:tcW w:w="2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(978,980)</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1,501</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946,258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-1224915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-1224915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-1224915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-1224915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-1224915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-1224915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-24765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-7620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-24765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3704590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4441825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6173470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6996430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40" w:type="dxa"/>
            <w:vAlign w:val="bottom"/>
            <w:gridSpan w:val="3"/>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55,585,305</w:t>
            </w:r>
          </w:p>
        </w:tc>
        <w:tc>
          <w:tcPr>
            <w:tcW w:w="720" w:type="dxa"/>
            <w:vAlign w:val="bottom"/>
            <w:gridSpan w:val="2"/>
            <w:shd w:val="clear" w:color="auto" w:fill="CFF0FC"/>
          </w:tcPr>
          <w:p>
            <w:pPr>
              <w:jc w:val="right"/>
              <w:ind w:right="47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32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926,269</w:t>
            </w:r>
          </w:p>
        </w:tc>
        <w:tc>
          <w:tcPr>
            <w:tcW w:w="3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(530,752)</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(552)</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394,971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3,884,158</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from public offering, net of issuance costs of $14.9 million</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At-The Market Sales Agreement,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1,519,453</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of issuance costs of $1.2 million</w:t>
            </w:r>
          </w:p>
        </w:tc>
        <w:tc>
          <w:tcPr>
            <w:tcW w:w="9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warrants from August 2024 public offering, net of issuance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2,830,533</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246,505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246,506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costs of $12.2 million</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695,821</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168,731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64,225</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(153,106)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(153,106)</w:t>
            </w:r>
          </w:p>
        </w:tc>
        <w:tc>
          <w:tcPr>
            <w:tcW w:w="0" w:type="dxa"/>
            <w:vAlign w:val="bottom"/>
          </w:tcPr>
          <w:p>
            <w:pPr>
              <w:spacing w:after="0"/>
              <w:rPr>
                <w:sz w:val="1"/>
                <w:szCs w:val="1"/>
                <w:color w:val="auto"/>
              </w:rPr>
            </w:pPr>
          </w:p>
        </w:tc>
      </w:tr>
      <w:tr>
        <w:trPr>
          <w:trHeight w:val="182"/>
        </w:trPr>
        <w:tc>
          <w:tcPr>
            <w:tcW w:w="40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2024</w:t>
            </w:r>
          </w:p>
        </w:tc>
        <w:tc>
          <w:tcPr>
            <w:tcW w:w="9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64,748,226</w:t>
            </w: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1,574,850</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(683,858)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1,931</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892,930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64,890,193</w:t>
            </w:r>
          </w:p>
        </w:tc>
        <w:tc>
          <w:tcPr>
            <w:tcW w:w="720" w:type="dxa"/>
            <w:vAlign w:val="bottom"/>
            <w:gridSpan w:val="2"/>
          </w:tcPr>
          <w:p>
            <w:pPr>
              <w:jc w:val="right"/>
              <w:ind w:right="47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1,591,707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(754,610)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0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5,899,500</w:t>
            </w: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272,671</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272,671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from June 2025 public offering, net of issuance costs of $15.7 million</w:t>
            </w:r>
          </w:p>
        </w:tc>
        <w:tc>
          <w:tcPr>
            <w:tcW w:w="9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629,222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278,130</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employee stock purchase plan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44,129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45,451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45,451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(224,370)</w:t>
            </w:r>
          </w:p>
        </w:tc>
        <w:tc>
          <w:tcPr>
            <w:tcW w:w="120" w:type="dxa"/>
            <w:vAlign w:val="bottom"/>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(224,370)</w:t>
            </w:r>
          </w:p>
        </w:tc>
        <w:tc>
          <w:tcPr>
            <w:tcW w:w="0" w:type="dxa"/>
            <w:vAlign w:val="bottom"/>
          </w:tcPr>
          <w:p>
            <w:pPr>
              <w:spacing w:after="0"/>
              <w:rPr>
                <w:sz w:val="1"/>
                <w:szCs w:val="1"/>
                <w:color w:val="auto"/>
              </w:rPr>
            </w:pPr>
          </w:p>
        </w:tc>
      </w:tr>
      <w:tr>
        <w:trPr>
          <w:trHeight w:val="142"/>
        </w:trPr>
        <w:tc>
          <w:tcPr>
            <w:tcW w:w="40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71,741,174</w:t>
            </w:r>
          </w:p>
        </w:tc>
        <w:tc>
          <w:tcPr>
            <w:tcW w:w="120" w:type="dxa"/>
            <w:vAlign w:val="bottom"/>
            <w:tcBorders>
              <w:top w:val="single" w:sz="8" w:color="CFF0FC"/>
              <w:bottom w:val="single" w:sz="8" w:color="CFF0FC"/>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CFF0FC"/>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1,923,730</w:t>
            </w:r>
          </w:p>
        </w:tc>
        <w:tc>
          <w:tcPr>
            <w:tcW w:w="120" w:type="dxa"/>
            <w:vAlign w:val="bottom"/>
            <w:tcBorders>
              <w:top w:val="single" w:sz="8" w:color="CFF0FC"/>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(978,980)</w:t>
            </w:r>
          </w:p>
        </w:tc>
        <w:tc>
          <w:tcPr>
            <w:tcW w:w="100" w:type="dxa"/>
            <w:vAlign w:val="bottom"/>
            <w:tcBorders>
              <w:top w:val="single" w:sz="8" w:color="CFF0FC"/>
              <w:bottom w:val="single" w:sz="8" w:color="CFF0FC"/>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1,501</w:t>
            </w:r>
          </w:p>
        </w:tc>
        <w:tc>
          <w:tcPr>
            <w:tcW w:w="120" w:type="dxa"/>
            <w:vAlign w:val="bottom"/>
            <w:tcBorders>
              <w:top w:val="single" w:sz="8" w:color="CFF0FC"/>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946,258</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-1096645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-1079500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-1096645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-1079500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-1096645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-1079500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-1096645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-1079500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-1096645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-1079500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-128270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-128270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-128270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-128270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-128270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20" w:type="dxa"/>
            <w:vAlign w:val="bottom"/>
            <w:gridSpan w:val="2"/>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(224,370)</w:t>
            </w:r>
          </w:p>
        </w:tc>
        <w:tc>
          <w:tcPr>
            <w:tcW w:w="7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(153,106)</w:t>
            </w: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45,451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Lease impairment charge</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3,855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ind w:left="160"/>
              <w:spacing w:after="0" w:line="149" w:lineRule="exact"/>
              <w:rPr>
                <w:sz w:val="20"/>
                <w:szCs w:val="20"/>
                <w:color w:val="auto"/>
              </w:rPr>
            </w:pPr>
            <w:r>
              <w:rPr>
                <w:rFonts w:ascii="Times New Roman" w:cs="Times New Roman" w:eastAsia="Times New Roman" w:hAnsi="Times New Roman"/>
                <w:sz w:val="14"/>
                <w:szCs w:val="14"/>
                <w:color w:val="auto"/>
              </w:rPr>
              <w:t>Premiums and discounts on available-for-sale marketable securities</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(6,834)</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(10,716)</w:t>
            </w:r>
          </w:p>
        </w:tc>
        <w:tc>
          <w:tcPr>
            <w:tcW w:w="0" w:type="dxa"/>
            <w:vAlign w:val="bottom"/>
          </w:tcPr>
          <w:p>
            <w:pPr>
              <w:spacing w:after="0"/>
              <w:rPr>
                <w:sz w:val="1"/>
                <w:szCs w:val="1"/>
                <w:color w:val="auto"/>
              </w:rPr>
            </w:pPr>
          </w:p>
        </w:tc>
      </w:tr>
      <w:tr>
        <w:trPr>
          <w:trHeight w:val="148"/>
        </w:trPr>
        <w:tc>
          <w:tcPr>
            <w:tcW w:w="7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(2,039)</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(5,754)</w:t>
            </w:r>
          </w:p>
        </w:tc>
        <w:tc>
          <w:tcPr>
            <w:tcW w:w="0" w:type="dxa"/>
            <w:vAlign w:val="bottom"/>
          </w:tcPr>
          <w:p>
            <w:pPr>
              <w:spacing w:after="0"/>
              <w:rPr>
                <w:sz w:val="1"/>
                <w:szCs w:val="1"/>
                <w:color w:val="auto"/>
              </w:rPr>
            </w:pPr>
          </w:p>
        </w:tc>
      </w:tr>
      <w:tr>
        <w:trPr>
          <w:trHeight w:val="149"/>
        </w:trPr>
        <w:tc>
          <w:tcPr>
            <w:tcW w:w="7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Contract asset</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(4,878)</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(6,275)</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(4,842)</w:t>
            </w:r>
          </w:p>
        </w:tc>
        <w:tc>
          <w:tcPr>
            <w:tcW w:w="0" w:type="dxa"/>
            <w:vAlign w:val="bottom"/>
          </w:tcPr>
          <w:p>
            <w:pPr>
              <w:spacing w:after="0"/>
              <w:rPr>
                <w:sz w:val="1"/>
                <w:szCs w:val="1"/>
                <w:color w:val="auto"/>
              </w:rPr>
            </w:pPr>
          </w:p>
        </w:tc>
      </w:tr>
      <w:tr>
        <w:trPr>
          <w:trHeight w:val="149"/>
        </w:trPr>
        <w:tc>
          <w:tcPr>
            <w:tcW w:w="76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23,660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(34,627)</w:t>
            </w:r>
          </w:p>
        </w:tc>
        <w:tc>
          <w:tcPr>
            <w:tcW w:w="0" w:type="dxa"/>
            <w:vAlign w:val="bottom"/>
          </w:tcPr>
          <w:p>
            <w:pPr>
              <w:spacing w:after="0"/>
              <w:rPr>
                <w:sz w:val="1"/>
                <w:szCs w:val="1"/>
                <w:color w:val="auto"/>
              </w:rPr>
            </w:pPr>
          </w:p>
        </w:tc>
      </w:tr>
      <w:tr>
        <w:trPr>
          <w:trHeight w:val="148"/>
        </w:trPr>
        <w:tc>
          <w:tcPr>
            <w:tcW w:w="7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ind w:left="3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(3,713)</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assets and liabilities</w:t>
            </w:r>
          </w:p>
        </w:tc>
        <w:tc>
          <w:tcPr>
            <w:tcW w:w="3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(166,144)</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(132,717)</w:t>
            </w:r>
          </w:p>
        </w:tc>
        <w:tc>
          <w:tcPr>
            <w:tcW w:w="0" w:type="dxa"/>
            <w:vAlign w:val="bottom"/>
          </w:tcPr>
          <w:p>
            <w:pPr>
              <w:spacing w:after="0"/>
              <w:rPr>
                <w:sz w:val="1"/>
                <w:szCs w:val="1"/>
                <w:color w:val="auto"/>
              </w:rPr>
            </w:pPr>
          </w:p>
        </w:tc>
      </w:tr>
      <w:tr>
        <w:trPr>
          <w:trHeight w:val="142"/>
        </w:trPr>
        <w:tc>
          <w:tcPr>
            <w:tcW w:w="76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300" w:type="dxa"/>
            <w:vAlign w:val="bottom"/>
            <w:tcBorders>
              <w:top w:val="single" w:sz="8" w:color="CFF0F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 net</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(1,343)</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(11,902)</w:t>
            </w:r>
          </w:p>
        </w:tc>
        <w:tc>
          <w:tcPr>
            <w:tcW w:w="0" w:type="dxa"/>
            <w:vAlign w:val="bottom"/>
          </w:tcPr>
          <w:p>
            <w:pPr>
              <w:spacing w:after="0"/>
              <w:rPr>
                <w:sz w:val="1"/>
                <w:szCs w:val="1"/>
                <w:color w:val="auto"/>
              </w:rPr>
            </w:pPr>
          </w:p>
        </w:tc>
      </w:tr>
      <w:tr>
        <w:trPr>
          <w:trHeight w:val="148"/>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(509,465)</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(822,804)</w:t>
            </w:r>
          </w:p>
        </w:tc>
        <w:tc>
          <w:tcPr>
            <w:tcW w:w="0" w:type="dxa"/>
            <w:vAlign w:val="bottom"/>
          </w:tcPr>
          <w:p>
            <w:pPr>
              <w:spacing w:after="0"/>
              <w:rPr>
                <w:sz w:val="1"/>
                <w:szCs w:val="1"/>
                <w:color w:val="auto"/>
              </w:rPr>
            </w:pPr>
          </w:p>
        </w:tc>
      </w:tr>
      <w:tr>
        <w:trPr>
          <w:trHeight w:val="148"/>
        </w:trPr>
        <w:tc>
          <w:tcPr>
            <w:tcW w:w="76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Maturities of investments</w:t>
            </w:r>
          </w:p>
        </w:tc>
        <w:tc>
          <w:tcPr>
            <w:tcW w:w="3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384,145</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362,061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(126,663)</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(472,645)</w:t>
            </w:r>
          </w:p>
        </w:tc>
        <w:tc>
          <w:tcPr>
            <w:tcW w:w="0" w:type="dxa"/>
            <w:vAlign w:val="bottom"/>
          </w:tcPr>
          <w:p>
            <w:pPr>
              <w:spacing w:after="0"/>
              <w:rPr>
                <w:sz w:val="1"/>
                <w:szCs w:val="1"/>
                <w:color w:val="auto"/>
              </w:rPr>
            </w:pPr>
          </w:p>
        </w:tc>
      </w:tr>
      <w:tr>
        <w:trPr>
          <w:trHeight w:val="142"/>
        </w:trPr>
        <w:tc>
          <w:tcPr>
            <w:tcW w:w="7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300" w:type="dxa"/>
            <w:vAlign w:val="bottom"/>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 from January 2024 public offering, net of issuance costs of</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$14.9 million</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through At-The Market Sales Agreement, net of issuance costs of $1.2 million</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48,740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6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 from August 2024 public offering, net of issuance costs of</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246,506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$12.2 million</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6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 from June 2025 public offering, net of issuance costs of</w:t>
            </w:r>
          </w:p>
        </w:tc>
        <w:tc>
          <w:tcPr>
            <w:tcW w:w="3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272,671</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$15.7 million</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finance leases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0" w:type="dxa"/>
            <w:vAlign w:val="bottom"/>
          </w:tcPr>
          <w:p>
            <w:pPr>
              <w:spacing w:after="0"/>
              <w:rPr>
                <w:sz w:val="1"/>
                <w:szCs w:val="1"/>
                <w:color w:val="auto"/>
              </w:rPr>
            </w:pPr>
          </w:p>
        </w:tc>
      </w:tr>
      <w:tr>
        <w:trPr>
          <w:trHeight w:val="142"/>
        </w:trPr>
        <w:tc>
          <w:tcPr>
            <w:tcW w:w="76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285,494</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606,086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(7,313)</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0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126,050</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115,777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120" w:type="dxa"/>
            <w:vAlign w:val="bottom"/>
            <w:gridSpan w:val="2"/>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118,737</w:t>
            </w:r>
          </w:p>
        </w:tc>
        <w:tc>
          <w:tcPr>
            <w:tcW w:w="160" w:type="dxa"/>
            <w:vAlign w:val="bottom"/>
          </w:tcPr>
          <w:p>
            <w:pPr>
              <w:spacing w:after="0"/>
              <w:rPr>
                <w:sz w:val="12"/>
                <w:szCs w:val="12"/>
                <w:color w:val="auto"/>
              </w:rPr>
            </w:pPr>
          </w:p>
        </w:tc>
        <w:tc>
          <w:tcPr>
            <w:tcW w:w="74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116,501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 of cash flow activities</w:t>
            </w:r>
          </w:p>
        </w:tc>
        <w:tc>
          <w:tcPr>
            <w:tcW w:w="300" w:type="dxa"/>
            <w:vAlign w:val="bottom"/>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120" w:type="dxa"/>
            <w:vAlign w:val="bottom"/>
            <w:gridSpan w:val="2"/>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w:t>
            </w:r>
          </w:p>
        </w:tc>
        <w:tc>
          <w:tcPr>
            <w:tcW w:w="160" w:type="dxa"/>
            <w:vAlign w:val="bottom"/>
          </w:tcPr>
          <w:p>
            <w:pPr>
              <w:spacing w:after="0"/>
              <w:rPr>
                <w:sz w:val="12"/>
                <w:szCs w:val="12"/>
                <w:color w:val="auto"/>
              </w:rPr>
            </w:pPr>
          </w:p>
        </w:tc>
        <w:tc>
          <w:tcPr>
            <w:tcW w:w="7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expenses</w:t>
            </w:r>
          </w:p>
        </w:tc>
        <w:tc>
          <w:tcPr>
            <w:tcW w:w="1120" w:type="dxa"/>
            <w:vAlign w:val="bottom"/>
            <w:gridSpan w:val="2"/>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160" w:type="dxa"/>
            <w:vAlign w:val="bottom"/>
          </w:tcPr>
          <w:p>
            <w:pPr>
              <w:spacing w:after="0"/>
              <w:rPr>
                <w:sz w:val="12"/>
                <w:szCs w:val="12"/>
                <w:color w:val="auto"/>
              </w:rPr>
            </w:pPr>
          </w:p>
        </w:tc>
        <w:tc>
          <w:tcPr>
            <w:tcW w:w="7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 through finance lease</w:t>
            </w:r>
          </w:p>
        </w:tc>
        <w:tc>
          <w:tcPr>
            <w:tcW w:w="1120" w:type="dxa"/>
            <w:vAlign w:val="bottom"/>
            <w:gridSpan w:val="2"/>
            <w:shd w:val="clear" w:color="auto" w:fill="CFF0FC"/>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-2416810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-2031365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-2031365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-779145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-582295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3480" w:type="dxa"/>
            <w:vAlign w:val="bottom"/>
            <w:gridSpan w:val="2"/>
            <w:shd w:val="clear" w:color="auto" w:fill="CFF0FC"/>
          </w:tcPr>
          <w:p>
            <w:pPr>
              <w:jc w:val="right"/>
              <w:ind w:right="8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112,949</w:t>
            </w:r>
          </w:p>
        </w:tc>
        <w:tc>
          <w:tcPr>
            <w:tcW w:w="600" w:type="dxa"/>
            <w:vAlign w:val="bottom"/>
            <w:gridSpan w:val="2"/>
            <w:shd w:val="clear" w:color="auto" w:fill="CFF0FC"/>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110,718</w:t>
            </w:r>
          </w:p>
        </w:tc>
      </w:tr>
      <w:tr>
        <w:trPr>
          <w:trHeight w:val="148"/>
        </w:trPr>
        <w:tc>
          <w:tcPr>
            <w:tcW w:w="5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5,788</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5,783</w:t>
            </w:r>
          </w:p>
        </w:tc>
      </w:tr>
      <w:tr>
        <w:trPr>
          <w:trHeight w:val="182"/>
        </w:trPr>
        <w:tc>
          <w:tcPr>
            <w:tcW w:w="52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48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ind w:right="8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118,737</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top w:val="single" w:sz="8" w:color="auto"/>
              <w:bottom w:val="single" w:sz="8" w:color="auto"/>
            </w:tcBorders>
            <w:shd w:val="clear" w:color="auto" w:fill="CFF0FC"/>
          </w:tcPr>
          <w:p>
            <w:pPr>
              <w:jc w:val="right"/>
              <w:ind w:right="3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116,501</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2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historical net losses and anticipates that it will continue to incur losses for the foreseeable future and had an accumulated deficit of $979.0 million as of September 30, 2025. The Company has funded these losses principally through the issuance and sale of its convertible preferred stock to outside investors and collaborators in private equity financings, its initial public offering, or IPO, follow-on offerings, Private Investment in Public Equity, or PIPE offering, and at-the market sales programs as well as from cash proceeds received in connection with the Company’s corporate collaboration agreements (see Note 5). The Company expects to continue to incur operating losses and negative operating cash flows until such time as it generates a level of revenue that is sufficient to support its cost structure.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cash, cash equivalents and marketable securities of $978.7 million. The Company believes these cash, cash equivalents and marketable securities will be sufficient to fund its operations and capital expenditure requirements through at least twelve months from the issuance of these condensed consolidated financial statements.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Follow-on Public Offerings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9, 2024, the Company completed a follow-on offering of its common stock and, in lieu of common stock to certain investors, pre-funded warrants to purchase shares of its common stock. The Company issued and sold 3,884,158 shares of common stock, including full exercise of the underwriters’ option to purchase an additional 1,633,663 shares, at a public offering price of $25.25 per share. Additionally, in lieu of common stock to certain investors, the Company issued and sold pre-funded warrants to purchase 8,640,594 shares of its common stock at a public offering price of $25.2499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$316.2 million.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21, 2024, the Company completed a follow-on offering of its common stock and, in lieu of common stock to certain investors, pre-funded warrants to purchase shares of its common stock. The Company issued and sold 2,830,533 shares of common stock, including full exercise of the underwriters’ option to purchase an additional 828,220 shares, at a public offering price of $40.75 per share. Additionally, in lieu of common stock to certain investors, the Company issued and sold pre-funded warrants to purchase 3,519,159 shares of its common stock at a public offering price of $40.7499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$258.7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Follow-on Public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June 30, 2025, the Company issued and sold 5,044,500 shares of common stock at a public offering price of $44.00 per share. Additionally, in lieu of common stock to a certain investor, the Company issued and sold pre-funded warrants to purchase 655,500 shares of common stock at a public offering price of $43.9999 per pre-funded warrant, which represents the public offering price per share of common stock less the $0.0001 per share exercise price of each pre-funded warrant. The aggregate gross proceeds from this initial closing, before deducting underwriting discounts and commissions and other estimated offering expenses payable by the Company, were approximately $250.8 million.</w:t>
      </w:r>
    </w:p>
    <w:p>
      <w:pPr>
        <w:spacing w:after="0" w:line="75" w:lineRule="exact"/>
        <w:rPr>
          <w:sz w:val="20"/>
          <w:szCs w:val="20"/>
          <w:color w:val="auto"/>
        </w:rPr>
      </w:pPr>
    </w:p>
    <w:p>
      <w:pPr>
        <w:jc w:val="both"/>
        <w:ind w:firstLine="566"/>
        <w:spacing w:after="0" w:line="261" w:lineRule="auto"/>
        <w:rPr>
          <w:sz w:val="20"/>
          <w:szCs w:val="20"/>
          <w:color w:val="auto"/>
        </w:rPr>
      </w:pPr>
      <w:r>
        <w:rPr>
          <w:rFonts w:ascii="Times New Roman" w:cs="Times New Roman" w:eastAsia="Times New Roman" w:hAnsi="Times New Roman"/>
          <w:sz w:val="18"/>
          <w:szCs w:val="18"/>
          <w:color w:val="auto"/>
        </w:rPr>
        <w:t>In July 2025, the Company completed the follow-on offering through the closing of the underwriters’ full exercise of their option to purchase an additional 855,000 shares of common stock. As a result, the total aggregate gross proceeds from this follow-on offering, including the proceeds from the initial closing on June 30, 2025 and the subsequent closings, were approximately $288.4 million, before deducting underwriting discounts and commissions and other estimated offering expenses payable by the Company.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certain offerings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(or, at the election of the holder, 9.99%)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no pre-funded warrants were exercised. As of September 30, 2025, there were 15,815,253 pre-funded warrants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the application of certain significant accounting policies as described in this note, and elsewhere in the accompanying condensed consolidated financial statements and notes.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subsidiary Kymera Securities Corporation. All intercompany transactions and balances have been eliminated in consolidation.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2024 included in the Company’s Annual Report on Form 10-K, filed with the SEC on February 27, 2025.</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as of and for the year ended December 31, 2024, and, in the opinion of management, reflect all adjustments necessary, all of which were normal and recurring, for the fair statement of the Company’s financial position as of September 30, 2025, the results of operations and equity for the three and nine months ended September 30, 2025, and cash flows for the nine months ended September 30, 2025 and 2024. The results for the three and nine months ended September 30, 2025 are not necessarily indicative of the results for the year ended December 31, 2025 or for any future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and nine months ended September 30, 2025 are consistent with those discussed in Note 2 to the consolidated financial statements in the 2024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We are currently evaluating the disclosure requirements related to this new standard.</w:t>
      </w:r>
    </w:p>
    <w:p>
      <w:pPr>
        <w:spacing w:after="0" w:line="11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We are currently evaluating the disclosure requirements related to this new standard.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indicates the level of the fair value hierarchy utilized to determine such fair values as of September 30, 2025 and December 31,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98,459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98,459</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107,665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107,665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192,268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140,776</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140,776</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250,846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293,345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685,641</w:t>
            </w:r>
          </w:p>
        </w:tc>
        <w:tc>
          <w:tcPr>
            <w:tcW w:w="10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-1079500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-1079500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-1079500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106,234</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96,442</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214,127</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214,127</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135,749</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135,749</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164,388</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164,388</w:t>
            </w:r>
          </w:p>
        </w:tc>
        <w:tc>
          <w:tcPr>
            <w:tcW w:w="10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271,989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582,108</w:t>
            </w:r>
          </w:p>
        </w:tc>
        <w:tc>
          <w:tcPr>
            <w:tcW w:w="10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854,097</w:t>
            </w:r>
          </w:p>
        </w:tc>
        <w:tc>
          <w:tcPr>
            <w:tcW w:w="10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59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nine months ended September 30, 2025 and the year ended December 31, 2024, there were no transfers in or out of Level 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available-for-sale debt securities held at September 30, 2025 and December 31, 2024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188,647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189,098</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222,856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222,892</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442,099</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443,113</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864,285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865,787</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3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158,464</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179,030</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177,815</w:t>
            </w:r>
          </w:p>
        </w:tc>
        <w:tc>
          <w:tcPr>
            <w:tcW w:w="100" w:type="dxa"/>
            <w:vAlign w:val="bottom"/>
            <w:shd w:val="clear" w:color="auto" w:fill="CFF0FC"/>
          </w:tcPr>
          <w:p>
            <w:pPr>
              <w:spacing w:after="0"/>
              <w:rPr>
                <w:sz w:val="18"/>
                <w:szCs w:val="18"/>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00" w:type="dxa"/>
            <w:vAlign w:val="bottom"/>
          </w:tcPr>
          <w:p>
            <w:pPr>
              <w:spacing w:after="0"/>
              <w:rPr>
                <w:sz w:val="18"/>
                <w:szCs w:val="18"/>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securities</w:t>
            </w:r>
          </w:p>
        </w:tc>
        <w:tc>
          <w:tcPr>
            <w:tcW w:w="16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378,736</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378,516</w:t>
            </w:r>
          </w:p>
        </w:tc>
        <w:tc>
          <w:tcPr>
            <w:tcW w:w="100" w:type="dxa"/>
            <w:vAlign w:val="bottom"/>
            <w:shd w:val="clear" w:color="auto" w:fill="CFF0FC"/>
          </w:tcPr>
          <w:p>
            <w:pPr>
              <w:spacing w:after="0"/>
              <w:rPr>
                <w:sz w:val="18"/>
                <w:szCs w:val="18"/>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16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732,131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730,647</w:t>
            </w:r>
          </w:p>
        </w:tc>
        <w:tc>
          <w:tcPr>
            <w:tcW w:w="10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-1379220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-1379220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-1379220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-1379220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 held 51 securities that had been in an unrealized loss position for less than 12 months with an aggregate fair value of $143.3 million. As of December 31, 2024, the Company held 121 securities that had been in an unrealized loss position for less than 12 months with an aggregate fair value of $342.1 million. As of September 30, 2025, the Company held 24 securities that had been in an unrealized loss position for greater than 12 months with an aggregate fair value of $72.1 million. As of December 31, 2024, the Company held 4 securities that had been in an unrealized loss position for greater than 12 months with an aggregate fair value of $7.6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4" w:name="page15"/>
    <w:bookmarkEnd w:id="1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124 securities with a fair value of $392.7 million with a contractual maturity of less than 12 months and 166 securities with a fair value of $473.1 million with a contractual maturity of greater than 12 months. As of December 31, 2024, the Company had 129 securities with a fair value of $368.5 million with a contractual maturity of less than 12 months and 116 securities with a fair value of $362.2 million with a contractual maturity of greater than 12 months.</w:t>
      </w:r>
    </w:p>
    <w:p>
      <w:pPr>
        <w:spacing w:after="0" w:line="24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September 30, 2025 and December 31, 2024.</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25, 2025, the Company entered into an exclusive option and license agreement (the “Gilead Agreement”) with Gilead Sciences, Inc. (“Gilead”), to collaborate on developing novel molecular glue degraders directed against cyclin-dependent kinase 2 (“CDK2”). Under the Gilead Agreement, the Company granted to Gilead an exclusive option, exercisable during a defined option period, to exercise an exclusive, worldwide license to develop, manufacture, and commercialize certain CDK2 degraders generated under the collaboration.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Gilead Agreement, the Company is responsible for all discovery and preclinical research activities through the delivery of a complete data package as defined in the agreement. If, after receiving the complete data package, Gilead exercises its option to license the program, Gilead will have global rights to develop, manufacture and commercialize all products resulting from the collaboration.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Gilead does not exercise the option during the option period defined in the agreement, then the Gilead Agreement will terminate. 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the Company.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exclusive option and rights granted under the Gilead Agreement, the Company received a non-refundable upfront payment of $40.0 million. In addition, if Gilead exercises the option, the Company is entitled to receive an option exercise payment of $45.0 million and will be eligible to receive up to $665.0 million upon the achievement of certain development, regulatory and commercial milestones. The Company is also eligible to receive tiered royalties on net sales by Gilead ranging from high single-digit to mid-teen percentages, subject to customary reductions in certain circumstances.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Gilead Agreement under ASC 606, Revenue from Contracts with Customers, and determined that the arrangement represents a contract with a customer. The Company identified the following material promises under the Gilead Agreement: (1) the discovery and preclinical research activities and (2) an option granting Gilead the right to acquire an exclusive license to the program.</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option to acquire an exclusive license to the program was evaluated as a material right. The Company determined that the option to acquire an exclusive license in the future was not priced at a discount, and that the option exercise fee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 That is, one performance obligation was identified, the discovery and preclinical research activities.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determined the total transaction price to be $40.0 million, which represents the upfront payment. The option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exercise payment and all future milestone and royalty payments are excluded from the initial transaction price as they are contingent on future events and were deemed constrained due to the uncertainty of achievement and the Company’s limited control over their occurrence.</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discovery and preclinical research activities are provided using an input method, according to costs incurred and the costs expected to be incurred in the future to satisfy that individual performance obligation. The transfer of control occurs over this time period and, in management’s judgment, is the best measure of progress towards satisfying each performance obligation. In the three and nine months ended September 30, 2025, the Company recognized $2.8 million in revenue under the Gilead Agreement. In the three and nine months ended September 30, 2024, the Company did not recognize any revenue under the Gilead Agreement. The aggregate amount of the transaction price allocated to the Company’s unsatisfied performance obligations and recorded in deferred revenue as of September 30, 2025 and December 31, 2024 was $37.2 million and $0, respectively. This increase was the result of an increase of $40.0 million from the entering into of the agreement in the second quarter of 2025 partially offset by the revenue recognized in the three and nine months ended September 30, 2025. The remaining deferred revenue of $37.2 million will be recognized over the remainder of the estimated research period, which is expected to conclude within the next 1.5 years.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All option and milestone payments were constrained as the achievement of such milestones are contingent upon the success of the underlying research and development activities and are generally outside the control of the Company. Any amounts related to the option exercise fee or milestone payments will be included in the transaction price and recognized on a cumulative catch-up basis when the risk of revenue reversal is resolved. Royalties and commercial milestone payments, if any, will be recognized at the later of when the related sales occur or when the associated performance obligation has been satisfied.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the Company an exclusive option, or Opt-In Right, exercisable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The Company will further be eligible to receive tiered royalties on net sales ranging from the high single digits to high teens, subject to low-single digits upward adjustments in certain circumstances.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the Company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In the first quarter of 2025, the Company achieved a development milestone related to certain preclinical activities associated with the IRAK4 program. In connection with this milestone the Company unconstrained $20.0 million of consideration in the first quarter of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2025, Sanofi communicated its decision to exercise its full participation election under the terms of the companies’ collaboration agreement, and to advance KT-485/SAR447971, into clinical testing. As a result, Sanofi intends to stop development of KT-474. In connection with the IRAK4 program, the Company remains eligible to receive up to $975 million in development and commercial milestones upon the achievement of certain developmental or regulatory events and upon the achievement of certain net sales thresholds.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total transaction price to be $150.0 million, which consists solely of the upfront payment. All milestone payments and option payments were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1: $120.0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2: $30.0 million</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allocation of the $150.0 million transaction price between Collaboration Target 1 and Collaboration Target 2 based on the value of the research and development for the programs from projected research and development costs for each collaboration target plus a developer’s profit and the total potential milestones for each collaboration target.</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Milestone and reimbursement consideration added to the transaction price will be recognized as revenue with a cumulative catch-up upon becoming unconstrained.</w:t>
      </w:r>
    </w:p>
    <w:p>
      <w:pPr>
        <w:spacing w:after="0" w:line="22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With Sanofi's exercise of its full participation election under the agreement for Collaboration Target 1, the performance obligation associated with Collaboration Target 1 has been fully satisfied as of September 30, 2025. The performance obligation associated with Collaboration Target 2 has been fully satisfied.</w:t>
      </w:r>
    </w:p>
    <w:p>
      <w:pPr>
        <w:spacing w:after="0" w:line="20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three months ended September 30, 2025, the Company did not recognize any revenue associated with the Sanofi collaboration. In the nine months ended September 30, 2025, the Company recognized $33.6 million in revenue under the Sanofi Agreement, all of which was associated with Collaboration Target 1. In the three months ended September 30, 2024, the Company recognized $3.7 million in revenue under the Sanofi Agreement, all of which was associated with Collaboration Target 1. In the nine months ended September 30, 2024, the Company recognized $39.7 million in revenue under the Sanofi Agreement, all of which was associated with Collaboration Target 1. Of the $33.6 million of revenue recognized in the nine months ended September 30, 2025, $13.6 million was recognized from amounts that were recorded in deferred revenue as of December 31, 2024. The aggregate amount of the transaction price allocated to the Company’s unsatisfied performance obligations and recorded in deferred revenue at September 30, 2025 and December 31, 2024 is $0 and $13.6 million, respectively. This decrease was the result of on-going activity under the collaboration agreement as well as a $11.5 million cumulative catch-up to revenue related to the Company satisfying the performance obligation under Collaboration Target 1. During the nine months ended September 30, 2025, the Company received $0.9 million in cost reimbursement payments.</w:t>
      </w:r>
    </w:p>
    <w:p>
      <w:pPr>
        <w:spacing w:after="0" w:line="235" w:lineRule="exact"/>
        <w:rPr>
          <w:sz w:val="20"/>
          <w:szCs w:val="20"/>
          <w:color w:val="auto"/>
        </w:rPr>
      </w:pPr>
    </w:p>
    <w:p>
      <w:pPr>
        <w:jc w:val="both"/>
        <w:ind w:firstLine="563"/>
        <w:spacing w:after="0" w:line="256" w:lineRule="auto"/>
        <w:rPr>
          <w:sz w:val="20"/>
          <w:szCs w:val="20"/>
          <w:color w:val="auto"/>
        </w:rPr>
      </w:pPr>
      <w:r>
        <w:rPr>
          <w:rFonts w:ascii="Times New Roman" w:cs="Times New Roman" w:eastAsia="Times New Roman" w:hAnsi="Times New Roman"/>
          <w:sz w:val="18"/>
          <w:szCs w:val="18"/>
          <w:color w:val="auto"/>
        </w:rPr>
        <w:t>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in the fourth quarter of 2023. In the first quarter of 2025, the Company achieved a development milestone related to certain preclinical activities associated with the IRAK4 program. During the three and nine month periods ended September 30, 2025, the Company recognized $0.0 million and $23.6 million of revenue from the unconstrained milestones, respectively. As of September 30, 2025, all of the $75.0 million of consideration has been recorded as revenue.</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9, 2019 (the “Effective Date”), the Company entered into a collaboration agreement (the “Vertex Agreement”) with Vertex to advance small molecule protein degraders against up to six targets. Under the Vertex Agreement, Vertex had the exclusive option to license the rights to the product candidates developed for the designated targets at which point Vertex would control development and commercialization. Pursuant to the Vertex Agreement, the Company was only responsible for discovery and preclinical research on the targets, and Vertex was responsible for development, manufacturing, and commercialization of the product candidates after it exercises its option to license. The initial research term of the collaboration was four (4) years, extendable for an additional one (1) year period upon mutual agreement by the parties and payment by Vertex of certain per-target fees.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Vertex provided the Company with a non-refundable upfront payment of $50.0 million and purchased 3,059,695 shares of the Company’s Series B-1 Convertible Preferred Stock (the “Series B-1 Preferred Stock”) at $6.54 a share, pursuant to a separate, but simultaneously executed Share Purchase Agreement. The shares were purchased at a premium of $5.9 million, which was included in the transaction price and will be recognized as revenue over the period of performance. As a result of this purchase, Vertex was considered a related party. Vertex is no longer considered a related party.</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was eligible to receive up to $170.0 million in payments per target, including development, regulatory and commercial milestones as well as option exercise payments. In addition, Vertex was obligated to pay the Company tiered royalties 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both"/>
        <w:spacing w:after="0" w:line="282" w:lineRule="auto"/>
        <w:rPr>
          <w:sz w:val="20"/>
          <w:szCs w:val="20"/>
          <w:color w:val="auto"/>
        </w:rPr>
      </w:pPr>
      <w:r>
        <w:rPr>
          <w:rFonts w:ascii="Times New Roman" w:cs="Times New Roman" w:eastAsia="Times New Roman" w:hAnsi="Times New Roman"/>
          <w:sz w:val="18"/>
          <w:szCs w:val="18"/>
          <w:color w:val="auto"/>
        </w:rPr>
        <w:t>future net sales on any products that may result from the Vertex Agreement. None of the payments under the Vertex Agreement are refundable. The Company may also perform follow-on research for an optioned target upon Vertex’s request and at Vertex’s expense.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term of the Vertex Agreement began on the Effective Date and expired upon the completion of the initial research term on May 9, 2023.</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joint research activities required under the Vertex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 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its evaluation of constraining the research and development milestones, the Company considered numerous factors, including the fact that the achievement of the research and development milestones is contingent upon the results of the underlying research and development activities and is thus outside of the control of the Company.</w:t>
      </w:r>
    </w:p>
    <w:p>
      <w:pPr>
        <w:spacing w:after="0" w:line="176"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At the commencement of the arrangement, two units of accounting were identified: the issuance of 3,059,695 shares of the Series B-1 Preferred Stock and the research activities the Company will perform over the Research Term. The Company determined the total transaction price to be $55.9 million, which consists of $5.9 million attributed to the premium from the shares of Series B-1 Preferred Stock sold to Vertex and the $50.0 million upfront payment. To determine the fair value of the Series B-1 Preferred Stock issued to Vertex, the Company performed a valuation of the shares of the Company’s common and preferred stock, which took into consideration recent financings, and the Company’s recent development and future exit strategies, as well as a discount for lack of marketability.</w:t>
      </w:r>
    </w:p>
    <w:p>
      <w:pPr>
        <w:spacing w:after="0" w:line="187"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Vertex collaboration agreement expired upon completion of the initial research term in May of 2023. Accordingly, the Company fully satisfied its performance obligation and recognized all remaining deferred revenue associated with the Vertex collaboration in May 2023. There was no revenue recognized during the three and nine months ended September 30, 2025 and 2024. There were no unsatisfied performance obligations as of September 30, 2025. The aggregate amount of the transaction price allocated to the Company’s unsatisfied performance obligation and recorded in deferred revenue is $0 at both September 30, 2025 and December 31, 2024.</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accounts receivable, contract assets and contract liabilities for the nine months ended September 30, 2025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5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Billed receivables - Sanofi</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Unbilled receivables - Sanofi</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(20,947)</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Billed receivables - Gilead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 and contract assets</w:t>
            </w: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80,947</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(81,894)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38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Contract liabilities:</w:t>
            </w:r>
          </w:p>
        </w:tc>
        <w:tc>
          <w:tcPr>
            <w:tcW w:w="5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 Sanofi</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6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(33,576)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Gilead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(2,764)</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5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(36,340)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71"/>
        </w:trPr>
        <w:tc>
          <w:tcPr>
            <w:tcW w:w="380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-1670685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-1653540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-1670685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-1653540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-1670685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-1653540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-1087755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-1071245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-1087755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-1071245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-1087755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-1071245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September 30, 2025 and December 31, 2024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office equipment under finance right-of-use asset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42,913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44,010</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Assets not yet in service</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66,530</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(16,073)</w:t>
            </w:r>
          </w:p>
        </w:tc>
      </w:tr>
      <w:tr>
        <w:trPr>
          <w:trHeight w:val="249"/>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2025 and 2024 was $2.1 million and $2.0 million, respectively. Depreciation expense for the nine months ended September 30, 2025 and 2024 was $5.4 million and $5.4 million, respectively.</w:t>
      </w:r>
    </w:p>
    <w:p>
      <w:pPr>
        <w:spacing w:after="0" w:line="162" w:lineRule="exact"/>
        <w:rPr>
          <w:sz w:val="20"/>
          <w:szCs w:val="20"/>
          <w:color w:val="auto"/>
        </w:rPr>
      </w:pPr>
    </w:p>
    <w:p>
      <w:pPr>
        <w:ind w:right="320" w:firstLine="450"/>
        <w:spacing w:after="0" w:line="282" w:lineRule="auto"/>
        <w:rPr>
          <w:sz w:val="20"/>
          <w:szCs w:val="20"/>
          <w:color w:val="auto"/>
        </w:rPr>
      </w:pPr>
      <w:r>
        <w:rPr>
          <w:rFonts w:ascii="Times New Roman" w:cs="Times New Roman" w:eastAsia="Times New Roman" w:hAnsi="Times New Roman"/>
          <w:sz w:val="18"/>
          <w:szCs w:val="18"/>
          <w:color w:val="auto"/>
        </w:rPr>
        <w:t>Included in property and equipment is lab and office equipment right-of-use assets under finance leases with a cost basis of $8.8 million and $7.8 million and accumulated amortization expense of $5.3 million and $4.1 million as of September 30, 2025 and December 31, 2024, respectively.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related to right-of-use assets during the three months ended September 30, 2025 and 2024 was $0.4 million and $0.3 million, respectively. Amortization expense related to right-of-use assets during the nine months ended September 30, 2025 and 2024 was $1.2 million and $1.1 million, respectively.</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2019, the Company entered into a noncancelable facility lease agreement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September 30, 2025 and December 31, 2024. The letter of credit totaled $1.3 million and $1.3 million as of September 30, 2025 and December 31, 2024, respectively.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September 30, 2025 and December 31, 2024.</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the improvements paid for by the landlord in connection with the tenant improvement allowance represent lessee assets and therefore recorded $20.1 million of leasehold improvements in property and equipment. The Company recorded an additional $17.9 million of leasehold improvements in excess of the tenant improvement allowance, all of which were placed in service in 2024.</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Upon occupancy of the 2021 Lease facility in February of 2024, the Company exited the 2019 Lease facility and is actively looking to sublease the entire facility for the remaining noncancellable lease term through March 31, 2030. These actions resulted in an impairment charge of $4.9 million in the three months ended March 31, 2024. During the three months ended September 30, 2025, given the continued vacancy of the space and further declining market conditions related to office and lab space, the Company revised its estimate of the fair value of the asset group associated with the 2021 Lease facility. This resulted in an incremental impairment charge of $3.9 million. The Company will continue to evaluate the potential recovery of the asset group under sublease scenarios, and thus it is possible that further additional impairments could be identified in future periods, and such amounts could be material.</w:t>
      </w:r>
    </w:p>
    <w:p>
      <w:pPr>
        <w:spacing w:after="0" w:line="189"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impairment charges reduce the carrying value of the associated ROU asset, leasehold improvements and certain furniture and fixture assets that remained in the facility to their estimated fair values. In both periods, the fair values were estimated using a discounted cash flows approach based on forecasted future cash flows expected to be derived from the property based on estimated sublease market rent, which are considered a level 3 input in the fair value hierarchy, and other key assumptions such as future sublease market conditions and the discount rate.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finance lease obligations consist of certain property and equipment financed through finance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lease costs for the three and nine months ended September 30, 2025 and 2024, were as follows (in thousands):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8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right-to-use assets, finance leases</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 for finance lease liabilities</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820" w:type="dxa"/>
            <w:vAlign w:val="bottom"/>
            <w:gridSpan w:val="2"/>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8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-170815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59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relating to the Company’s leases for the nine months ended September 30, 2025 and 2024, were as follows (in thousands):</w:t>
      </w:r>
    </w:p>
    <w:p>
      <w:pPr>
        <w:spacing w:after="0" w:line="182"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42"/>
        </w:trPr>
        <w:tc>
          <w:tcPr>
            <w:tcW w:w="47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191"/>
        </w:trPr>
        <w:tc>
          <w:tcPr>
            <w:tcW w:w="47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shd w:val="clear" w:color="auto" w:fill="CFF0FC"/>
          </w:tcPr>
          <w:p>
            <w:pPr>
              <w:spacing w:after="0"/>
              <w:rPr>
                <w:sz w:val="18"/>
                <w:szCs w:val="18"/>
                <w:color w:val="auto"/>
              </w:rPr>
            </w:pPr>
          </w:p>
        </w:tc>
      </w:tr>
      <w:tr>
        <w:trPr>
          <w:trHeight w:val="234"/>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as of September 30, 2025 and 2024 were as follows:</w:t>
      </w:r>
    </w:p>
    <w:p>
      <w:pPr>
        <w:spacing w:after="0" w:line="21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44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17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19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w:t>
            </w:r>
          </w:p>
        </w:tc>
        <w:tc>
          <w:tcPr>
            <w:tcW w:w="19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8.84 years</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9.78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Finance lease</w:t>
            </w:r>
          </w:p>
        </w:tc>
        <w:tc>
          <w:tcPr>
            <w:tcW w:w="19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2.35 years</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2.57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w:t>
            </w:r>
          </w:p>
        </w:tc>
        <w:tc>
          <w:tcPr>
            <w:tcW w:w="36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8.70%</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lease</w:t>
            </w:r>
          </w:p>
        </w:tc>
        <w:tc>
          <w:tcPr>
            <w:tcW w:w="3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8.78%</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w:t>
            </w:r>
          </w:p>
        </w:tc>
        <w:tc>
          <w:tcPr>
            <w:tcW w:w="1680" w:type="dxa"/>
            <w:vAlign w:val="bottom"/>
          </w:tcPr>
          <w:p>
            <w:pPr>
              <w:spacing w:after="0"/>
              <w:rPr>
                <w:sz w:val="20"/>
                <w:szCs w:val="20"/>
                <w:color w:val="auto"/>
              </w:rPr>
            </w:pPr>
          </w:p>
        </w:tc>
      </w:tr>
      <w:tr>
        <w:trPr>
          <w:trHeight w:val="630"/>
        </w:trPr>
        <w:tc>
          <w:tcPr>
            <w:tcW w:w="1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The undiscounted future lease payments for operating and finance leases as of September 30, 2025, were as follows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3"/>
                <w:szCs w:val="13"/>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Pr>
          <w:p>
            <w:pPr>
              <w:spacing w:after="0"/>
              <w:rPr>
                <w:sz w:val="15"/>
                <w:szCs w:val="15"/>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(fourth quarter)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115,904</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 or imputed interest</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(35,601)</w:t>
            </w: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80,303</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as of September 30, 2025 and December 31, 2024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8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80" w:type="dxa"/>
            <w:vAlign w:val="bottom"/>
          </w:tcPr>
          <w:p>
            <w:pPr>
              <w:spacing w:after="0"/>
              <w:rPr>
                <w:sz w:val="18"/>
                <w:szCs w:val="18"/>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8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r>
      <w:tr>
        <w:trPr>
          <w:trHeight w:val="20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34,867</w:t>
            </w:r>
          </w:p>
        </w:tc>
        <w:tc>
          <w:tcPr>
            <w:tcW w:w="80" w:type="dxa"/>
            <w:vAlign w:val="bottom"/>
            <w:shd w:val="clear" w:color="auto" w:fill="CFF0FC"/>
          </w:tcPr>
          <w:p>
            <w:pPr>
              <w:spacing w:after="0"/>
              <w:rPr>
                <w:sz w:val="18"/>
                <w:szCs w:val="18"/>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-7620</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20" w:right="8000" w:hanging="512"/>
        <w:spacing w:after="0" w:line="378" w:lineRule="auto"/>
        <w:tabs>
          <w:tab w:leader="none" w:pos="19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Commitments and Contingencies </w:t>
      </w:r>
      <w:r>
        <w:rPr>
          <w:rFonts w:ascii="Times New Roman" w:cs="Times New Roman" w:eastAsia="Times New Roman" w:hAnsi="Times New Roman"/>
          <w:sz w:val="18"/>
          <w:szCs w:val="18"/>
          <w:b w:val="1"/>
          <w:bCs w:val="1"/>
          <w:i w:val="1"/>
          <w:iCs w:val="1"/>
          <w:color w:val="auto"/>
        </w:rPr>
        <w:t>Legal Proceedings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September 30, 2025 or December 31, 2024.</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Grant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would otherwise have been returned to the share reserve under the 2018 Plan, the number of shares underlying such awards will be available for future grant under the 2020 Stock Option and Incentive Plan.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In June 2024, in connection with the Company's 2024 annual shareholder meeting, shareholders approved an amendment to the 2020 stock option plan that redefined the definition of common stock outstanding for the purposes of calculating the annual increase to the shares available for issuance. After the amendment, outstanding equity includes all outstanding common shares as well as outstanding pre-funded warrants. As of September 30, 2025, there were an aggregate of 4,138,724 shares remaining available for future grants.</w:t>
      </w:r>
    </w:p>
    <w:p>
      <w:pPr>
        <w:spacing w:after="0" w:line="3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Employee Stock Purchase Plan (the “2020 ESPP”), which became effective August 20, 2020. The 2020 ESPP initially reserved and authorized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lesser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September 30, 2025, there were an aggregate 2,318,998 shares remaining available for future grants.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under the 2020 Plan for service and performance based vesting conditions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is as follows (in thousands except share and per share data):</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Strike</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104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9,447,790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4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2,334,339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(629,222)</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(609,314)</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FF0FC"/>
              <w:bottom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Outstanding at September 30, 2025</w:t>
            </w:r>
          </w:p>
        </w:tc>
        <w:tc>
          <w:tcPr>
            <w:tcW w:w="130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10,543,593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33.03</w:t>
            </w:r>
          </w:p>
        </w:tc>
        <w:tc>
          <w:tcPr>
            <w:tcW w:w="1480" w:type="dxa"/>
            <w:vAlign w:val="bottom"/>
            <w:tcBorders>
              <w:top w:val="single" w:sz="8" w:color="CFF0FC"/>
              <w:bottom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7.24</w:t>
            </w:r>
          </w:p>
        </w:tc>
        <w:tc>
          <w:tcPr>
            <w:tcW w:w="420" w:type="dxa"/>
            <w:vAlign w:val="bottom"/>
            <w:tcBorders>
              <w:top w:val="single" w:sz="8" w:color="CFF0FC"/>
              <w:bottom w:val="single" w:sz="8" w:color="CFF0FC"/>
            </w:tcBorders>
            <w:gridSpan w:val="2"/>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250,055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7,019,386</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-730885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-730885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-156845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-314960</wp:posOffset>
            </wp:positionV>
            <wp:extent cx="85725"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intrinsic value of stock options exercised during the three months ended September 30, 2025 and 2024 was $8.6 million and $10.4 million, respectively. The intrinsic value of stock options exercised during the nine months ended September 30, 2025 and 2024 was $16.0 million and $19.0 million, respectively.</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three months ended September 30, 2025 and 2024 was $33.67 and $29.36 respectively. The weighted-average fair value of options granted during the nine months ended September 30, 2025 and 2024 was $22.73 and $26.03 respectively.</w:t>
      </w:r>
    </w:p>
    <w:p>
      <w:pPr>
        <w:spacing w:after="0" w:line="9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the total unrecognized stock-based compensation expense for unvested stock options was $73.5 million, with a weighted average recognition period of 2.1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performance stock options, or PSOs, under the Company’s 2020 Stock Option and Incentive Plan to certain key employees of the Company, including the Company’s executive officers and management team. The total number of PSOs that may vest will range from 0 to a maximum of 100% of the target number of options granted. The PSOs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third clinical milestones will result in the vesting of 20% of the Target Amount. None of the PSOs with respect to the clinical milestone objective may vest prior to the first anniversary of the grant date. During the nine months ended September 30, 2025, the Company granted 88,000 PSOs with a weighted average strike price of $30.17. As of September 30, 2025, there are 88,000 PSOs outstanding with a weighted average strike price of $30.17. As of September 30, 2025 the Company has concluded that it is not deemed probable that the clinical milestone based performance conditions will be achieved, and as such, no stock based compensation has been recorded for PSOs.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our equity-based compensation expense for stock options for the three and nine months ended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17,615</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16,925</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18,891</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18,060</w:t>
            </w:r>
          </w:p>
        </w:tc>
        <w:tc>
          <w:tcPr>
            <w:tcW w:w="100" w:type="dxa"/>
            <w:vAlign w:val="bottom"/>
          </w:tcPr>
          <w:p>
            <w:pPr>
              <w:spacing w:after="0"/>
              <w:rPr>
                <w:sz w:val="18"/>
                <w:szCs w:val="18"/>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36,506</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34,985</w:t>
            </w:r>
          </w:p>
        </w:tc>
        <w:tc>
          <w:tcPr>
            <w:tcW w:w="100" w:type="dxa"/>
            <w:vAlign w:val="bottom"/>
            <w:shd w:val="clear" w:color="auto" w:fill="CFF0FC"/>
          </w:tcPr>
          <w:p>
            <w:pPr>
              <w:spacing w:after="0"/>
              <w:rPr>
                <w:sz w:val="18"/>
                <w:szCs w:val="18"/>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-8255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596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in the Black-Scholes option pricing model to determine the grant date fair value of stock options granted to employees and non-employees for the three and nine months ended September 30, 2025 and 2024 were as follows:</w:t>
      </w:r>
    </w:p>
    <w:p>
      <w:pPr>
        <w:spacing w:after="0" w:line="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120" w:type="dxa"/>
            <w:vAlign w:val="bottom"/>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780" w:type="dxa"/>
            <w:vAlign w:val="bottom"/>
          </w:tcPr>
          <w:p>
            <w:pPr>
              <w:spacing w:after="0"/>
              <w:rPr>
                <w:sz w:val="15"/>
                <w:szCs w:val="15"/>
                <w:color w:val="auto"/>
              </w:rPr>
            </w:pPr>
          </w:p>
        </w:tc>
        <w:tc>
          <w:tcPr>
            <w:tcW w:w="212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780" w:type="dxa"/>
            <w:vAlign w:val="bottom"/>
          </w:tcPr>
          <w:p>
            <w:pPr>
              <w:spacing w:after="0"/>
              <w:rPr>
                <w:sz w:val="12"/>
                <w:szCs w:val="12"/>
                <w:color w:val="auto"/>
              </w:rPr>
            </w:pPr>
          </w:p>
        </w:tc>
        <w:tc>
          <w:tcPr>
            <w:tcW w:w="134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2"/>
                <w:szCs w:val="12"/>
                <w:color w:val="auto"/>
              </w:rPr>
            </w:pPr>
          </w:p>
        </w:tc>
        <w:tc>
          <w:tcPr>
            <w:tcW w:w="134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5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3.69%</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4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5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4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shares of restricted stock units with service-based and performance-based vesting conditions. A summary of restricted stock activity during the nine months ended September 30, 2025 is as follows: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9"/>
        </w:trPr>
        <w:tc>
          <w:tcPr>
            <w:tcW w:w="536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536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749,604</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(278,130)</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(154,235)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80" w:type="dxa"/>
            <w:vAlign w:val="bottom"/>
          </w:tcPr>
          <w:p>
            <w:pPr>
              <w:spacing w:after="0"/>
              <w:rPr>
                <w:sz w:val="18"/>
                <w:szCs w:val="18"/>
                <w:color w:val="auto"/>
              </w:rPr>
            </w:pPr>
          </w:p>
        </w:tc>
      </w:tr>
      <w:tr>
        <w:trPr>
          <w:trHeight w:val="209"/>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September 30, 2025</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1,366,012</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-574040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-574040</wp:posOffset>
            </wp:positionV>
            <wp:extent cx="43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2025, the Company began granting restricted stocks units with performance-based vesting conditions, or performance stock units ("PSUs") under the Company’s 2020 Stock Option and Incentive Plan to certain key employees of the Company, including the Company’s executive officers and management team. The total number of PSUs that may vest will range from 0 to a maximum of 100% of the target number of options granted. The PSUs will vest in three separate installments based upon the achievement of three clinical milestones. The achievement of one clinical milestone will result in the vesting of 40% of the Target Amount, the achievement of a second clinical milestone will result in the vesting of 40% of the Target Amount and the achievement of third clinical milestones will result in the vesting of 20% of the Target Amount. None of the PSUs with respect to the clinical milestone objective may vest prior to the first anniversary of the grant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did not grant any restricted stock units with performance based vesting conditions. During the nine months ended September 30, 2025 and 2024, the Company granted 285,723 and zero restricted stock units, respectively with performance based vesting conditions. As of September 30, 2025, the Company has concluded that it is not deemed probable that the clinical milestone based performance conditions will be achieved, and as such, no stock based compensation has been recorded for PSUs.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granted 243,950 and 152,288 restricted stock units, respectively, with service based vesting conditions. During the nine months ended September 30, 2025 and 2024, the Company granted 763,050 and 396,272 restricted stock units, respectively with service based vesting conditions. As of September 30, 2025, the total unrecognized stock-based compensation expense for unvested restricted stock was $31.3 million with a weighted average recognition period of 2.8 years.</w:t>
      </w:r>
    </w:p>
    <w:p>
      <w:pPr>
        <w:spacing w:after="0" w:line="11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recognized approximately $2.8 million of expense for restricted stock of which $2.3 million and $0.5 million was recorded in research and development and general and administrative expense, respectively. During the nine months ended September 30, 2025 the Company recognized approximately $8.0 million of expense for restricted stock of which $5.8 million and $2.2 million was recorded in research and development and general and administrative expense, respectively. During the three months ended September 30, 2024 the Company recognized approximately $2.3 million of expense for restricted stock of which $1.5 million and $0.8 million was recorded in research and development and general and administrative expense, respectively. During the nine months ended September 30, 2024 the Company recognized approximately $5.6 million of expense for restricted stock of which $3.6 million and $2.0 million was recorded in research and development and general and administrative expense, respectively.</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recorded as research and development and general and administrative expenses for employees, directors, and non-employees during the three and nine months ended September 30, 2025 and 2024 is as follows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6"/>
              </w:rPr>
              <w:t>23,943</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6"/>
              </w:rPr>
              <w:t>21,508</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20,269</w:t>
            </w:r>
          </w:p>
        </w:tc>
        <w:tc>
          <w:tcPr>
            <w:tcW w:w="100" w:type="dxa"/>
            <w:vAlign w:val="bottom"/>
          </w:tcPr>
          <w:p>
            <w:pPr>
              <w:spacing w:after="0"/>
              <w:rPr>
                <w:sz w:val="18"/>
                <w:szCs w:val="18"/>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6"/>
              </w:rPr>
              <w:t>45,451</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41,213</w:t>
            </w:r>
          </w:p>
        </w:tc>
        <w:tc>
          <w:tcPr>
            <w:tcW w:w="100" w:type="dxa"/>
            <w:vAlign w:val="bottom"/>
            <w:shd w:val="clear" w:color="auto" w:fill="CFF0FC"/>
          </w:tcPr>
          <w:p>
            <w:pPr>
              <w:spacing w:after="0"/>
              <w:rPr>
                <w:sz w:val="18"/>
                <w:szCs w:val="18"/>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-7620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Related-Party Transactions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2025 Follow-on offering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Company’s 2025 follow-on public offering, Jefferies LLC (“Jefferies”) acted as one of the underwriters in the syndicate of underwriters. John Maraganore is a member of the Company’s Board of Directors and is affiliated with Jefferies. In connection with its participation in the offering, Jefferies received customary underwriting discounts and commissions. The total underwriting commission paid to Jefferies through September 30, 2025 was approximately $2.4 million.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Concurrently with the June 2025 follow-on offering, the Company entered into a registration rights agreement (the “Registration Rights Agreement”) with Baker Brothers Life Sciences, L.P. and 667, L.P. (collectively, the “BBA Funds”), entities affiliated with Atlas Venture (“Atlas”) and entities affiliated with BVF Partners L.P. (“BVF” and, together with the BBA Funds and Atlas, the “Affiliated Entities”), all of which are considered related parties given their affiliation with certain members of the Company's Board of Directors.</w:t>
      </w:r>
    </w:p>
    <w:p>
      <w:pPr>
        <w:spacing w:after="0" w:line="11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Among other things, the Registration Rights Agreement provides the Affiliated Entities with certain “resale” registration rights. The Registration Rights Agreement provides that, subject to certain limitations, upon written request from the Affiliated Entities, beginning on February 28, 2026 the Company will be required to file a registration statement covering the resale of the registrable securities held by the Affiliated Entities. Furthermore, the Affiliated Entities will be entitled to include their registrable securities in a registration statement filed by the Company in connection with a public offering. The Registration Rights Agreement also requires the Company to pay certain expenses relating to such registrations and to indemnify the Affiliated Entities against certain liabilities.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Jefferies Open Market Sale Agreement</w:t>
      </w:r>
      <w:r>
        <w:rPr>
          <w:rFonts w:ascii="Times New Roman" w:cs="Times New Roman" w:eastAsia="Times New Roman" w:hAnsi="Times New Roman"/>
          <w:sz w:val="24"/>
          <w:szCs w:val="24"/>
          <w:i w:val="1"/>
          <w:iCs w:val="1"/>
          <w:color w:val="auto"/>
          <w:vertAlign w:val="superscript"/>
        </w:rPr>
        <w:t>SM</w:t>
      </w:r>
    </w:p>
    <w:p>
      <w:pPr>
        <w:spacing w:after="0" w:line="6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8"/>
          <w:szCs w:val="18"/>
          <w:color w:val="auto"/>
        </w:rPr>
        <w:t>On October 31, 2024, prior to Dr. Maraganore joining Jefferies,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“Jefferies Sales Agreement”) with Jefferies, pursuant to which the Company may offer and sell shares of its common stock having aggregate gross proceeds of up to $300.0 million from time to time in “at-the-market” offerings through Jefferies, as its sales agent. The Company agreed to pay Jefferies a commission of up to 3.0% of the gross proceeds of any shares sold by Jefferies under the Jefferies Sales Agreement. As of September 30, 2025, the Company has not sold any shares of its common stock under the Jefferies Sales Agreement.</w:t>
      </w:r>
    </w:p>
    <w:p>
      <w:pPr>
        <w:spacing w:after="0" w:line="9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the aforementioned items, the Company had no related party transactions for the periods presented in the accompanying consolidated financial statements, which have not otherwise been discussed in these notes to the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taxes for the three and nine months ended September 30, 2025 and 2024 have been calculated based on an estimated annual effective tax rate and certain discrete items. The Company recorded immaterial income tax expense related to investment income for the three and nine months ended September 30, 2025 and 2024.</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stock outstanding for the period. The Company had 15,815,253 and 15,159,753 pre-funded warrants outstanding as of September 30, 2025 and 2024, respectively. Each pre-funded warrant is exercisable for one share of common stock at an exercise price of $0.0001 per share. Due to the nominal exercise price of the pre-funded warrants, they are considered to be outstanding shares of common stock for purposes of the calculation of earnings per share. (in thousands, except for share and per share data):</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(82,175)</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(62,487)</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(224,370)</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71,485,033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62,971,764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67,270,902</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61,492,070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pre-funded warrants outstanding,</w:t>
            </w:r>
          </w:p>
        </w:tc>
        <w:tc>
          <w:tcPr>
            <w:tcW w:w="3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15,815,253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13,154,211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15,382,240</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11,838,268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weighted average common stock outstanding,</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87,300,286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76,125,975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82,653,142</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73,330,338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(0.94)</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(0.82)</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-591185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-591185</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-591185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-591185</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-170815</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September 30, 2025 and 2024 because including them would have had an anti-dilutive effect:</w:t>
      </w:r>
    </w:p>
    <w:p>
      <w:pPr>
        <w:spacing w:after="0" w:line="204"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1,366,012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783,295</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10,543,593</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9,623,568</w:t>
            </w:r>
          </w:p>
        </w:tc>
        <w:tc>
          <w:tcPr>
            <w:tcW w:w="80" w:type="dxa"/>
            <w:vAlign w:val="bottom"/>
          </w:tcPr>
          <w:p>
            <w:pPr>
              <w:spacing w:after="0"/>
              <w:rPr>
                <w:sz w:val="18"/>
                <w:szCs w:val="18"/>
                <w:color w:val="auto"/>
              </w:rPr>
            </w:pPr>
          </w:p>
        </w:tc>
      </w:tr>
      <w:tr>
        <w:trPr>
          <w:trHeight w:val="209"/>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11,909,605</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10,406,863</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segment and one operating segment, which is dedicated to reinventing the treatment of human disease through the development of innovative, highly differentiated medicines that address significant health problems and that meaningfully improve patients’ lives. The Company’s chief operating decision maker, or CODM, is the chief executive officer. The CODM assesses performance for the segment and decides how to allocate resources based on consolidated net loss that is also reported on the consolidated statements of operations.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 All material long-lived assets are located in the United States. Long-lived assets consist of property and equipment, net, and operating lease right-of-use assets.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net loss to monitor budget versus actual results and to analyze cash flows in assessing performance of the segment and allocating resources.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consolidated financial statements included in the Company's Annual Report on Form 10-K.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profit and loss, including significant expense categories, attributable to the Company’s reportable segment for the periods presented: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2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39,678</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STAT6</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12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60,151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24,704</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540"/>
              <w:spacing w:after="0" w:line="216" w:lineRule="exact"/>
              <w:rPr>
                <w:sz w:val="20"/>
                <w:szCs w:val="20"/>
                <w:color w:val="auto"/>
              </w:rPr>
            </w:pPr>
            <w:r>
              <w:rPr>
                <w:rFonts w:ascii="Times New Roman" w:cs="Times New Roman" w:eastAsia="Times New Roman" w:hAnsi="Times New Roman"/>
                <w:sz w:val="18"/>
                <w:szCs w:val="18"/>
                <w:color w:val="auto"/>
              </w:rPr>
              <w:t xml:space="preserve">Other external research and development expense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58,377</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32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compensation and related personnel expense </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12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56,266</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29,084</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General &amp; administrative </w:t>
            </w:r>
            <w:r>
              <w:rPr>
                <w:rFonts w:ascii="Times New Roman" w:cs="Times New Roman" w:eastAsia="Times New Roman" w:hAnsi="Times New Roman"/>
                <w:sz w:val="24"/>
                <w:szCs w:val="24"/>
                <w:color w:val="auto"/>
                <w:vertAlign w:val="superscript"/>
              </w:rPr>
              <w:t>(3)</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12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51,252</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Interest and other expense </w:t>
            </w:r>
            <w:r>
              <w:rPr>
                <w:rFonts w:ascii="Times New Roman" w:cs="Times New Roman" w:eastAsia="Times New Roman" w:hAnsi="Times New Roman"/>
                <w:sz w:val="24"/>
                <w:szCs w:val="24"/>
                <w:color w:val="auto"/>
                <w:vertAlign w:val="superscript"/>
              </w:rPr>
              <w:t>(4)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tcPr>
          <w:p>
            <w:pPr>
              <w:spacing w:after="0"/>
              <w:rPr>
                <w:sz w:val="18"/>
                <w:szCs w:val="18"/>
                <w:color w:val="auto"/>
              </w:rPr>
            </w:pP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(82,175)</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(62,487)</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(224,370)</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(153,106)</w:t>
            </w: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prior period amounts have been recast to conform with current period presentation.</w:t>
      </w:r>
    </w:p>
    <w:p>
      <w:pPr>
        <w:spacing w:after="0" w:line="26" w:lineRule="exact"/>
        <w:rPr>
          <w:rFonts w:ascii="Times New Roman" w:cs="Times New Roman" w:eastAsia="Times New Roman" w:hAnsi="Times New Roman"/>
          <w:sz w:val="16"/>
          <w:szCs w:val="16"/>
          <w:color w:val="auto"/>
        </w:rPr>
      </w:pPr>
    </w:p>
    <w:p>
      <w:pPr>
        <w:jc w:val="both"/>
        <w:ind w:firstLine="8"/>
        <w:spacing w:after="0" w:line="264"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compensation and related personnel expense for the three months ended September 30, 2025 and 2024 is inclusive of $8.4 and $7.6 million of stock-based compensation expense, respectively. Research and development compensation and related personnel expense for the nine months ended September 30, 2025 and 2024 is inclusive of $23.9 and $20.9 million of stock-based compensation expense, respectively.</w:t>
      </w:r>
    </w:p>
    <w:p>
      <w:pPr>
        <w:jc w:val="both"/>
        <w:ind w:firstLine="8"/>
        <w:spacing w:after="0" w:line="264"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 for the three months ended September 30, 2025 and 2024 is inclusive of $7.4 million and $7.3 million of stock-based compensation expense, respectively. General and administrative expense for the nine months ended September 30, 2025 and 2024 is inclusive of $21.5 million and $20.3 million of stock-based compensation expense, respectively.</w:t>
      </w:r>
    </w:p>
    <w:p>
      <w:pPr>
        <w:ind w:firstLine="8"/>
        <w:spacing w:after="0" w:line="288"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 for the three and nine months ended September 30, 2025 is inclusive of a $3.9 million impairment of long-lived assets. Other expense for the nine months ended September 30, 2024 is inclusive of a $4.9 million impairment of long-lived assets</w:t>
      </w:r>
    </w:p>
    <w:p>
      <w:pPr>
        <w:spacing w:after="0" w:line="1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2025 and 2024 was $2.1 million and $2.0 million, respectively. Depreciation expense for the nine months ended September 30, 2025 and 2024 was $5.4 million and $5.4 million, respectively. Amortization expense related to right-of-use assets during the three months ended September 30, 2025 and 2024 was $0.4 million and $0.3 million, respectively. Amortization expense related to right-of-use assets during the nine months ended September 30, 2025 and 2024 was $1.2 million and $1.1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reinventing the treatment of human disease through the development of innovative, highly differentiated medicines that address significant health problems and that meaningfully improve patients’ lives. We are committed to advancing novel technologies to address targets that have known disease-causing biology, but which have not been drugged, or have been inadequately drugged, often based on limitations of existing technologies. Our approach is intended to discover and develop a new generation of medicines in a disease-agnostic manner.</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leader in targeted protein degradation (TPD) a next-generation small molecule therapeutic modality that engages the body’s natural cellular recycling system to selectively eliminate disease-causing proteins. Our objective is to develop molecules that are both potent and highly selective, creating the potential for our medicines to uniquely address diseases that are poorly served by current treatment options. To date, we have progressed five programs into clinical development and expect to advance at least one new molecular entity into clinical testing annually. We intend to leverage our drug development expertise to become a fully integrated biopharmaceutical company with an industry-leading pipeline of novel medicines.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focus is primarily directed at high-value targets in immunology. We believe there are more than 160 million patients in the United States, Europe and Japan that are diagnosed with some of the most prevalent immune-inflammatory diseases that our programs have the potential to address, nearly half of whom remain untreated. Of those treated, most patients are treated with therapies that do not treat the underlying diseases but mostly their symptoms. As a result, only a small percentage of patients, which we believe to be approximately 3% of the diagnosed population with severe inflammatory diseases, are currently treated with systemic advanced therapies, mostly injectable biologics. While generally efficacious, biologics have drawbacks. Biologics tend to be more expensive to manufacture, and the cost is typically passed on to patients and payors. Patient access to therapy can also be a challenge, as biologics are more complex to prescribe and reimburse than small molecule medicines. Additionally, biologics are administered as injections, a less preferred route of administration for patients as compared to oral medications, which offer greater flexibility for patients. We believe we have the potential to deliver a compelling value proposition to a significant underserved patient population: small molecule medicines with biologics-like activity through the convenience of oral administration of a pill.</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publicly disclosed immunology programs target STAT6, IRF5 and IRAK4, each of which addresses targets within validated pathways, providing the opportunity to treat a broad range of diseases. We are developing KT-621 as part of our STAT6 program, and recently completed dosing in the BroADen Phase 1b trial and initiated the BroADen2 Phase 2b clinical trial, both in patients with moderate to severe Atopic Dermatitis (AD). In May 2025, we announced KT-579, our lead molecule in our IRF5 program, which recently completed IND-enabling studies. We are collaborating with Sanofi S.A. (“Sanofi”) on the development of drug candidates targeting IRAK4, including our IRAK4 degrader, KT-485/SAR447971, which Sanofi plans to advance into clinical testing in 2026. In June 2025, we announced a strategic collaboration with Gilead Sciences, Inc. (“Gilead”) to develop novel oral molecular glue degraders for cyclin-dependent kinase 2 (CDK2). In May 2025 we announced our strategic decision not to advance our TYK2 degrader, KT-295, into clinical development, even though we completed IND-enabling activities with no adverse findings in any of our studies, to dedicate more human and capital resources to our other immunology programs, as well as to extend our cash runway. Our additional pipeline programs focus on addressing high impact targets that have been elusive to conventional modalities and that drive the pathogenesis of multiple serious diseases with significant unmet medical needs.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immunology focus, we also have research initiatives in other therapeutic areas. Additionally, we believe many of our key discovery and development capabilities have broad applicability, creating an opportunity for us to develop impactful therapeutics leveraging small-molecule modalities in addition to TPD.</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$2.06 billion from sales of our convertible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preferred stock, the sale of common stock including our August 2020 initial public offering, or IPO, and concurrent private placement, our subsequent follow-on offerings and private placement offering, our prior sales agreement with Cowen and through our corporate collaborations.</w:t>
      </w:r>
    </w:p>
    <w:p>
      <w:pPr>
        <w:spacing w:after="0" w:line="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$223.9 million and $147.0 million for the years ended December 31, 2024 and 2023, respectively. We reported net losses of $82.2 million and $62.5 million for the three months ended September 30, 2025 and 2024, respectively and $224.4 million and $153.1 million for the nine months ended September 30, 2025 and 2024, respectively. In addition, as of September 30, 2025 and December 31, 2024, we had an accumulated deficit of $979.0 million and $754.6 million, respectively. We expect that our expense and capital requirements will increase substantially in connection with our ongoing activities, particularly if and as we:</w:t>
      </w:r>
    </w:p>
    <w:p>
      <w:pPr>
        <w:spacing w:after="0" w:line="324"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3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we had cash, cash equivalents and marketable securities of $978.7 million. We believe the existing cash, cash equivalents and marketable securities on hand will be sufficient to fund our operations into the second half of 2028, beyond multiple clinical inflection points in our pipeline. We have based this estimate on assumptions that may prove to be wrong, and we could exhaust our available capital resources sooner than we expect. See “Liquidity and capital resources”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Our only revenues have been derived from research collaboration arrangements with Vertex and Sanofi. We expect that our revenue for the next several years will be derived primarily from our current collaboration agreements and any additional collaborations that we may enter into in the future. To date, we have not received any royalties under any of the collaboration agreements.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25, 2025, the Company entered into an exclusive option and license agreement (the “Gilead Agreement”) with Gilead Sciences, Inc. (“Gilead”), to jointly collaborate on developing novel molecular glue degraders directed against cyclin-dependent kinase 2 (“CDK2”). Under the Gilead Agreement, the Company granted to Gilead an exclusive option, exercisable during a defined option period, to exercise an exclusive, worldwide license to develop, manufacture, and commercialize certain CDK2 degraders generated under the collaboration.</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Gilead Agreement, the Company is responsible for all discovery and preclinical research activities through the delivery of a complete data package as defined in the agreement. If Gilead exercises its option to license the program, Gilead will have global rights to develop, manufacture and commercialize all products resulting from the collaboration.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Gilead does not exercise the option during the option period defined in the agreement, then the Gilead Agreement will terminate. Following option exercise, the Gilead Agreement will expire on a product-by-product and country-by-country basis upon the expiration of all royalty obligations under the agreement. Gilead may terminate the agreement for convenience upon advance written notice. Each party may also terminate the agreement for material breach, insolvency, and the agreement may be terminated for certain other customary reasons, including Gilead’s right to terminate certain provisions of the agreement following a change of control of the Company.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consideration for the exclusive option and rights granted under the Gilead Agreement, the Company received a non-refundable upfront payment of $40.0 million. In addition, if Gilead exercises the option, the Company is entitled to receive an option exercise payment of $45.0 million and will be eligible to receive up to $665.0 million upon the achievement of certain development, regulatory and commercial milestones. The Company is also eligible to receive tiered royalties on net sales by Gilead ranging from high single-digit to mid-teen percentages, subject to customary reductions in certain circumstances.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exclusive option, or Opt-In Right, exercisable on a collaboration-target-by-collaboration-target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We will further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eligible to receive tiered royalties on net sales ranging from the high single digits to high teens, subject to low-single digits upward adjustments in certain circumstances.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In the first quarter of 2025, the Company achieved a development milestone related to certain preclinical activities associated with the IRAK4 program. In connection with this milestone the Company unconstrained $20.0 million of consideration in the first quarter of 2025.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2025, Sanofi communicated its decision to exercise its full participation election under the terms of the companies’ collaboration agreement, and to advance our next-generation IRAK4 degrader, KT-485/SAR447971, into clinical testing. As a result, Sanofi intends to stop development of KT474. In connection with the IRAK4 program, the Company remains eligible to receive up to $975 million in development and commercial milestones upon the achievement of certain developmental or regulatory events and upon the achievement of certain net sales thresholds.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Collaboration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May 9, 2019, we entered into a collaboration agreement, or the Vertex Agreement, with Vertex, to advance small molecule protein degradation against up to six targets. Under the Vertex Agreement, Vertex was granted the exclusive option to license the rights to the product candidates developed through the collaboration at which point Vertex would control development and commercialization. Pursuant to the Vertex Agreement, we were responsible for discovery and preclinical research on the targets, and Vertex was responsible for development, manufacturing, and commercialization of the product candidates after it exercises its option to license. Vertex provided us with a non-refundable upfront payment of $50.0 million and purchased 3,059,695 shares of our Series B-1 Convertible Preferred Stock at $6.54 a share, pursuant to a separate, but simultaneously executed Share Purchase Agreement.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Vertex Agreement expired upon the completion of the initial research term on May 9, 2023.</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 parties, including contract research organizations, or CROs, and other third parties that conduct clinical trials and preclinical activities on our behalf;</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or CMOs, that are primarily engaged to provide drug substance and product for our preclinical research and development programs, nonclinical studies, clinical trials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clinical and nonclinical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insurance;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a future pandemic or similar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 and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and expense consists of interest earned on our invested cash balances and interest expense related to our financing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three months ended September 30, 2025 and 2024</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2025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1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74,094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95,285</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75,865</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8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(92,521)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(72,124)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(20,397)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34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960" w:type="dxa"/>
            <w:vAlign w:val="bottom"/>
            <w:tcBorders>
              <w:top w:val="single" w:sz="8" w:color="CFF0FC"/>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(82,175)</w:t>
            </w:r>
          </w:p>
        </w:tc>
        <w:tc>
          <w:tcPr>
            <w:tcW w:w="80" w:type="dxa"/>
            <w:vAlign w:val="bottom"/>
            <w:tcBorders>
              <w:top w:val="single" w:sz="8" w:color="CFF0FC"/>
            </w:tcBorders>
            <w:shd w:val="clear" w:color="auto" w:fill="CFF0FC"/>
          </w:tcPr>
          <w:p>
            <w:pPr>
              <w:spacing w:after="0"/>
              <w:rPr>
                <w:sz w:val="21"/>
                <w:szCs w:val="21"/>
                <w:color w:val="auto"/>
              </w:rPr>
            </w:pPr>
          </w:p>
        </w:tc>
        <w:tc>
          <w:tcPr>
            <w:tcW w:w="480" w:type="dxa"/>
            <w:vAlign w:val="bottom"/>
            <w:tcBorders>
              <w:top w:val="single" w:sz="8" w:color="CFF0FC"/>
            </w:tcBorders>
            <w:gridSpan w:val="2"/>
            <w:shd w:val="clear" w:color="auto" w:fill="CFF0FC"/>
          </w:tcPr>
          <w:p>
            <w:pPr>
              <w:jc w:val="right"/>
              <w:ind w:right="208"/>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gridSpan w:val="2"/>
            <w:shd w:val="clear" w:color="auto" w:fill="CFF0FC"/>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(62,487)</w:t>
            </w:r>
          </w:p>
        </w:tc>
        <w:tc>
          <w:tcPr>
            <w:tcW w:w="300" w:type="dxa"/>
            <w:vAlign w:val="bottom"/>
            <w:tcBorders>
              <w:top w:val="single" w:sz="8" w:color="CFF0FC"/>
            </w:tcBorders>
            <w:gridSpan w:val="2"/>
            <w:shd w:val="clear" w:color="auto" w:fill="CFF0FC"/>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(19,688)</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334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-1508125</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-1508125</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-1508125</wp:posOffset>
            </wp:positionV>
            <wp:extent cx="51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-933450</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-916305</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-1079500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-933450</wp:posOffset>
            </wp:positionV>
            <wp:extent cx="514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-916305</wp:posOffset>
            </wp:positionV>
            <wp:extent cx="51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revenues were $2.8 million for the three months ended September 30, 2025, all of which is attributable to our collaboration agreement with Gilead. Collaboration revenues were $3.7 million for the three months ended September 30, 2024, all of which is attributable to our collaboration agreement with Sanofi.</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STAT6</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17,353</w:t>
            </w:r>
          </w:p>
        </w:tc>
        <w:tc>
          <w:tcPr>
            <w:tcW w:w="6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74,094</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$74.1 million for the three months ended September 30, 2025, compared to $60.4 for the three months ended September 30, 2024. The increase of $13.7 million was primarily due to a $8.3 million increase in costs related to our STAT6 program, a $6.1 million increase in personnel, stock-based compensation, occupancy, and other internal costs due to increase investment in employee talent and facilities in the research and development functions partially offset by a $0.7 million decrease in costs related to our other clinical and preclinical programs.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$17.3 million for the three months ended September 30, 2025, compared to $15.5 million for the three months ended September 30, 2024. This increase of $1.8 million was primarily due to an increase in legal and professional service fees, personnel, facility, occupancy, and other expenses to support our growth. Stock based compensation expenses included in general and administrative expenses were $8.4 million and $7.6 million for the three months ended September 30, 2025 and 2024, respectively.</w:t>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$10.3 million for the three months ended September 30, 2025, compared to $9.6 million for the three months ended September 30, 2024. The $0.7 million decrease was primarily due to an increase in the cash and cash equivalents balances in the respective periods.</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Impairment on long-lived assets was $3.9 million for the three months ended September 30, 2025, compared to $0 for three months ended September 30, 2024. The increase of $3.9 million was the result of an incremental impairment charge taken on the 2019 Lease due to the continued worsening of market conditions for office and laboratory space in the area of the 2019 Lease.</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nine months ended September 30, 2025 and 2024</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2025 and 2024:</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Revenue—from related parties</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36,341</w:t>
            </w: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39,678</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232,737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0"/>
        </w:trPr>
        <w:tc>
          <w:tcPr>
            <w:tcW w:w="44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287,844</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220,558</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(251,503)</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(180,880)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(70,623)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(224,370)</w:t>
            </w:r>
          </w:p>
        </w:tc>
        <w:tc>
          <w:tcPr>
            <w:tcW w:w="64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(153,106)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(71,264)</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-590550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-590550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our collaboration agreements based on our pattern of performance related to the respective identified performance obligations, which is the period over which we will perform research services under each of the respective agreements.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revenues were $36.3 million for the nine months ended September 30, 2025, of which $2.8 million and $33.5 million were attributable to our collaboration agreements with Gilead and Sanofi, respectively. Collaboration revenues were $39.7 million for the nine months ended September 30, 2024, all of which is attributable to our collaboration agreement with Sanofi.</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disclosed prior to formal development candidate nomination):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60,151</w:t>
            </w:r>
          </w:p>
        </w:tc>
        <w:tc>
          <w:tcPr>
            <w:tcW w:w="76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24,704</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71,634</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58,377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34,622</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29,084</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232,737</w:t>
            </w:r>
          </w:p>
        </w:tc>
        <w:tc>
          <w:tcPr>
            <w:tcW w:w="76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168,431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$232.7 million for the nine months ended September 30, 2025, compared to $168.4 million for the nine months ended September 30, 2024. The increase of $64.3 million was primarily due to an increase of $35.4 million in costs related to our STAT6 program, an increase in costs of $15.6 million related to personnel, stock-based compensation, occupancy, and other internal costs in the research and development function, as well as an increase in costs of $13.3 million related to our other clinical and preclinical programs.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$51.3 million for the nine months ended September 30, 2025, compared to $47.2 million for the nine months ended September 30, 2024. The $4.1 million increase was primarily due to an increase in legal and professional service fees, personnel, facility, occupancy, and other expenses to support our growth. Stock based compensation expenses included in general and administrative expenses were $21.5 million and $20.3 million for the nine months ended September 30, 2025 and September 30, 2024, respectively.</w:t>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Impairment on long-lived assets was $3.9 million for the nine months ended September 30, 2025, compared to $4.9 million for nine months ended September 30, 2024. All long-lived impairment charges are a result of the occupancy of the 2021 Lease facility in February of 2024 and the corresponding exit and sublease efforts of the 2019 Lease facility.</w:t>
      </w:r>
    </w:p>
    <w:p>
      <w:pPr>
        <w:spacing w:after="0" w:line="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Other income, net was $27.1 million for the nine months ended September 30, 2025, compared to $27.7 million for the nine months ended September 30, 2024. The $0.6 million decrease was primarily due to the prevailing interests rates in the respective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received gross proceeds of $2.06 billion from sales of our convertible preferred stock, the sale of common stock including our August 2020 initial public offering, or IPO, and concurrent private placement, our follow-on offerings and private placement offering, our prior sales agreement with Cowen, and through our corporate collaborations. As of September 30, 2025, we had cash and cash equivalents and marketable securities of $978.7 million.</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2021, we entered into a sales agreement, or Cowen Sales Agreement, with Cowen, pursuant to which we were able to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As of September 30, 2025, we have sold 1,519,453 shares of common stock under the Sales Agreement resulting in gross proceeds of approximately $50 million. On October 30, 2024, Cowen acknowledged and accepted our prior written notice to terminate the Cowen Sales Agreement, which termination was effective on October 30, 2024. As a result of such termination, we will not offer or sell any additional shares of common stock under the Cowen Sales Agreement.</w:t>
      </w:r>
    </w:p>
    <w:p>
      <w:pPr>
        <w:spacing w:after="0" w:line="87"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Jefferies Sales Agreement, with Jefferies LLC, or Jefferies, pursuant to which we may offer and sell shares of our common stock having aggregate gross proceeds of up to $300.0 million from time to time in “at-the-market” offerings through Jefferies, as our sales agent. We agreed to pay Jefferies a commission of up to 3.0% of the gross proceeds of any shares sold by Jefferies under the Sales Agreement. As of September 30, 2025, we have not sold any shares of common stock under the Jefferies Sales Agreement.</w:t>
      </w: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46"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(166,144)</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285,494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606,086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Operating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operating activities was $166.1 million, primarily resulting from our net loss of $224.4 million during the period partially offset by a $9.5 million net increase in other operating assets and liabilities primarily driven by changes in contract assets, deferred revenue, accounts payable, accrued expenses and operating lease liabilities as well as adjustments for non-cash items of $48.8 million (primarily consisting of stock-based compensation, lease impairment, depreciation &amp; amortization and premiums &amp; discounts on available-sale-securities).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operating activities was $132.7 million, primarily resulting from our net loss of $153.1 million during the period and the $34.6 million change in deferred revenue related to our collaboration agreements. These were offset by a $14.2 million net decrease in other operating assets and liabilities primarily driven by changes in accounts receivable, accounts payable, accrued expenses and operating lease liabilities and adjustments for non-cash items of $40.8 million (primarily consisting of stock-based compensation, lease impairment charge, depreciation &amp; amortization and premiums &amp; discounts on available-sale-securities).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Investing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investing activities was $126.7 million comprised of purchases of marketable securities of $509.5 million and purchases of property and equipment of $1.3 million, partially offset by maturities of marketable securities of $384.1 million.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investing activities was $472.6 million comprised of purchases of marketable securities of $822.8 million and purchases of property and equipment of $11.9 million, partially offset by maturities of marketable securities of $362.1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financing activities was $285.5 million, consisting of $272.7 million in proceeds from the issuance of common stock and accompanying pre-funded warrants, net of offering costs, $12.8 million in proceeds from the exercise of employee stock options, $1.1 million of proceeds from our employee stock purchase plan, partially offset by finance lease payments of $1.1 million.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financing activities was $606.1 million, consisting of $547.9 million in proceeds from issuance of common stock and accompanying pre-funded warrants, net of offering costs, $48.7 million in proceeds from the issuance of common stock through an Sales Agreement, net of issuance costs, $9.6 million in proceeds from the exercise of employee stock options, $1.1 million from proceeds from the employee stock purchase plan, partially offset by finance lease payments of $1.3 million.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2"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maintaining or acquiring operating space;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approved product candidates, including product pricing, as well as product coverage and the adequacy of reimbursement by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the existing cash, cash equivalents and marketable securities of $978.7 million as of September 30, 2025 will enable us to fund our operating expenses and capital expenditure requirements into the second half of 2028. We have based this estimate on assumptions that may prove to be wrong, and we could exhaust our available capital resources sooner than we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9" w:name="page40"/>
    <w:bookmarkEnd w:id="39"/>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had outstanding pre-funded warrants to purchase 15,815,253 shares of common stock, each with an exercise price of $0.0001 per share. These warrants can be exercised at any time at the discretion of the holders, subject to certain ownership limitations. While the potential exercise of these pre-funded warrants would result in the issuance of additional shares, thus increasing the total shares outstanding, their nominal exercise price means they are already considered outstanding for purposes of calculating the Company’s weighted average common stock outstanding and earnings per share. Due to the minimal exercise price, the Company doesn't anticipate significant additional cash proceeds upon exercise and consequently does not expect the exercise of these warrants to materially affect its liquidity, capital resources, or overall financial condition.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contractual obligations and commitments described under “Management’s Discussion and Analysis of Financial Condition and Results of Operations” in our Annual Report on Form 10-K for the fiscal year ended December 31, 2024.</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nine months ended September 30, 2025, there were no material changes to our critical accounting policies from those described in our Annual Report Form 10-K filed with the SEC on February 27, 2025.</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September 30, 2025, we had no significant liabilities denominated in foreign currencies.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13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September 30, 2025,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activities,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company and that may make it difficult for our stockholders to evaluate the success of our business to date and to assess our future viability.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Phase 1 clinical trials of our product candidates. We have never generated any revenue from drug sales. We have not obtained regulatory approvals for any of our current product candidates.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developments relating to macroeconomic conditions. We will need to transition from a company with a research and development focus to a company capable of supporting late-stage development and commercial activities. We may not be successful in such a transition.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To date, we have financed our operations primarily through the issuance and sale of our convertible preferred stock to outside investors, collaborators in private equity financings, upfront payments under our collaborations and sales of our common stock in our initial public offering, or IPO, and multiple public and private offerings of common stock and our at-the market sales program. As of September 30, 2025, our cash and cash equivalents and marketable securities were $978.7 million. We have incurred net losses in each year since our inception, and we had an accumulated deficit of $979.0 million as of September 30, 2025. For the years ended December 31, 2024, 2023 and 2022, we reported net losses of $223.9 million, $147.0 million and $154.8 million, respectively. We reported net losses of $82.2 million and $224.4 million for the three and nine months ended September 30, 2025 respectively, and $62.5 million and $153.1 million for the three and nine months ended September 30, 2024,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We expect our expenses to significantly increase in connection with our ongoing activities, as we:</w:t>
      </w:r>
    </w:p>
    <w:p>
      <w:pPr>
        <w:spacing w:after="0" w:line="8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FDA, for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2" w:name="page43"/>
    <w:bookmarkEnd w:id="42"/>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Future Financial Condition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we exercise our opt-in rights with collaborators or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2025 we had approximately $978.7 million of cash and cash equivalents and marketable securities, which we expect will be sufficient to fund our operations into the second half of 2028.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72" w:lineRule="exact"/>
        <w:rPr>
          <w:sz w:val="20"/>
          <w:szCs w:val="20"/>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existing or additional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current or future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current or future product candidates.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We are subject to the reporting requirements of the Securities Exchange Act of 1934, as amended, or the Exchange Act, the Sarbanes-Oxley Act of 2002, as amended, or Sarbanes-Oxley Act, and the Dodd-Frank Wall Street Reform and Consumer Protection Act, or the Dodd-Frank Act. For example, the Exchange Act requires, among other things, that we file with the Securities and Exchange Commission, or the SEC, annual, quarterly and current reports with respect to our business and financial condition. These reporting requirements continue to evolve, which has created uncertainty for public companies like us and accommodating these evolving standards may require increased legal and financial compliance costs and make some activities more time-consuming and costly.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requirements divert the attention of our management and personnel from other business concerns, they could have a material adverse effect on our business, financial condition and results of operations. It may be more difficult and more expensive for us to obtain director and officer liability insurance in the future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then, additional financial institutions have experienced similar failures and have been placed into receivership. If other banks and financial institutions enter receivership or become insolvent in the future in response to financial conditions affecting the banking system and financial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markets, then our ability to access our cash, cash equivalents and marketable securities may be threatened, which could have a material adverse effect on our business and financial condition.</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Preclinical and Clinical Development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STAT6 program is in early clinical development with additional programs in preclinical development. If we are unable to advance our programs into and through the clinic for safety or efficacy reasons or commercialize our product candidates or experience significant delays in doing so, our business will be materially harmed.</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can advance and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75"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ongoing or planned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timing of IND clearances of current and future product candidates, and/or clinical trial costs for current and future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completion of all safety studies required to obtain U.S. and foreign marketing approval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novel and unproven, which makes it difficult to predict the time, cost of development and likelihood of successfully developing any products.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utilize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expertise in TPD will result in the development and marketing approval of any products. Any development problems we experience in the future related to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apply our expertise in TPD,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We are currently focused on our immunology portfolio, consisting of our STAT6, IRF5 and IRAK4 programs, which target key signaling pathways implicated in multiple inflammatory and autoimmune diseases, as well our CDK2 program in oncology. In some instances, we may decide to discontinue our investment in programs. For example, in May 2025 we made the strategic decision to not advance KT-295 (TYK2) into further clinical development. Additionally, in June 2025, we announced our partner Sanofi’s decisions to discontinue the development of KT-474 (IRAK4) in order to prioritize the development of a second generation IRAK4 degrader, KT-485. As a result, we or our collaborators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2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including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For example, the preclinical and manufacturing data we submit to obtain authorization to proceed into human clinical trials may not be accepted initially or at all by a government authority, which could result in a clinical hold on a product candidate. Clinical holds can delay clinical trial initiation and, even if successfully resolved, could occur at any time during clinical development as new data or information emerges. 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75" w:lineRule="exact"/>
        <w:rPr>
          <w:sz w:val="20"/>
          <w:szCs w:val="20"/>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the number, design, size, conduct or implementation of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require that we conduct additional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approve the formulation, labeling or specifications of any of our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accept data generated at our preclinical studies and clinical trial sites;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be delayed in its review processes due to staffing or other constraints;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delays in trial initiation, including due to clinical holds or site activation delays,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 for the indications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subjects, principal investigators or staff or clinical site availability.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There can be no assurance that the final topline data from our trials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of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Positive results from our preclinical studies of our current or future product candidates, and any positive results we may obtain from our early clinical trials of our current or future product candidates, including the preclinical results to support an IND submission for KT-579 in 2025 and ongoing clinical trial of KT-621 and planned clinical trials of KT-485 and KT-579,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and/or clinical trials of our current or future product candidates, including KT-621 and KT-579, may not be replicated in subsequent preclinical studies or clinical trials. In particular, while we have conducted certain preclinical studies of KT-621 and KT-579, we do not know whether any of these product candidates will perform in our planned clinical trials as it has performed in these prior preclinical studies. For example, in preclinical studies KT-621 demonstrated full inhibition of IL-4/IL-13 pathway in all relevant human cell contexts with picomolar potency that was superior to dupilumab, and equivalent or superior activity to dupilumab.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our planned or future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KT-621 for a broad set of immunology indications, with potential indications to include AD, asthma, COPD, CRSwNP, EoE, PN and others. We are developing KT-579 for immunology indications, with potential indications to include lupus, Sjögren's, IBD, RA and others.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Infectious diseases may also affect research activities and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affect on the operations of our third-party manufacturers and the supply chain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Legislative proposals have previously been considered that, if enacted, would have negatively impacted U.S. companies and institutions that accept U.S. funding for projects that utilize biotechnology equipment and services produced or provided by certain biotechnology providers having relationships with foreign adversaries and which pose a threat to national security. This includes proposed legislation previously pending in the U.S. Senate and House of Representatives; and while similar proposals are not currently pending, there remains a continued policy interest in limiting U.S. companies’ relationships with biotechnology providers with relationships with foreign adversaries. The potential downstream adverse impacts on entities having only commercial relationships with any impacted biotechnology providers is unknown but may include supply chain disruptions or delays. Though we do not currently receive U.S. government funding, we regularly evaluate steps to mitigate any potential impact of any future stricter legislation towards foreign entities providing services to U.S. based companies. Depending on the terms of any final legislation or administrative actions that may be enacted, these steps could result in additional costs and potential delays in development timelines resulting from related transition efforts.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there have been, and may continue to be, significant changes to U.S. trade policies, sanctions, legislation, treaties, and tariffs, including, but not limited to, trade policies and tariffs affecting products from outside of the U.S. The extent and duration of increased tariffs and the resulting impact on general economic conditions and on our business are not known and depend on various factors, such as negotiations between the U.S. and affected countries, their respective responses, potential exemptions or exclusions, and availability and cost of alternative sources of supply. Supply chain disruptions and delays could also negatively impact our cost of materials and production processes. If we are unable to obtain these materials in sufficient quantity and in a timely manner, the development, testing, and our clinical trials and any future product candidates may be delayed or infeasible, and regulatory approval or commercial launch may be delayed or not obtained, which could significantly harm our business.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 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 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The U.S. Supreme Court’s decision in July 2024 to overturn established case law giving deference to regulatory agencies’ interpretations of ambiguous statutory language has introduced uncertainty regarding the extent to which FDA’s regulations, policies and decisions may become subject to increasing legal challenges, delays or changes. Our current or future product candidates could be delayed in receiving, or fail to receive, regulatory approval for many reasons, including the following:</w:t>
      </w:r>
    </w:p>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is substantial uncertainty as to whether and how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 current or future product candidates,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seek approval of KT-621, KT-579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or our collaborators may seek accelerated approval of KT-621, KT-579,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current or future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criteria for orphan designation in the European Union are similar in principle to the U.S. For more information, please see the section of our Annual Report on Form 10-K, filed with the SEC on February 27, 2025, titled “Business - Government Regulation - Government Regulation of Drugs Outside of the United States” In the European Union, orphan designation entitles a party to financial incentives such as reduction of fees or fee waivers.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U.S. and ten years in the European Union.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staffing and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Currently, federal agencies in the U.S. are operating under a federal government shutdown due to the expiration of the continuing resolution that expired on September 30, 2025. The duration of the current government shutdown is unknown. In addition, the current U.S. administration is focused on reducing costs of the federal government generally, including significantly reducing the number of government employees. Without appropriation of additional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These changes have been reported by some within the pharmaceutical industry as creating instances of in delays in the FDA’s responsiveness or in its ability to review IND submissions or applications, issue regulations or guidance, or implement or enforce regulatory requirements in a timely fashion or at all.</w:t>
      </w:r>
    </w:p>
    <w:p>
      <w:pPr>
        <w:spacing w:after="0" w:line="180"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If the current U.S. federal government shutdown is prolonged or if the FDA, NIH, SEC or the USPTO experiences significant decreases in funding or personnel, it could significantly impact the ability of the FDA to issues licenses needed for conduct of our clinical trials, the NIH to conduct research or provide grants, and the abilities of the FDA and the USPTO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There is substantial uncertainty as to whether and how the new administration will seek to modify or revise the requirements and policies of the FDA and other regulatory agencies with jurisdiction over our product candidates and any products for which we obtain approval. Additionally, the new administration could also issue or promulgate executive orders, regulations, policies or guidance that adversely affect us or create a more challenging or costly environment to pursue the development of new therapeutic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Foreign Regulatory Approval and Foreign Markets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79" w:lineRule="exact"/>
        <w:rPr>
          <w:sz w:val="20"/>
          <w:szCs w:val="20"/>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that obtaining regulatory approvals outside of the U.S. may take longer and be more costly than obtaining approval in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current or future product candidates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Foreign sales of our current or future product candidates could also be adversely affected by the imposition of governmental controls, political and economic instability, trade restrictions and changes in tariffs (including tariffs that have been or may in the future be imposed by the United States or other countries).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in the future choose to conduct one or more clinical trials outside the U.S., including in Europe and other geographies.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 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Compliance with Healthcare and Other Regulations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product candidates, even if our product candidates obtain marketing approval. For more information, please see the section of our Annual Report on Form 10-K, filed with the SEC on February 27, 2025, entitled, “Business - Government Regulation - Other Healthcare Laws” and the section of our Annual Report entitled, “Business - Government Regulation - Current and Future Healthcare Reform Legislation”.</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legislative reform measures may have a material adverse effect on our business and results of operations.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For more information, please see the section of our Annual Report on Form 10-K, filed with the SEC on February 27, 2025, entitled, “Business - Government Regulation - Current &amp; Future Healthcare Reform Legislation.”</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Most recently, the current Administration has issued several Executive Orders on drug pricing. On April 15, 2025, the administration published Executive Order 14273, “Lowering Drug Prices by Once Again Putting Americans First,” which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current Administration also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The Executive Order also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government to take steps to ensure foreign countries are also not engaged in suppressing the price of drug products. Notably, a similar “Most Favored Nation” pricing rule enacted under a former Administration was subject to an injunction resulting from judicial challenges to the rule, which was formally rescinded by a former Administration in August 2021. We do anticipate that the current Administration and Congress will continue to propose and implement policies that will have the intended effect of decreasing pharmaceutical prices in the United States.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FDA announced in July 2025 a fast-track priority review voucher for drugs whose manufacturers commit to setting a price in line with drug pricing offered in economically similarly situated countries around the world. The effects of these proposals and how these proposals will be implemented are not yet known.</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the Inflation Reduction Act of 2022 was recently revised to broaden the exemption from the drug price negotiation program for drugs with orphan designations. Previously under the IRA, orphan drugs were exempted from the Medicare drug price negotiation program; but this exemption was restricted to drugs with only one orphan designation and for which the only approved indication is for that rare disease or condition. If a product were to receive multiple orphan designations or had multiple approved indications, it would not have qualified for the orphan drug exemption. Under the One Big Beautiful Bill Act of 2025, this restriction was eliminated; and effective for the 2028 initial price applicability year, all orphan drugs, regardless of the number of orphan designations or indications, are exempt from the Medicare drug price negotiation program, provided that all approved indications are for rare diseases.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For more information, please see the section of our Annual Report on Form 10-K, filed with the SEC on February 27, 2025, entitled “Business - Government Regulation - Other Regulatory Matters - Other Healthcare Laws.”</w:t>
      </w:r>
    </w:p>
    <w:p>
      <w:pPr>
        <w:spacing w:after="0" w:line="19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the Bribery Act 2010 in the U.K.. Infringement of these laws could result in substantial fines and imprisonment. Payments made to physicians in certain EU Member States must be publicly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patent protection and establish collaborative arrangements for research, development, manufacturing and commercialization of new drugs.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Companies developing small molecule protein degraders therapies for patients, include, but are not limited to, Arvinas, Inc., C4 Therapeutics, Inc., Nurix Therapeutics, Inc., and Foghorn Therapeutics, Inc. Further, several large pharmaceutical companies have disclosed preclinical investments in this field. In particular, several pharmaceutical companies have announced partnerships around programs targeting STAT6, including Sanofi, Johnson &amp; Johnson and Gilead.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IRF5, and CDK2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we will need to increase our insurance coverage when we begin later stage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laboratories, contract manufacturing organizations and strategic partners to help conduct or otherwise support our preclinical studies and clinical trials for our current product candidates, and we expect to rely on such third parties for our future product candidates. We do not have the ability to independently conduct clinical trials. We rely heavily on external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requirements through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18"/>
          <w:szCs w:val="18"/>
          <w:color w:val="auto"/>
        </w:rPr>
        <w:t>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the Phase 1 trials of KT-621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fail to comply with regulatory requirements, or if they need to be replaced, any clinical trials such CROs are associated with may be extended, delayed or terminated,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 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We rely on and expect to continue to rely on our suppliers to develop our current or future product candidates, and to ultimately supply our commercial drugs in quantities sufficient to meet the market demand. We do not currently have arrangements in place for a second-source supply of all drug product or drug substance.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Regional or single-source dependencies may in some cases accentuate these risks. For example, the pharmaceutical industry generally and in some instances we or our collaborators or other third parties on which we rely on depend on China-based suppliers or services providers for certain raw materials, products and services and other activities. Our ability or the ability of our collaborators or such other third parties to continue to engage these China-based suppliers or service providers for certain preclinical research programs and clinical development programs could be restricted due to developments between the United States and China, including as a result of the escalation of tariffs or other trade restrictions, or if the previously proposed federal legislation known as the BIOSECURE Act or a similar law were to be enacted. Although the BIOSECURE Act was not passed, in October 2025, versions of the National Defense Authorization Act of 2026 passed in each respective chamber of Congress and both included an amendment that would effectively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implement federal government contracting, loan, and grant restrictions similar to the BIOSECURE Act. This 2025 version of the BIOSECURE Act does not identify any specific companies by name in the legislative text.</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Recently, there has been legislation proposed that, if enacted, could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 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It may be difficult for us to assess their ability to timely meet our demand in the future based on past performance.</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 collaboration and licensing arrangement with Sanofi with respect to our IRAK4 program and Gilead with respect to our CDK2 program and we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the company in a timely manner.</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we granted our collaboration partner Gilead an exclusive option for an exclusive license with respect to our CDK2 program, and future payments under our licensing arrangement with Gilead are contingent upon Gilead’s exercise of this option. In addition, Sanofi has significant discretion in determining the efforts and resources that it will apply to advance clinical trials of KT-485. 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TPD expertise, and our STAT6, IRAK4, IRF5, and CDK2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own patent applications and patents related to our TPD technology and our novel bifunctional degrader compounds, including claims to compositions of matter, pharmaceutical compositions, methods of use, methods of treatment, and other related methods.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TPD expertise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8"/>
          <w:szCs w:val="18"/>
          <w:color w:val="auto"/>
        </w:rPr>
        <w:t>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in other countries.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our TPD expertise, or other technologies in all countries. Filing, prosecuting and defending patents on current or future product candidates, our TPD expertise,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our TPD expertise,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current or future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Patent Protection</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Trademarks, Trade Names and Trade Secrets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or impediments to building our product brand recognition.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during the trademark registration process, we may receive Office Actions from the USPTO or from comparable agencies in foreign jurisdictions refusing registration of our trademarks.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Litigation and Infringement Claims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our TPD expertise,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our TPD expertise, or other technologies, are rightfully owned by their former or concurrent employer. Litigation may be necessary to defend against these claims.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or future product candidates, or from using our proprietary technologies, including our TPD expertise, unless the third-party licenses its product rights to us, which it is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TPD expertise may be impaired or delayed, which could in turn significantly harm our business. Even if we obtain a license, it may be nonexclusive, thereby giving our competitors access to the same technologies licensed to us.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or technologies, which could harm our business significantly.</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Employee Matters and Managing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Nello Mainolfi, Ph.D., our President and Chief Executive Officer, Jared Gollob, M.D., our Chief Medical Officer, Bruce Jacobs, our Chief Financial Officer, Brian Adams, our Chief Legal Officer, Jeremy Chadwick, our Chief Operating Officer and Noah Goodman, our Chief Business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ability to attract new personnel may be impacted by restrictions on travel, changes to immigration policy or the availability of work visas under the current administration. If we are unable to continue to attract and retain high quality personnel, our ability to pursue our growth strategy will be limited.</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develop and expand our company, and we may encounter difficulties in managing this development and expansion, which could disrupt our operations.</w:t>
      </w:r>
    </w:p>
    <w:p>
      <w:pPr>
        <w:spacing w:after="0" w:line="1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2025, we had 225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management’s time and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jc w:val="both"/>
        <w:spacing w:after="0" w:line="253" w:lineRule="auto"/>
        <w:rPr>
          <w:sz w:val="20"/>
          <w:szCs w:val="20"/>
          <w:color w:val="auto"/>
        </w:rPr>
      </w:pPr>
      <w:r>
        <w:rPr>
          <w:rFonts w:ascii="Times New Roman" w:cs="Times New Roman" w:eastAsia="Times New Roman" w:hAnsi="Times New Roman"/>
          <w:sz w:val="18"/>
          <w:szCs w:val="18"/>
          <w:color w:val="auto"/>
        </w:rPr>
        <w:t>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sublease our former space in Watertown, Massachusetts for occupancy now that we have moved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began occupying in February 2024. We intend to sublease our original space and are actively marketing the space to third parties. In the event that we are unable to sublease our original space on favorable terms, or at all, or if we are able to sublease our space but our subtenants fail to make lease payments to us or otherwise default on their obligations to us, we could incur unanticipated payment obligations or further impairment.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Data and Privacy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security incidents, or compromises, which could result in the disclosure of confidential or proprietary information, including personal data, damage our reputation, and subject us to significant financial and legal exposure.</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security incident, or compromise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jc w:val="both"/>
        <w:spacing w:after="0" w:line="282" w:lineRule="auto"/>
        <w:rPr>
          <w:sz w:val="20"/>
          <w:szCs w:val="20"/>
          <w:color w:val="auto"/>
        </w:rPr>
      </w:pPr>
      <w:r>
        <w:rPr>
          <w:rFonts w:ascii="Times New Roman" w:cs="Times New Roman" w:eastAsia="Times New Roman" w:hAnsi="Times New Roman"/>
          <w:sz w:val="18"/>
          <w:szCs w:val="18"/>
          <w:color w:val="auto"/>
        </w:rPr>
        <w:t>international law (e.g., the EU General Data Protection Regulation, or GDPR) and may cause a material adverse impact to our reputation, affect our ability to use collected data, conduct new studies and potentially disrupt our business.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have experienced and may in the future experience cyberattacks. 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may be subject to a variety of privacy and data protection laws, regulations and contractual obligations, which may require us to incur substantial compliance costs, and any failure or perceived failure by us to comply with them could expose us to fines or other penalties and otherwise harm our business and operations.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be subject to data privacy and protection laws and regulations that apply to the collection, transmission, storage and use of sensitive information and personally-identifying information, which among other things, imposes certain requirements relating to the privacy, security and transmission of certain individually identifiable information. In addition, numerous other federal and state laws, including state security breach notification laws, state health information privacy laws and federal and state consumer protection laws, govern the collection, use, disclosure and security of personal information. These laws continue to change and evolve and are increasing in breadth and impact.</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For example, with respect to the collection and processing of personal data relating to the European Union (“EU”), European Economic Area (“EEA”) and United Kingdom (“UK”), we are subject to the EU General Data Protection Regulation (EU GDPR), the UK General Data Protection Regulation (UK GDPR), as well as applicable data protection laws in effect in the Member States of the EEA and in the UK (including the UK Data Protection Act 2018) which govern the processing of personal data in connection with (a) the offering of goods or services to/the monitoring of the behavior of individuals in the UK and EEA; or (b) the activities of our establishments in the UK and any EEA Member State. The UK’s data protection regime is independent from but aligned to the EU’s data protection regime. In this Form 10-Q, “GDPR” refers to both the EU GDPR and the UK GDPR, unless specified otherwise. The GDPR is wide-ranging in scope and imposes numerous requirements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service providers. The GDPR also imposes strict rules on the transfer of personal data to countries outside of the UK and EEA that do not ensure an adequate level of protection, including the United States in certain circumstances, unless derogation exists or a valid GDPR transfer mechanism (for example, the European Commission approved Standard Contractual Clauses (SCCs) and the UK International Data Transfer Agreement or Addendum (UK IDTA)) have been put in place, and transfer impact assessments conducted. Any inability to transfer personal data from the UK or EEA to the United States in compliance with data protection laws may impede our operations and may adversely affect our business and financial position. Following the UK’s exit from the EU, or Brexit, there will be increasing scope for divergence in application, interpretation and enforcement of the data protection laws between these territories. For example, the UK has introduced the Data Reform Bill into the UK legislative process with the intention for this bill to reform the UK’s data protection regime following Brexit. If passed, the final version of the Data Reform Bill may have the effect of further altering the similarities between the UK and EEA data protection regimes and threaten the UK adequacy decision from the EU Commission allowing the free flow of personal data from the UK to the EEA, which may lead to additional compliance costs and could increase our overall risk. This lack of clarity on future UK laws and regulations and their interaction with those of the EEA could add legal risk, uncertainty, complexity, and cost to our handling of European personal data and our privacy and security compliance programs, and could require us to implement different compliance measures for the UK and EEA. Failure to comply with the requirements of the GDPR and the related national data protection laws of the EEA Member States and the UK may result in fines up to €20 million (17.5 million for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violations of the GDPR. Complying with these European data protection laws may impose significant costs 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jc w:val="both"/>
        <w:spacing w:after="0" w:line="282" w:lineRule="auto"/>
        <w:rPr>
          <w:sz w:val="20"/>
          <w:szCs w:val="20"/>
          <w:color w:val="auto"/>
        </w:rPr>
      </w:pPr>
      <w:r>
        <w:rPr>
          <w:rFonts w:ascii="Times New Roman" w:cs="Times New Roman" w:eastAsia="Times New Roman" w:hAnsi="Times New Roman"/>
          <w:sz w:val="18"/>
          <w:szCs w:val="18"/>
          <w:color w:val="auto"/>
        </w:rPr>
        <w:t>otherwise require us to divert resources or implement changes to our business processes, and any actual or perceived non-compliance could result in significant penalties, claims and reputational damage.</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several layers of federal and state data protection laws and regulations may apply to our business, including HIPAA, the Federal Trade Commission (FTC) Act and state consumer privacy and health data privacy laws. For example, the California Consumer Privacy Act (CCPA) is a comprehensive privacy law that creates individual privacy rights and increased privacy and security obligations on businesses handling the personal data of California residents. The CCPA requires covered businesses to provide certain disclosures to consumers about data collection, use and sharing practices, to allow California residents to opt out of certain sales and disclosures of personal information, and to opt out of certain uses of sensitive personal information, including health information. The law also created a regulatory agency in California, and that agency’s finalized and proposed regulations are continuing to change the standard of privacy protection we may be required to meet. Numerous other states have passed similar consumer privacy laws that are or will be implemented and enforced by various state regulators. Like the CCPA, these laws grant consumers rights in relation to their personal information and impose new obligations on regulated businesses, including, in some instances, broader data security requirements.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federal and state legislators and regulators are imposing new and heightened protections for health and other sensitive information that could impact our business. For example, the Federal Trade Commission (FTC) has imposed stringent requirements on the collection and disclosure of sensitive categories of personal information, including health information, and has expanded the application of its Health Breach Notification Rule. Through executive and legislative action, the federal government has also taken steps to restrict data transactions involving certain sensitive data categories</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including health data, genetic data, and biospecimens – with persons affiliated with China, Russia, and other countries of concern. Washington’s My Health My Data Act, which went into effect in March 2024, requires regulated entities to obtain consent to collect health information, grants consumers certain rights, including to request deletion, and provides for robust enforcement mechanisms, including enforcement by the state attorney-general and by litigants through a private right of action for consumer claims. These current and future data privacy laws and regulations may require us to modify our data collection or processing practices and policies, incur substantial costs and expenses in an effort to comply and increase our potential exposure to regulatory enforcement, reputational damage, and/or litigation.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artificial intelligence and machine learning could adversely affect our business and operating results.</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our ongoing efforts to innovate and develop product candidates, we have integrated artificial intelligence (AI) and machine learning into virtual screening, hit validation and optimization technologies. While AI and machine learning presents opportunities for enhanced productivity and innovation, it also introduces inherent risks, including legal and regulatory, that could adversely impact our business and reputation. Proper use of AI and machine learning can lead to improved decision-making, cost reduction, and competitive advantage. However, improper use, including algorithmic biases, ethical considerations, data privacy issues, and potential regulatory non-compliance, could result in reputational damage, legal liabilities, and financial losses. The rapidly evolving regulatory landscape surrounding AI also poses a risk, as new laws and regulations could impose additional compliance burdens, resulting in increased operational costs to comply with U.S. and non-U.S. laws concerning the use of AI, the nature of which cannot be determined at this time. In addition, the European Union recently passed the Artificial Intelligence Act, whose regulations will be developed over the coming year and, in the U.S., the recent Executive Order concerning artificial intelligence may result in extensive new federal rule-making. We are committed to implementing governance and control mechanisms to mitigate these risks, but there can be no assurance that such measures will adequately prevent or mitigate the adverse effects that the integration and use of AI may have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current or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 or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collaboration agreements, including announcements regarding our collaboration agreements with Sanofi and Gilead;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global economic and geopolitical conditions may have serious adverse consequences on our business, financial condition, stock price and results of operations.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potential for significant changes in U.S. policies or regulatory environment given the new administration, military conflict, including the ongoing conflicts between Russia and Ukraine, and in the Middle East, terrorism, or other geopolitical events. Sanctions imposed by the United States and other countries in response to such conflicts, including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 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Changes in U.S. federal policy that affect the geopolitical landscape could give rise to circumstances outside our control that could have negative impacts on our business operations. In 2025, the United States imposed significant tariffs on imports from other countries, including a baseline tariff of 10% on imports into the United States and higher tariffs on multiple designated countries (including the EU Member States, China, Canada, and Mexico), such as "reciprocal" tariffs at varying rates. Such tariffs have prompted retaliatory measures from several countries, which may further escalate. On April 9, 2025, the U.S. announced a temporary pause on its tariffs applicable to many countries, while increasing the tariffs applicable to imports from China. In addition, the current U.S. administration has expressed an intent to impose tariffs on pharmaceutical imports, with the stated policy objective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 The new U.S. administration has threatened to continue to broadly impose tariffs, which could lead to corresponding punitive actions by the countries with which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jc w:val="both"/>
        <w:spacing w:after="0" w:line="256" w:lineRule="auto"/>
        <w:rPr>
          <w:sz w:val="20"/>
          <w:szCs w:val="20"/>
          <w:color w:val="auto"/>
        </w:rPr>
      </w:pPr>
      <w:r>
        <w:rPr>
          <w:rFonts w:ascii="Times New Roman" w:cs="Times New Roman" w:eastAsia="Times New Roman" w:hAnsi="Times New Roman"/>
          <w:sz w:val="18"/>
          <w:szCs w:val="18"/>
          <w:color w:val="auto"/>
        </w:rPr>
        <w:t>U.S. trades.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We are continuing to monitor global capital markets and assessing the potential impact of these factors on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2025, the existing holdings of our executive officers, directors, principal stockholders and their affiliates represent beneficial ownership, in the aggregate, of approximately 25%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 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2025, approximately 15,815,253 shares of our common stock were reserved for issuance upon exercise of pre-funded warrants. Additionally, 11,909,605 shares of our common stock were reserved for issuance upon exercise of outstanding stock options and vested restricted stock units. The exercise or conversion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or settlement of restricted stock units under our equity incentive plans or pursuant to future awards granted under those plans will become available for sale in the public market to the extent permitted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jc w:val="both"/>
        <w:spacing w:after="0" w:line="282" w:lineRule="auto"/>
        <w:rPr>
          <w:sz w:val="20"/>
          <w:szCs w:val="20"/>
          <w:color w:val="auto"/>
        </w:rPr>
      </w:pPr>
      <w:r>
        <w:rPr>
          <w:rFonts w:ascii="Times New Roman" w:cs="Times New Roman" w:eastAsia="Times New Roman" w:hAnsi="Times New Roman"/>
          <w:sz w:val="18"/>
          <w:szCs w:val="18"/>
          <w:color w:val="auto"/>
        </w:rPr>
        <w:t>by the provisions of applicable vesting schedules, any applicable market standoff and lock-up agreements, and Rule 144 and Rule 701 under the Securities Act.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our prior sales agreement, or Cowen Sales Agreement, with Cowen and Company, LLC, or Cowen, we had the ability to offer and sell up to an aggregate amount of $250.0 million of our common stock from time to time in “at-the-market” offerings, subject to the limitations thereof. From October 1, 2021 through the date of its termination in October 2024, we sold 1,519,453 shares of common stock through the Cowen Sales Agreement for an aggregate of approximately $50 million.</w:t>
      </w:r>
    </w:p>
    <w:p>
      <w:pPr>
        <w:spacing w:after="0" w:line="1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the Jefferies Sales Agreement, with Jefferies LLC pursuant to which we may offer and sell our common stock, subject to certain limitations in the sales agreement and compliance with applicable law, at any time throughout the term of the Jefferies Sales Agreement. The number of shares that are sold by Jefferies after delivering a placement notice will fluctuate based on the market price of the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Sales to, or through, Jefferies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 There have not yet been any sales made pursuant to the Jefferies Sales Agreement.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and non-U.S. taxation are constantly under review by persons involved in the legislative process and by the Internal Revenue Service, or IRS, the U.S. Treasury Department and other taxing authorities. For example, the One Big Beautiful Bill Act, or the OBBBA, was signed into law on July 4, 2025 and made significant changes to the U.S. federal tax law.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For example, under Section 174 of the Internal Revenue Code of 1986, as amended, or the IRC,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jc w:val="both"/>
        <w:spacing w:after="0" w:line="253" w:lineRule="auto"/>
        <w:rPr>
          <w:sz w:val="20"/>
          <w:szCs w:val="20"/>
          <w:color w:val="auto"/>
        </w:rPr>
      </w:pPr>
      <w:r>
        <w:rPr>
          <w:rFonts w:ascii="Times New Roman" w:cs="Times New Roman" w:eastAsia="Times New Roman" w:hAnsi="Times New Roman"/>
          <w:sz w:val="18"/>
          <w:szCs w:val="18"/>
          <w:color w:val="auto"/>
        </w:rPr>
        <w:t>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 It cannot be predicted whether, when, in what form, or with what effective dates, new tax laws may be enacted, or regulations and rulings may be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carryforwards of $221.3 million and $238.3 million, respectively, which begin to expire in various amounts in 2037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2024, we also had federal and state research and development tax credit carryforwards of $33.1 million and $12.0 million, respectively, which begin to expire in 2032.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Controls and Reporting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achieve compliance with Section 404,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jc w:val="both"/>
        <w:spacing w:after="0" w:line="282" w:lineRule="auto"/>
        <w:rPr>
          <w:sz w:val="20"/>
          <w:szCs w:val="20"/>
          <w:color w:val="auto"/>
        </w:rPr>
      </w:pPr>
      <w:r>
        <w:rPr>
          <w:rFonts w:ascii="Times New Roman" w:cs="Times New Roman" w:eastAsia="Times New Roman" w:hAnsi="Times New Roman"/>
          <w:sz w:val="18"/>
          <w:szCs w:val="18"/>
          <w:color w:val="auto"/>
        </w:rPr>
        <w:t>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Charter and Bylaws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p>
    <w:p>
      <w:pPr>
        <w:spacing w:after="0" w:line="68" w:lineRule="exact"/>
        <w:rPr>
          <w:sz w:val="20"/>
          <w:szCs w:val="20"/>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jc w:val="both"/>
        <w:spacing w:after="0" w:line="254" w:lineRule="auto"/>
        <w:rPr>
          <w:sz w:val="20"/>
          <w:szCs w:val="20"/>
          <w:color w:val="auto"/>
        </w:rPr>
      </w:pPr>
      <w:r>
        <w:rPr>
          <w:rFonts w:ascii="Times New Roman" w:cs="Times New Roman" w:eastAsia="Times New Roman" w:hAnsi="Times New Roman"/>
          <w:sz w:val="18"/>
          <w:szCs w:val="18"/>
          <w:color w:val="auto"/>
        </w:rPr>
        <w:t>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or the current administration may make substantial changes to fiscal, tax, and other federal policies that may adversely affect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the start of the current administration in 2025, there have been significant changes to U.S. trade, healthcare, immigration and government regulatory policy and additional changes are likely. For example, the U.S. government has imposed substantial tariffs on most countries throughout the world and has further threatened to continue to broadly impose tariffs, which could lead to corresponding punitive actions by the countries with which the U.S. trades. Changes to U.S. policy implemented by the U.S. Congress, the current administration or any new future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September 30, 2025, we did not have any sales of unregistered securities.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Securities Exchange Act of 1934, as amended) or director who adopted a Rule 10b5-1 trading arrangement or non-Rule 10b5-1 trading arrangement (as such terms are defined in Item 408 of Regulation S-K) during the three months ended September 30, 2025:</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2360" w:type="dxa"/>
            <w:vAlign w:val="bottom"/>
            <w:tcBorders>
              <w:top w:val="single" w:sz="8" w:color="auto"/>
              <w:left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 Trading</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Action Taken</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 or End</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222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Description of Trading</w:t>
            </w:r>
          </w:p>
        </w:tc>
      </w:tr>
      <w:tr>
        <w:trPr>
          <w:trHeight w:val="265"/>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Arrangement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Action)</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Sold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r>
      <w:tr>
        <w:trPr>
          <w:trHeight w:val="189"/>
        </w:trPr>
        <w:tc>
          <w:tcPr>
            <w:tcW w:w="236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Pamela Esposito</w:t>
            </w:r>
          </w:p>
        </w:tc>
        <w:tc>
          <w:tcPr>
            <w:tcW w:w="17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Trading plan intended</w:t>
            </w:r>
          </w:p>
        </w:tc>
        <w:tc>
          <w:tcPr>
            <w:tcW w:w="13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Adoption</w:t>
            </w:r>
          </w:p>
        </w:tc>
        <w:tc>
          <w:tcPr>
            <w:tcW w:w="14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October 1, 2026</w:t>
            </w:r>
          </w:p>
        </w:tc>
        <w:tc>
          <w:tcPr>
            <w:tcW w:w="22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38,063</w:t>
            </w:r>
          </w:p>
        </w:tc>
        <w:tc>
          <w:tcPr>
            <w:tcW w:w="22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Exercises of vested stock</w:t>
            </w:r>
          </w:p>
        </w:tc>
      </w:tr>
      <w:tr>
        <w:trPr>
          <w:trHeight w:val="218"/>
        </w:trPr>
        <w:tc>
          <w:tcPr>
            <w:tcW w:w="23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 satisfy the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17,</w:t>
            </w:r>
          </w:p>
        </w:tc>
        <w:tc>
          <w:tcPr>
            <w:tcW w:w="14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options and sales of shares of</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affirmative defense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Company’s common</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conditions of</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pursuant to the terms of</w:t>
            </w:r>
          </w:p>
        </w:tc>
      </w:tr>
      <w:tr>
        <w:trPr>
          <w:trHeight w:val="216"/>
        </w:trPr>
        <w:tc>
          <w:tcPr>
            <w:tcW w:w="23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Securities Exchange</w:t>
            </w:r>
          </w:p>
        </w:tc>
        <w:tc>
          <w:tcPr>
            <w:tcW w:w="13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trading plan</w:t>
            </w:r>
          </w:p>
        </w:tc>
      </w:tr>
      <w:tr>
        <w:trPr>
          <w:trHeight w:val="234"/>
        </w:trPr>
        <w:tc>
          <w:tcPr>
            <w:tcW w:w="2360" w:type="dxa"/>
            <w:vAlign w:val="bottom"/>
            <w:tcBorders>
              <w:left w:val="single" w:sz="8" w:color="auto"/>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Act Rule 10b5- 1(c)</w:t>
            </w:r>
          </w:p>
        </w:tc>
        <w:tc>
          <w:tcPr>
            <w:tcW w:w="13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r>
      <w:tr>
        <w:trPr>
          <w:trHeight w:val="24"/>
        </w:trPr>
        <w:tc>
          <w:tcPr>
            <w:tcW w:w="236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above, no other officer or director adopted, modified or terminated a Rule 10b5-1 trading arrangement or non-Rule 10b5-1 trading arrangement (as such terms are defined in Item 408 of Regulation S-K) during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20" w:type="dxa"/>
            <w:vAlign w:val="bottom"/>
            <w:gridSpan w:val="4"/>
            <w:vMerge w:val="restart"/>
          </w:tcPr>
          <w:p>
            <w:pPr>
              <w:ind w:left="3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jc w:val="both"/>
        <w:ind w:firstLine="8"/>
        <w:spacing w:after="0" w:line="266" w:lineRule="auto"/>
        <w:tabs>
          <w:tab w:leader="none" w:pos="1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were omitted in accordance with the rules of the Securities and Exchange Commission.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Kymera Therapeutics,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Nello Mainolfi, Ph.D.</w:t>
            </w:r>
          </w:p>
        </w:tc>
      </w:tr>
      <w:tr>
        <w:trPr>
          <w:trHeight w:val="187"/>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Nello Mainolfi, Ph.D</w:t>
            </w:r>
            <w:r>
              <w:rPr>
                <w:rFonts w:ascii="Times New Roman" w:cs="Times New Roman" w:eastAsia="Times New Roman" w:hAnsi="Times New Roman"/>
                <w:sz w:val="18"/>
                <w:szCs w:val="18"/>
                <w:color w:val="auto"/>
              </w:rPr>
              <w:t>.</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23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Bruce Jacobs, CFA, MBA</w:t>
            </w:r>
          </w:p>
        </w:tc>
      </w:tr>
      <w:tr>
        <w:trPr>
          <w:trHeight w:val="187"/>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Bruce Jacobs, CFA, MBA</w:t>
            </w:r>
          </w:p>
        </w:tc>
      </w:tr>
      <w:tr>
        <w:trPr>
          <w:trHeight w:val="238"/>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648"/>
        </w:trPr>
        <w:tc>
          <w:tcPr>
            <w:tcW w:w="3660" w:type="dxa"/>
            <w:vAlign w:val="bottom"/>
          </w:tcPr>
          <w:p>
            <w:pPr>
              <w:spacing w:after="0"/>
              <w:rPr>
                <w:sz w:val="24"/>
                <w:szCs w:val="24"/>
                <w:color w:val="auto"/>
              </w:rPr>
            </w:pPr>
          </w:p>
        </w:tc>
        <w:tc>
          <w:tcPr>
            <w:tcW w:w="2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87</w:t>
            </w:r>
          </w:p>
        </w:tc>
        <w:tc>
          <w:tcPr>
            <w:tcW w:w="522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411"/>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2025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CFO, MBA</w:t>
            </w:r>
          </w:p>
        </w:tc>
      </w:tr>
      <w:tr>
        <w:trPr>
          <w:trHeight w:val="187"/>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CFO, MBA</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September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6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195"/>
        </w:trPr>
        <w:tc>
          <w:tcPr>
            <w:tcW w:w="36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Kymera Therapeutics, Inc. (the “Company”) on Form 10-Q for the period ending September 30,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CFA, MBA</w:t>
            </w:r>
          </w:p>
        </w:tc>
      </w:tr>
      <w:tr>
        <w:trPr>
          <w:trHeight w:val="187"/>
        </w:trPr>
        <w:tc>
          <w:tcPr>
            <w:tcW w:w="36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CFA, MBA</w:t>
            </w:r>
          </w:p>
        </w:tc>
      </w:tr>
      <w:tr>
        <w:trPr>
          <w:trHeight w:val="216"/>
        </w:trPr>
        <w:tc>
          <w:tcPr>
            <w:tcW w:w="3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195"/>
        </w:trPr>
        <w:tc>
          <w:tcPr>
            <w:tcW w:w="36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9"/>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endash "/>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2025-11-04T06:25:58Z</dcterms:created>
  <dcterms:modified xsi:type="dcterms:W3CDTF">2025-11-04T06:25:58Z</dcterms:modified>
</cp:coreProperties>
</file>