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920" w:right="2080" w:hanging="3899"/>
        <w:spacing w:after="0" w:line="303" w:lineRule="auto"/>
        <w:tabs>
          <w:tab w:leader="none" w:pos="35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ind w:left="52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380" w:hanging="359"/>
        <w:spacing w:after="0"/>
        <w:tabs>
          <w:tab w:leader="none" w:pos="3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5" w:lineRule="exact"/>
        <w:rPr>
          <w:sz w:val="24"/>
          <w:szCs w:val="24"/>
          <w:color w:val="auto"/>
        </w:rPr>
      </w:pPr>
    </w:p>
    <w:p>
      <w:pPr>
        <w:ind w:left="380"/>
        <w:spacing w:after="0"/>
        <w:tabs>
          <w:tab w:leader="none" w:pos="374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KYMERA THERAPEUTICS, INC.</w:t>
      </w:r>
    </w:p>
    <w:p>
      <w:pPr>
        <w:sectPr>
          <w:pgSz w:w="11900" w:h="16838" w:orient="portrait"/>
          <w:cols w:equalWidth="0" w:num="1">
            <w:col w:w="11240"/>
          </w:cols>
          <w:pgMar w:left="320" w:top="1073"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2"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9"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500 North Beacon Street, 4th Floor</w:t>
      </w:r>
    </w:p>
    <w:p>
      <w:pPr>
        <w:spacing w:after="0" w:line="7"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Watertown, Massachusetts</w:t>
      </w:r>
    </w:p>
    <w:p>
      <w:pPr>
        <w:spacing w:after="0" w:line="9"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81-2992166</w:t>
      </w:r>
    </w:p>
    <w:p>
      <w:pPr>
        <w:spacing w:after="0" w:line="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02472</w:t>
      </w:r>
    </w:p>
    <w:p>
      <w:pPr>
        <w:spacing w:after="0" w:line="27"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21" w:lineRule="exact"/>
        <w:rPr>
          <w:sz w:val="24"/>
          <w:szCs w:val="24"/>
          <w:color w:val="auto"/>
        </w:rPr>
      </w:pPr>
    </w:p>
    <w:p>
      <w:pPr>
        <w:sectPr>
          <w:pgSz w:w="11900" w:h="16838" w:orient="portrait"/>
          <w:cols w:equalWidth="0" w:num="2">
            <w:col w:w="7640" w:space="220"/>
            <w:col w:w="3380"/>
          </w:cols>
          <w:pgMar w:left="320" w:top="107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285-5300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r>
      <w:tr>
        <w:trPr>
          <w:trHeight w:val="203"/>
        </w:trPr>
        <w:tc>
          <w:tcPr>
            <w:tcW w:w="44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7"/>
                <w:szCs w:val="17"/>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17"/>
                <w:szCs w:val="17"/>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KYMR</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9" w:lineRule="exact"/>
        <w:rPr>
          <w:sz w:val="24"/>
          <w:szCs w:val="24"/>
          <w:color w:val="auto"/>
        </w:rPr>
      </w:pPr>
    </w:p>
    <w:p>
      <w:pPr>
        <w:ind w:right="4020"/>
        <w:spacing w:after="0" w:line="21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2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3"/>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100"/>
              <w:spacing w:after="0"/>
              <w:rPr>
                <w:sz w:val="20"/>
                <w:szCs w:val="20"/>
                <w:color w:val="auto"/>
              </w:rPr>
            </w:pPr>
            <w:r>
              <w:rPr>
                <w:rFonts w:ascii="Times New Roman" w:cs="Times New Roman" w:eastAsia="Times New Roman" w:hAnsi="Times New Roman"/>
                <w:sz w:val="15"/>
                <w:szCs w:val="15"/>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ind w:left="31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8"/>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40" w:type="dxa"/>
            <w:vAlign w:val="bottom"/>
          </w:tcPr>
          <w:p>
            <w:pPr>
              <w:spacing w:after="0"/>
              <w:rPr>
                <w:sz w:val="22"/>
                <w:szCs w:val="22"/>
                <w:color w:val="auto"/>
              </w:rPr>
            </w:pPr>
          </w:p>
        </w:tc>
        <w:tc>
          <w:tcPr>
            <w:tcW w:w="480" w:type="dxa"/>
            <w:vAlign w:val="bottom"/>
          </w:tcPr>
          <w:p>
            <w:pPr>
              <w:spacing w:after="0"/>
              <w:rPr>
                <w:sz w:val="22"/>
                <w:szCs w:val="22"/>
                <w:color w:val="auto"/>
              </w:rPr>
            </w:pPr>
          </w:p>
        </w:tc>
      </w:tr>
    </w:tbl>
    <w:p>
      <w:pPr>
        <w:spacing w:after="0" w:line="25"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200"/>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4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ind w:right="60"/>
        <w:spacing w:after="0" w:line="251"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$0.0001 par value per share, held by non-affiliates of the registrant, based on the last sale price of the Common Stock at the close of business on June 28, 2024, the last business day of the registrant’s most recently completed second fiscal quarter, was $1,146.0 million.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February 21, 2025 was 64,944,136.</w:t>
      </w:r>
    </w:p>
    <w:p>
      <w:pPr>
        <w:spacing w:after="0" w:line="4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7" w:lineRule="exact"/>
        <w:rPr>
          <w:sz w:val="24"/>
          <w:szCs w:val="24"/>
          <w:color w:val="auto"/>
        </w:rPr>
      </w:pPr>
    </w:p>
    <w:p>
      <w:pPr>
        <w:ind w:right="200"/>
        <w:spacing w:after="0" w:line="255" w:lineRule="auto"/>
        <w:rPr>
          <w:sz w:val="20"/>
          <w:szCs w:val="20"/>
          <w:color w:val="auto"/>
        </w:rPr>
      </w:pPr>
      <w:r>
        <w:rPr>
          <w:rFonts w:ascii="Times New Roman" w:cs="Times New Roman" w:eastAsia="Times New Roman" w:hAnsi="Times New Roman"/>
          <w:sz w:val="13"/>
          <w:szCs w:val="13"/>
          <w:color w:val="auto"/>
        </w:rPr>
        <w:t>Portions of the registrant’s Proxy Statement for its 2025 Annual Meeting of Stockholders, which the registrant intends to file with the Securities and Exchange Commission not later than 120 days after the registrant’s fiscal year ended December 31, 2024,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7"/>
                <w:szCs w:val="17"/>
                <w:color w:val="auto"/>
              </w:rPr>
            </w:pPr>
          </w:p>
        </w:tc>
        <w:tc>
          <w:tcPr>
            <w:tcW w:w="8360" w:type="dxa"/>
            <w:vAlign w:val="bottom"/>
            <w:gridSpan w:val="2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24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Cybersecurity</w:t>
            </w:r>
          </w:p>
        </w:tc>
        <w:tc>
          <w:tcPr>
            <w:tcW w:w="828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7"/>
                <w:szCs w:val="17"/>
                <w:color w:val="auto"/>
              </w:rPr>
            </w:pPr>
          </w:p>
        </w:tc>
        <w:tc>
          <w:tcPr>
            <w:tcW w:w="8540" w:type="dxa"/>
            <w:vAlign w:val="bottom"/>
            <w:gridSpan w:val="2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400" w:type="dxa"/>
            <w:vAlign w:val="bottom"/>
            <w:tcBorders>
              <w:top w:val="single" w:sz="8" w:color="0000FF"/>
            </w:tcBorders>
            <w:gridSpan w:val="24"/>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94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4740" w:type="dxa"/>
            <w:vAlign w:val="bottom"/>
            <w:tcBorders>
              <w:top w:val="single" w:sz="8" w:color="0000FF"/>
            </w:tcBorders>
            <w:gridSpan w:val="13"/>
          </w:tcPr>
          <w:p>
            <w:pPr>
              <w:spacing w:after="0"/>
              <w:rPr>
                <w:sz w:val="17"/>
                <w:szCs w:val="17"/>
                <w:color w:val="auto"/>
              </w:rPr>
            </w:pPr>
          </w:p>
        </w:tc>
        <w:tc>
          <w:tcPr>
            <w:tcW w:w="27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 that Prevents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20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0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84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96"/>
        </w:trPr>
        <w:tc>
          <w:tcPr>
            <w:tcW w:w="11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Form 10-K Summary</w:t>
            </w:r>
          </w:p>
        </w:tc>
        <w:tc>
          <w:tcPr>
            <w:tcW w:w="20" w:type="dxa"/>
            <w:vAlign w:val="bottom"/>
            <w:tcBorders>
              <w:top w:val="single" w:sz="8" w:color="0000FF"/>
              <w:bottom w:val="single" w:sz="8" w:color="0000EE"/>
            </w:tcBorders>
          </w:tcPr>
          <w:p>
            <w:pPr>
              <w:spacing w:after="0"/>
              <w:rPr>
                <w:sz w:val="17"/>
                <w:szCs w:val="17"/>
                <w:color w:val="auto"/>
              </w:rPr>
            </w:pPr>
          </w:p>
        </w:tc>
        <w:tc>
          <w:tcPr>
            <w:tcW w:w="1320" w:type="dxa"/>
            <w:vAlign w:val="bottom"/>
            <w:tcBorders>
              <w:top w:val="single" w:sz="8" w:color="0000FF"/>
            </w:tcBorders>
            <w:gridSpan w:val="6"/>
          </w:tcPr>
          <w:p>
            <w:pPr>
              <w:spacing w:after="0"/>
              <w:rPr>
                <w:sz w:val="17"/>
                <w:szCs w:val="17"/>
                <w:color w:val="auto"/>
              </w:rPr>
            </w:pPr>
          </w:p>
        </w:tc>
        <w:tc>
          <w:tcPr>
            <w:tcW w:w="640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2" w:name="page3"/>
    <w:bookmarkEnd w:id="2"/>
    <w:p>
      <w:pPr>
        <w:ind w:left="1323"/>
        <w:spacing w:after="0"/>
        <w:rPr>
          <w:sz w:val="20"/>
          <w:szCs w:val="20"/>
          <w:color w:val="auto"/>
        </w:rPr>
      </w:pPr>
      <w:r>
        <w:rPr>
          <w:rFonts w:ascii="Times New Roman" w:cs="Times New Roman" w:eastAsia="Times New Roman" w:hAnsi="Times New Roman"/>
          <w:sz w:val="18"/>
          <w:szCs w:val="18"/>
          <w:b w:val="1"/>
          <w:bCs w:val="1"/>
          <w:color w:val="auto"/>
        </w:rPr>
        <w:t>SUMMARY OF THE MATERIAL AND OTHER RISKS ASSOCIATED WITH OUR BUSINESS</w:t>
      </w:r>
    </w:p>
    <w:p>
      <w:pPr>
        <w:spacing w:after="0" w:line="337" w:lineRule="exact"/>
        <w:rPr>
          <w:sz w:val="20"/>
          <w:szCs w:val="20"/>
          <w:color w:val="auto"/>
        </w:rPr>
      </w:pPr>
    </w:p>
    <w:p>
      <w:pPr>
        <w:ind w:left="503" w:right="20"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 stage company and that may make it difficult for our stockholders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anticipate that we will incur continued losses for the foreseeable future.</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and our IRAK4 and STAT6 programs are in early clinical development. If we are unable to advance them through the clinic for safety or efficacy reasons or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is novel and unproven, which makes it difficult to predict the time, cost of development and likelihood of successfully developing any products.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or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outbreak of an infectious disease may materially and adversely affect our business and our financial results and could cause a disruption to the development of our product candidates.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71"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global economic and geopolitical conditions may have serious adverse consequences on our business, financial condition, stock price and results of operations.</w:t>
      </w:r>
    </w:p>
    <w:p>
      <w:pPr>
        <w:spacing w:after="0" w:line="270"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3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This Annual Report on Form 10-K, or Annual Report, contains forward-looking statements which are made pursuant to the safe harbor provisions of Section 27A of the Securities Act of 1933, as amended, and Section 21E of the Securities Exchange Act of 1934, as amended. All statements other than statements of historical facts contained in this Annual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Annual Report include, but are not limited to, express or implied statements about:</w:t>
      </w:r>
    </w:p>
    <w:p>
      <w:pPr>
        <w:spacing w:after="0" w:line="79" w:lineRule="exact"/>
        <w:rPr>
          <w:sz w:val="20"/>
          <w:szCs w:val="20"/>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and clinical studies, including statements regarding the timing of initiation and completion of studies or trials and related preparatory work, the period during which the results of the trials will become available, and our research and development programs;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enable a rational and effective drug discovery and development engine;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the success of preclinical development efforts for our TYK2 program and clinical studies for our STAT6 and IRAK4 programs;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submit investigational new drug applications to the U.S. Food and Drug Administration, or FDA for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 initiation of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research priorities and apply a risk-mitigated strategy to efficiently discover and develop product candidates, including by applying learnings from one program to other programs and from one modality to our other modalities;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ability to manufacture our drug substances, delivery vehicles, and product candidates for preclinical use, for clinical trials and on a larger scale for commercial use, if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continue research and development activities relating to our development candidates and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pandemics, geopolitical conflicts or new or increased international tariffs, including mitigation efforts and economic effects, on any of the foregoing or other aspects of our business operations, including but not limited to our preclinical studies and future clinical trials;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forward-looking statements in this Annual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 Item 1A, “Risk Factors” and elsewhere in this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All of our forward-looking statements are as of the date of this Annual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Annual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Annual Report, even if such results, changes or circumstances make it clear that any forward-looking information will not be realized. Any public statements or disclosures by us following this Annual Report that modify or impact any of the forward-looking statements contained in this Annual Report will be deemed to modify or supersede such statements in this Annual Report.</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Annual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reinventing the treatment of human disease through the development of innovative, highly differentiated medicines that address significant health problems and that meaningfully improve patients’ lives. We are committed to advancing novel technologies to address targets that have known disease-causing biology, but which have not been drugged, or have been inadequately drugged, often based on limitations of existing technologies. Our approach is intended to discover and develop a new generation of medicines in a disease-agnostic manner.</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leader in targeted protein degradation, or TPD, a next-generation small molecule therapeutic modality that engages the body’s natural cellular recycling system to selectively eliminate disease-causing proteins. Our objective is to develop molecules that are both potent and highly selective, creating the potential for our medicines to uniquely address diseases that are poorly served by current treatment options. To date, we have progressed five programs into clinical development and expect to advance at least one new molecular entity into clinical testing annually. We intend to leverage our drug development expertise to become a fully integrated biopharmaceutical company with an industry-leading pipeline of novel medicines.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focus is primarily directed at high-value targets in immunology. We believe there are more than 160 million patients in the United States, Europe and Japan that are diagnosed with some of the most prevalent immune-inflammatory diseases that our programs are designed to address, nearly half of whom remain untreated. Of those treated, most patients are treated with therapies that do not treat the underlying diseases but mostly their symptoms. As a result, only a small percentage of patients, which we believe to be approximately 3% of the diagnosed population with severe inflammatory diseases, are currently treated with systemic advanced therapies, mostly injectable biologics. While generally efficacious, biologics have drawbacks. Biologics tend to be more expensive to manufacture, and the cost is typically passed on to patients and payors. Patient access to therapy can also be a challenge, as biologics are more complex to prescribe and reimburse than small molecule medicines. Additionally, biologics are administered as injections, a less preferred route of administration for patients as compared to oral medications, which offer greater flexibility for patients. We believe we have the potential to deliver a compelling value proposition to a significant underserved patient population: small molecule medicines with biologics-like activity through the convenience of oral administration of a pill.</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publicly disclosed immunology programs target STAT6, TYK2 and IRAK4, each of which addresses targets within validated pathways, providing the opportunity to treat a broad range of diseases. We are developing KT-621 as part of our STAT6 program, which is currently being evaluated in a Phase 1 clinical trial in healthy volunteers. Our lead molecule in our TYK2 program is KT-295, which we anticipate will enter the clinic in the second quarter of 2025. We are collaborating with Sanofi S.A., or Sanofi, on the development of drug candidates targeting IRAK4, including KT-474/SAR444656, outside of oncology and immuno-oncology fields. Sanofi has initiated two Phase 2b clinical trials of KT-474 in patients with hidradenitis suppurativa (HS) and in patients with atopic dermatitis (AD). Our pipeline focuses on addressing high impact targets that have been elusive to conventional modalities and that drive the pathogenesis of multiple serious diseases with significant unmet medical needs.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immunology focus, we also have research initiatives in other therapeutic areas. Additionally, we believe many of our key discovery and development capabilities have broad applicability, creating an opportunity for us to develop impactful therapeutics leveraging small-molecule modalities in addition to TPD.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intend to achieve our mission to discover and develop novel and transformative medicines that improve the lives of patients with serious diseases by pursuing several key strategic objectives:</w:t>
      </w:r>
    </w:p>
    <w:p>
      <w:pPr>
        <w:spacing w:after="0" w:line="54" w:lineRule="exact"/>
        <w:rPr>
          <w:sz w:val="20"/>
          <w:szCs w:val="20"/>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advance our existing clinical and preclinical programs through critical inflection points that we believe will de-risk our molecules and approach.</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Guided by our drug development principles, we intend to expand our therapeutic pipeline by continuing to identify high-value targets that have disruptive therapeutic potential and that are well-suited for our approaches.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invest in our capabilities to identify novel molecules that address elusive targets and optimize them to highly specific drug candidates in a disease agonistic manner.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developed a broad patent estate and expect to expand and protect our proprietary know-how and intellectual property.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advance our goal of becoming a fully integrated biopharmaceutical company, we intend to build our organizational capabilities, including expertise in key therapeutic areas, development and eventually commercial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will continue to consider synergistic collaboration opportunities that further our goal of delivering transformative therapies to the broadest patient populations.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Drug Discovery Approach and Capabilities</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approach to target selection and our proprietary drug discovery capabilities enable us to rationally design innovative medicines that ultimately have the potential to address disease causing proteins of all classes.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place significant emphasis on target selection, which is focused on potentially first-in-class or best-in-class opportunities. We are focused on deploying our technology against diseases in areas of significant patient need that are not yet meaningfully addressed by traditional medicines, and where we believe TPD is the only or best way to elucidate the desired biology or clinical outcome. This approach includes addressing undrugged proteins in nodes of pathways with clinical validation and supported by strong human genetics, many of which are difficult to drug transcription factors or scaffolding proteins.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After identifying a protein of interest, we use our toolbox of integrated capabilities to help accelerate the discovery and development of small molecule medicines, enabling us to study molecular structures and gain a better understanding of the biological mechanisms of proteins. Critical components of our capabilities include the following:</w:t>
      </w:r>
    </w:p>
    <w:p>
      <w:pPr>
        <w:spacing w:after="0" w:line="68" w:lineRule="exact"/>
        <w:rPr>
          <w:sz w:val="20"/>
          <w:szCs w:val="20"/>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hit identification strategy using high-content as well as fit-for-purpose technologies such as DNA encoded libraries and fragment based as well as X-ray based screenings;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 learning and artificial intelligence in virtual screening, hit validation and optimization technologies;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optimization expertise that includes X-ray crystallography, cryogenic electron microscopy, and pharmacokinetic/pharmacodynamic-centric enabled lead optimization;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global quantitative proteomics techniques;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Translational biology focused on patient disease samples.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TPD approach is rooted in a deep understanding of the relationship between E3 ubiquitin ligases and target proteins, which allows us to identify the properties that make a target both ligandable and degradable and to determine how multiple factors impact potency, selectivity, pharmacokinetics (PK) and pharmacodynamics (PD). We have built extensive capabilities and knowledge that contribute to the development of our preclinical and clinical pipeline. We have generated predictive models that reflect our deep knowledge and understanding of the interplay between targets and drug properties, driving optimization of drug disposition and in vitro and in vivo PK/PD relationships of our compounds across different tissue and cell types.</w:t>
      </w:r>
    </w:p>
    <w:p>
      <w:pPr>
        <w:spacing w:after="0" w:line="18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Due to its unique advantages, TPD is capable of targeting proteins traditionally undrugged by small molecules. Specifically, TPD can target proteins without a catalytic function such as scaffolding proteins and transcription factors, with small molecule-like drug properties that can potentially be dosed orally and distributed systemically, unlike other modalities.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the catalytic nature of the degradation process, we believe the TPD modality has the potential to be therapeutically effective with smaller amounts of drug substance and less frequent dosing than traditional therapeutics. TPD molecules have been shown to be amenable to existing small molecule manufacturing principles which can be less costly than other therapeutic modalities.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disclosed clinical and near-term clinical stage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154305</wp:posOffset>
            </wp:positionV>
            <wp:extent cx="5408930" cy="256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0893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1</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Disclosed Immunology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STAT6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developing oral medicines that target STAT6, an essential transcription factor specific to the IL-4/IL-13 signaling pathway and the central driver of Type 2 inflammation in allergic and atopic diseases. STAT6 is a genetically validated target, and the IL-4/13 pathway has been clinically validated by approved biologics, including dupilumab, an injectable monoclonal antibody designed to treat T Helper 2 (TH2) diseases.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Pathway and Target</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STAT6 is the essential and specific transcription factor required for IL-4 and IL-13 cytokine-signaling and a central driver of TH2-driven inflammation in atopic and allergic diseases. The pathogenic role of STAT6 is supported by human genetics showing that gain of function mutations of STAT6 cause severe early onset allergic diseases in humans. Additionally, STAT6 knockout in mice is protective in multiple allergic disease models, and those mice develop normally and are viable and fertile. Published research also has demonstrated that a partial loss-of-function variant in STAT6, found in a study of individuals in Iceland, resulted in dampened IL-4 signaling and protection from TH2-driven asthma.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Opportunities</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estimate that more than 130 million people in the US, Europe and Japan suffer from diseases predominately driven by TH2 inflammation. There are existing therapeutics that have validated key pathways across many of these diseases, including atopic dermatitis, asthma, chronic obstructive pulmonary disease, chronic rhinosinusitis with nasal polyps, eosinophilic esophagitis, prurigo nodularis, bullous pemphigoid and others. Many of the existing treatments include injectable biologics, some of which have demonstrated strong efficacy, but which can be inconvenient for patients, difficult to reimburse and are costly to manufacture. Small molecule inhibitors have also been developed to treat certain TH2-mediated diseases, but often insufficiently block these signaling pathways, limiting their efficacy, and in certain cases may carry various safety risks. Based on its preclinical profile, we believe KT-621 has the potential to provide comparable clinical activity to biologics with the convenience of oral dosing and, as a result, the potential to access a broader patient population.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KT-621 has potential utility in many dermatology and respiratory indications including, but not limited to, atopic dermatitis (AD), asthma, chronic obstructive pulmonary disease (COPD), chronic rhinosinusitis with nasal polyps (CRSwNP), eosinophilic esophagitis (EoE), chronic spontaneous urticaria (CSU) and prurigo nodularis (PN), among others. We expect to focus our development strategy in these areas, which have been validated with existing treatments, such as dupilumab, that act to inhibit TH2 cell differentiation. We are initially targeting AD, asthma and COPD.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Atopic Dermatitis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Atopic dermatitis (AD) is a chronic, pruritic inflammatory skin disease that occurs most frequently in children but also affects adults. In the major global markets, the diagnosed prevalence of AD is estimated at 42 million patients, with approximately 60% falling into the moderate-to-severe category. AD follows a chronic relapsing course over months to years, with dry skin and severe pruritus as the primary symptoms, sometimes accompanied by skin thickening from chronic scratching and fissuring. AD is treated symptomatically with topical therapies, including emollients, corticosteroids, and phosphodiesterase inhibitors. The leading FDA-approved systemic treatment is the IL-4Ra targeting antibody dupilumab, which is considered a safe and effective treatment for AD. Nonetheless, penetration of existing therapies, including dupilumab, remains low, leaving a significant percentage of patients who are currently underserved.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Asthma</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Asthma is a chronic lung disease affecting people of all ages. It is caused by inflammation and muscle tightening around the airways, which makes it harder to breathe. Symptoms can include coughing, wheezing, shortness of breath and chest tightness. These symptoms can be mild or severe and can come and go over time. In major global markets, it is estimated that approximately 55 million people worldwide are diagnosed with asthma, with approximately 50% falling into the moderate or severe category. Asthma is a leading chronic disease in children, affecting about 5 million children under the age of 18. Treatments include inhaled corticosteroids, bronchodilator medications and biologics, such as dupilumab, for moderate to severe disease.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Obstructive Pulmonary Disease</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COPD is a progressive, chronic lung disease that makes it difficult to breathe. COPD damages the lungs and narrows the airways, making it difficult to move air in and out of the lungs. Smoking and air pollution are the most common causes of COPD, but it also affects nonsmokers. COPD develops gradually over many years, and symptoms are often initially mistaken for a smoker's cough or asthma. Diagnosis often occurs in patients over 60 years old, when symptoms worsen. Symptoms include coughing, shortness of breath, especially during mild activity, fatigue and frequent respiratory infections, significantly impacting quality of life. COPD is the third leading cause of death worldwide. It is estimated that approximately 34 million people worldwide are diagnosed with COPD, with up to 50% having uncontrolled disease. Treatments for COPD include inhaled steroids to reduce inflammation in the airways as well as bronchodilator inhalers to relax airways and improve airflow. Dupilumab is the only known biologic approved for the treatment of COPD.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KT-621 Preclinical Development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lead molecule in our STAT6 program is KT-621, an investigational, potentially first-in-class oral STAT6 degrader being developed for the treatment of immuno-inflammatory diseases. We have conducted comprehensive preclinical studies in multiple models to assess KT-621’s selectivity, potency, degradation levels, efficacy and tolerability.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Selectivity</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evaluated KT-621’s selectivity by measuring degradation of different proteins at concentrations as high as 100 times the DC90 of KT-621, which is the degradation concentration at which 90% of the target protein is degraded. In preclinical testing, STAT6 was the only protein that KT-621 degraded out of the approximately 10,000 proteins that were detected by mass spectrometry, as shown in Figure 2. Additionally, no other STAT proteins were degraded.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2668270</wp:posOffset>
            </wp:positionH>
            <wp:positionV relativeFrom="page">
              <wp:posOffset>706120</wp:posOffset>
            </wp:positionV>
            <wp:extent cx="2219960" cy="2957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219960"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2</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Potency</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evaluated KT-621 potency using TH2 functional assays to assess its impact on IL-4/IL-13 signaling. We measured IL-4 and IL-13 induced Thymus and activation-regulated chemokine (TARC), release assays in human Peripheral Blood Mononuclear Cells (PBMCs), IL-4/IL-13 induced CD23 expression assays in human CD19 B cells and IL-13 induced periostin release assays in human bronchial and esophageal smooth muscle cells. In these models, KT-621 fully blocked the IL-4/IL-13 pathway in human TH2 functional assays, with IC50’s lower than dupilumab, as shown in 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331470</wp:posOffset>
            </wp:positionV>
            <wp:extent cx="5760720" cy="131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3</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Degradation Levels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in vivo studies, KT-621 robustly degraded STAT6 across multiple preclinical species, including mouse, rat, dog and non-human primates (NHPs). In dogs, we tested doses ranging from 0.2 to 12.8 milligrams per kilogram (mpk), with doses between approximately 1 and 3 mpk leading to maximal STAT6 degradation near depletion, as shown in Figure 4. Additionally, KT-621, dosed at 10 mpk for 14 days, degraded STAT6 across key disease-relevant tissues, including blood, spleen, skin and lung in NHPs, as shown in Figure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706120</wp:posOffset>
            </wp:positionV>
            <wp:extent cx="5760720" cy="25114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4</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Efficacy</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understand its efficacy potential, we assessed KT-621 in a one-month lung inflammation model induced by intranasal house dust mite administration, which we believe is the most relevant preclinical model of TH2 inflammation. KT-621 was dosed in IL4/IL4Rα humanized mice once daily orally for 31 days at the same three dose levels, 2, 8 and 32 mpk, leading to 72%, 85% and 91% degradation in the spleen, respectively. As illustrated in Figure 5, the dominant TH2 inflammation was demonstrated by the greatly elevated IgE in the serum and TARC, two well-established TH2 biomarkers. KT-621 showed robust inhibition at all three dose levels. In preclinical testing, KT-621 blocked TH2 inflammation in vivo equally or better than an IL-4Rα saturating dose of dupilumab in the intranasal HDM asthma model for all these TH2 measures. KT-621 reduced disease severity in the lung in the HDM asthma model, with amelioration of lung remodeling seen after low daily oral doses of KT-621 comparable to dupilumab.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405765</wp:posOffset>
            </wp:positionV>
            <wp:extent cx="5263515" cy="23914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63515"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5</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Preclinical Tolerability</w:t>
      </w:r>
    </w:p>
    <w:p>
      <w:pPr>
        <w:spacing w:after="0" w:line="22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observed no adverse events in any of our preclinical safety studies of KT-621, including at doses that led to concentrations 30 to 40-fold above the predicted efficacious human exposures.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KT-621 Clinical Development</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fourth quarter of 2024, we initiated a Phase 1 clinical trial to test and assess single- and multiple-ascending doses of KT-621 in healthy adult volunteers. The Phase 1 trial is designed to evaluate KT-621’s safety, tolerability, PK and PD effects in an estimated 120 subjects. We expect to disclose the Phase 1 trial results of the single- and multiple- ascending study in the second quarter of 2025. In addition, we plan to initiate a Phase 1b trial in AD patients in the second quarter of 2025, and Phase 2b trials in AD and asthma patients in late 2025 and early 2026,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TYK2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developing highly potent and selective degraders of TYK2, required for Type I interferon, or IFN, IL-12 and IL-23 signaling with both genetic and clinical validation in autoimmune and inflammatory diseases.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Pathway and Target</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TYK2, a member of the Janus kinase (JAK) family of kinases, binds the IL-12, IL-23 and Type I IFN receptors to recruit and phosphorylate STAT transcription factors. Additionally, TYK2 has a well-established scaffolding function that plays a key role in cytokine receptor surface expression and activation. A loss of function variant is protective in autoimmune diseases and deucravacitnib, an allosteric inhibitor of TYK2, as well as multiple biological agents targeting IL-12, IL-23 and IFN-α have been approved for the treatment of multiple autoimmune diseases, making TYK2 a highly validated target.</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Degradation of TYK2, which can fully recapitulate the human knockout biology by completely removing the protein, has the potential to overcome the challenges of small molecule inhibitors, which have limitations due to lack of selectivity, limited target engagement, and/or lack of potent activity against Type I IFN, driven by inability to block the scaffolding function. TYK2 degraders have the potential to achieve full pathway inhibition of Type I IFN, IL-12 and IL-23 while sparing IL-10 in a once daily oral pill with a potential biologics-like activity profile.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Opportunities</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estimate that more than 20 million people in the US, Europe and Japan are diagnosed with Type I IFN and IL-12/IL-23 mediated diseases. There are numerous indication opportunities across multiple immunological therapeutic areas including dermatology, gastroenterology, rheumatology, and central nervous system. The potential for TYK2 to be effective across multiple indications is supported by pathway biologics and TYK2 small molecule inhibitors. We believe that TYK2 degradation differentiates from inhibition and has the potential to demonstrate full pathway inhibition comparable to biologics, but with the benefit of a daily, oral profile. As a result, we believe oral TYK2 degraders have the potential to be the first oral therapy to deliver biologic-like activity in diseases such as irritable bowel disease and psoriasis, among others.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KT-295 Preclinical Development</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lead molecule in our TYK2 program is KT-295, an investigational, first-in-class oral TYK2 degrader being developed for the treatment of autoimmune and inflammatory diseases. We have conducted comprehensive preclinical studies in multiple models to assess KT-295’s selectivity, potency, degradation levels and tolerability.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Preclinical Selectivity</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evaluated KT-295 selectivity by measuring degradation of different proteins at concentrations as high as 100 times the DC90 of KT-295. Based on our proteomics data, KT-295 is a highly selective picomolar TYK2 degrader. In particular, KT-295 is completely selective over the JAK family members, as shown in Figure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123190</wp:posOffset>
            </wp:positionV>
            <wp:extent cx="2134870" cy="2434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3487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Potency</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KT-295 achieved picomolar degradation in human PBMC and keratinocytes and low nanomolar (nM) inhibition of our functional assays across a range of cell types as shown in Figure 7. In preclinical in vitro cell assays, KT-295 potently inhibited STAT phosphorylation and downstream cytokine release in IL-23, IL-12 and type I IFN pathways. KT-295 demonstrated that we spare the IL-10 and IL-22 pathways completely.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123190</wp:posOffset>
            </wp:positionV>
            <wp:extent cx="3351530" cy="26142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Figure 7</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Preclinical Degradation Levels</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KT-295 achieved dose dependent degradation of TYK2 in vivo with low oral doses. Specifically, in non-human primates, upon repeat daily low oral doses, KT-295 can degrade TYK2 in a dose responsive manner and reach full degradation of TYK2, providing a path to full target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114300</wp:posOffset>
            </wp:positionV>
            <wp:extent cx="2820035" cy="2400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2003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8</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Tolerability</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tolerability of TYK2 degradation is supported by complete deficiency in humans where these individuals are generally healthy with some increased risk of mycobacteria and viral infections that are relatively mild, curable and tend not to recur. In completed preclinical studies, KT-295 was generally well tolerated with no adverse events related to KT-295 at any evaluated doses or concentrations. KT-295 IND-enabling studies are ongoing to support its advancement into Phase 1 testing.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KT-295 Clinical Development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intend to advance KT-295 into Phase 1 clinical testing in the second quarter of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IRAK4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collaborating with Sanofi on the development of drug candidates targeting IRAK4 outside of oncology and immuno-oncology fields. KT-474/SAR444656 is a highly active and selective oral IRAK4 degrader for the treatment of IL-1R/TLR-driven immuno-inflammatory conditions and diseases with high unmet medical need. Sanofi has advanced KT-474 into Phase 2 clinical trials in patients with HS and AD, both which were initiated in the fourth quarter of 2023. See the section entitled “Business—Collaborations—Collaboration Agreement with Sanofi” appearing elsewhere in this Annual Report for more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Pathway and Target</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IRAK4 is a key component of the myddosome, a multiprotein complex involved in innate immunity that mediates signaling through TLRs and IL-1Rs. The IRAK4 protein is ubiquitously expressed across multiple different tissue types, including skin, lymphoid tissue, bone marrow, gastrointestinal tract and lung. IL-1 family cytokines, including IL-1a, IL-1ß, IL-18, IL-36, and IL-33, have been implicated in a variety of different immunology-inflammation conditions and diseases. As both TLRs and IL-1Rs are involved in the production and response to all of these IL-1 family cytokines, IRAK4 targeting with a single small molecule degrader could impact multiple different cytokines and chemokines, having the potential to achieve 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broad, generally well-tolerated, anti-inflammatory effect, and providing a novel therapeutic approach to the treatment of IL-1R/TLR-driven diseases.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function of IRAK4 is dependent both on its kinase activity and on its scaffolding function, which are required for the assembly of the myddosome complex following TLR or IL-1R engagement and MYD88 activation. While the kinase function is primarily responsible for the phosphorylation events in the IRAK4-JNK axis, the scaffolding function is primarily responsible for the NF-KB activation and downstream gene traction of several key pro-inflammatory cytokines and chemokines.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is genetic de-risking of chronic IRAK4 suppression, as adult humans who lack IRAK4 due to null mutations are healthy. Clinical validation for targeting this pathway comes from IRAK4 small molecule inhibitors and from antibodies targeting individual IL-1 family cytokines that all signal through the IRAK4 protein in diseases that include AD, HS, rheumatoid arthritis, generalized pustular psoriasis, and others. Therefore, we believe that removing IRAK4 will be able to have the combined activity of all the known anti-IL-1 family biologics, achieving our best-in-pathway objective.</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IRAK4 degradation is superior to IRAK4 kinase inhibition. Our preclinical data suggests that it is critical to block both the kinase activity and scaffolding functions of the IRAK4 protein, which requires removal, as opposed to just inhibition, of the protein.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Opportunities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estimate that more than 140 million people in the US, Europe and Japan suffer from TH1-driven diseases. There are numerous cutaneous, rheumatic, and gastrointestinal immunology-inflammation disease indications for which pathogenesis involves IL-1 family cytokines as well as TLR stimulation. These present opportunities where we believe a highly efficient and selective IRAK4 degrader would provide significant advantages over both currently approved treatment options and those in clinical development. There are many diseases where the IL-1R/TLR pathway has been implicated in pathogenesis and there could be additional potential opportunities targeting respiratory, gastrointestinal and rheumatology conditions. We and our collaborator, Sanofi, are initially prioritizing HS and AD, autoimmune dermatologic conditions where there is clinical proof-of-concept for targeting cytokines impacted by the IL-1R/TLR pathway but for which there continues to be a high level of unmet need.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Hidradenitis Suppurativa</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Hidradenitis suppurativa (HS) is a chronic, destructive, painful and debilitating inflammatory skin disease affecting up to 1% of both the U.S. and global population. Patients with HS have numerous painful, draining nodules and abscesses, usually within skin folds, which are characterized by inflammation and bacterial colonization. Currently HS is treated symptomatically with corticosteroids, antibiotics and surgery. There are currently limited, effective FDA-approved treatment options for HS, which include biologics and are often limited to patients with moderate to severe disease. We believe there remains a high unmet need for better therapies for the treatment of HS.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Atopic Dermatitis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Atopic dermatitis (AD) is a chronic, pruritic inflammatory skin disease that occurs most frequently in children but also affects adults. In the major global markets, the diagnosed prevalence of AD is estimated at 42 million patients, with approximately 60% falling into the moderate-to-severe category. AD follows a chronic relapsing course over months to years, with dry skin and severe pruritus as the primary symptoms, sometimes accompanied by skin thickening from chronic scratching and fissuring. AD is treated symptomatically with topical therapies, including emollients, corticosteroids, and phosphodiesterase inhibitors. The leading FDA-approved systemic treatment is the IL-4Ra targeting antibody dupilumab, which is considered a safe and effective treatment for AD. Nonetheless, penetration of existing therapies, including dupilumab, remains low, leaving a significant percentage of patients who are currently underserved.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KT-474 Preclinical Development</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demonstrated KT-474’s high activity, selectivity and therapeutic potential in both in vitro and in vivo studies. Preclinical data show that orally administered KT-474 safely and selectively suppressed IRAK4 expression in rodents and non-rodents, inhibited inflammation, including neutrophil infiltration, in murine models mechanistically relevant to the pathogenesis of HS and AD and potentially other diseases, and demonstrated a therapeutic advantage of IRAK4 degradation over IRAK4 kinase inhibition.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KT-474 Clinical Development</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KT-474 Phase 1 program three-part trial was designed to evaluate single and multiple ascending doses of KT-474 to assess safety, tolerability and pharmacokinetics in healthy adult volunteers and then in HS and AD patients.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single ascending dose, or SAD, and multiple ascending dose, or MAD, portions of the KT-474 Phase 1 trial evaluated safety, tolerability and pharmacokinetics in 105 healthy volunteers. The SAD (Part A) consisted of single doses ranging from 25 to 1600 mg. The MAD (Part B) consisted of escalating doses ranging from 50 mg to 200 mg that were administered for 14 consecutive days. KT-474 demonstrated &gt;95% and sustained IRAK4 degradation with single and multiple daily doses and broad inhibition of ex vivo TLR-mediated cytokine induction. KT-474 was generally well-tolerated across all dose groups.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Phase 1 trial included a patient cohort (Part C) which was an open label study in a total of 21 HS and AD patients. The patients were administered a 75 mg daily dose taken with food, which we estimated would be equivalent exposure to 100 mg fasted. The patient cohort dose of 75 mg was administered for 28 consecutive days. Baseline IRAK4 levels in skin lesions of evaluable HS and AD patients were approximately twice the levels of healthy volunteers. By Day 28 of dosing, the mean IRAK4 level in skin lesions of AD and HS patients was reduced to approximately the same level as healthy volunteers. In addition, promising clinical activity was observed in HS and AD patients including a reduction of signs and symptoms of HS and AD. The Phase 1 data was published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xml:space="preserve"> in November 2023.</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KT-474 Phase 1 trial, the proportion of HiSCR50 responders was 50% in those with moderate-to-severe disease. Hidradenitis Suppurativa Clinical Response (HiSCR) is a validated clinical tool that has been used to assess efficacy in HS patients. HiSCR50 response is defined as a 50% or greater reduction in inflammatory lesions and no increase in abscesses or draining fistulas. Symptoms of pain were significantly impacted by KT-474 with an average reduction in patients with moderate to severe disease of 55%, with a maximum reduction occurring between days 28 and 42. Figure 9 highlights the initial clinical impact of KT-474 in HS patients in the third part of the Phase 1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128270</wp:posOffset>
            </wp:positionV>
            <wp:extent cx="5048885" cy="2442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48885"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9</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 w:name="page17"/>
    <w:bookmarkEnd w:id="16"/>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there was a mean 37% reduction in skin lesions as measured using the EASI score with reductions in individual AD patients of up to 76%. Maximum reduction was seen by day 28 and was maintained at day 42. The Eczema Area and Severity Index (EASI) is a validated tool that measures the severity of atopic dermatitis. Peak pruritus was reduced by an average of 52% and 63%, respectively, with maximum reductions occurring by day 42. Figure 10 highlights the initial clinical impact of KT-474 in AD patients in the third part of the Phase 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57150</wp:posOffset>
            </wp:positionV>
            <wp:extent cx="5760720" cy="27260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072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Figure 10</w:t>
      </w:r>
    </w:p>
    <w:p>
      <w:pPr>
        <w:spacing w:after="0" w:line="23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Clinical endpoints associated with improvement in skin lesions and symptoms addressing disease burden resulted in substantial responses in the majority of both HS and AD patients evaluated.</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KT-474 was generally well-tolerated across all dose groups. There were no serious adverse events, no drug-related infections, and no adverse events observed leading to dose interruption or discontinuation. A modest, non-adverse QTc prolongation, consistent with that observed by Day 7 in the MAD healthy volunteer study, was also observed in the patient cohort but spontaneously resolved back to baseline with continued dosing during the 28-day dosing period.</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fourth quarter of 2023, Sanofi initiated two Phase 2 clinical trials. The Phase 2 randomized, double-blind, placebo-controlled, dose ranging trials are evaluating the safety and efficacy of KT-474 as a potential treatment of HS and AD. In July 2024, Sanofi communicated to Kymera its decision to expand the ongoing Phase 2 trials in HS and AD following an interim review of safety and efficacy data by an independent data monitoring committee. The expansion of the ongoing HS and AD KT-474 Phase 2 studies to larger dose-ranging Phase 2b studies is intended to accelerate overall development timelines and enable a subsequent transition into registrational Phase 3 trials. The HS and AD Phase 2b trials are expected to be completed in the first half of 2026 and mid-2026, respectively. Additionally, we and Sanofi are evaluating opportunities to expand in indications beyond HS and AD.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Sanofi (formerly Genzyme Corporation)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July 7, 2020, we entered into a collaboration agreement, or the Original Sanofi Agreement, with Genzyme Corporation, a subsidiary of Sanofi, to co-develop drug candidates directed to two biological targets. The Original Sanofi Agreement became effective during the third quarter of 2020.</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 The Original Sanofi Agreement, as amended by the Amended Sanofi Agreement, is referred to herein as the Sanofi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 w:name="page18"/>
    <w:bookmarkEnd w:id="17"/>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Sanofi Agreement, we granted to Sanofi a worldwide exclusive license to develop, manufacture and commercialize certain lead compounds generated during the collaboration directed against IRAK4 and one additional undisclosed target in an undisclosed field of use. Such license is exercisable on a collaboration target-by-collaboration target basis only after a specified milestone. For compounds directed against IRAK4, the field of use includes diagnosis, treatment, cure, mitigation or prevention of any diseases, disorders or conditions, excluding oncology and immune-oncology.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Sanofi Agreement, with respect to both targets we are responsible for discovery and preclinical research and conducting a phase 1 clinical trial for at least one degrader directed against IRAK4 plus up to three back up degraders, the costs of which will be borne by us, except in certain circumstances. With respect to both targets, Sanofi is responsible for development, manufacturing, and commercialization of product candidates after a specified development milestone occurs with respect to each collaboration candidate.</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pursuant to the Sanofi Agreement, Sanofi will grant to us an exclusive option, or Opt-In Right, exercisable, at our sole discretion, on a collaboration target-by-collaboration target basis that will include the right to (i)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we exercise our Opt-In Right, Sanofi will grant to us an exclusive option, applicable to each collaboration target, which upon exercise will allow us to conduct certain co-promotion activities in the field in the United States.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and commercial milestone payments of up to $700.0 million, in the aggregate. Of these milestones, we remain eligible to receive up to $1.0 billion in development milestones upon the achievement of certain developmental or regulatory events, and up to $400.0 million in commercial milestones which are payable upon the achievement of certain net sales thresholds, all of which are related to the IRAK4 program. We will further be eligible to receive tiered royalties on net sales ranging from the high single digits to high teens, subject to low-single digits upward adjustments in certain circumstances.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We or Sanofi may terminate the agreement upon the other party’s material breach or insolvency or for certain patent challenges. In addition, Sanofi may terminate the agreement for convenience or for a material safety event upon advance prior written notice, and we may terminate the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in December 2022, Sanofi provided us with written notice of its intention to take KT-474 into Phase 2 clinical trials. In the fourth quarter of 2023, the Company achieved two milestones of $40.0 million and $15.0 million relating to the dosing of the first patient in the Phase 2 clinical trial for the first and second indications, respectively. As of December 31, 2024, the Company had received both the $40.0 million milestone and the $15.0 million milestone.</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the undisclosed target and we are no longer eligible for the milestone and royalty payments associated with the second target.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 Supply Chain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our drug candidates and currently have no plans to build our own clinical or commercial scale manufacturing capabilities. We currently engage with third-party contract manufacturing organizations, or CMOs, for the manufacture of our drug candidates for preclinical studies, and we intend to continue to do so in the future. We rely on and expect to continue to rely on third-party manufacturers for the production of both drug substance and finished drug product. We have engaged third-party manufacturers to supply the drug substances for our drug candidates and a third-party manufacturer to develop and manufacture finished drug products that we are using in our clinical trials. We currently obtain our supplies from these manufacturers on a purchase order basis and do not have long-term supply arrangements in place. Should any of these manufacturers become unavailable to us for any reason, we believe that there are a number of potential replacements, although we may incur some delay in identifying and qualifying such replacements.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 w:name="page19"/>
    <w:bookmarkEnd w:id="18"/>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All of our drug candidates are organic compounds of low molecular weight, generally called small molecules, but which are larger than traditional small molecule therapeutics. We have selected these compounds not only on the basis of their potential efficacy and safety, but also because we anticipate an ease of synthesis and cost of goods. We have produced drug substances and drug products for use in our clinical trials and continue to refine our production processes. The drug substance and drug product processes are amenable to scale-up and do not require unusual equipment in the manufacturing process. To adequately meet our needs for late-stage clinical and commercial manufacturing, our suppliers will need to scale their production, or we will need to secure alternate suppliers.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biotechnology industry is extremely competitive in the race to develop new products. While we believe we have significant competitive advantages with our years of expertise in targeted protein degradation, clinical development expertise, and intellectual property position, we currently face and will continue to face competition for our development programs from companies that use targeted protein degradation or targeted protein degradation development platforms, and from companies focused on more traditional therapeutic modalities such as small molecules and antibodies. The competition is likely to come from multiple sources, including larger pharmaceutical companies, biotechnology companies, and academia.</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Companies developing small molecule protein degraders therapies for patients, include, but are not limited to, Arvinas, Inc., C4 Therapeutics, Inc., Nurix Therapeutics, Inc., and Foghorn Therapeutics, Inc. Further, several pharmaceutical companies have disclosed preclinical investments in this field. Our competitors will also include companies that are or will be developing other targeted protein degradation methods as well as small molecule, antibody, or gene therapies for the same indications that we are targeting. In addition to competitors we face in developing small molecule protein degraders, we will also face competition in the indications we expect to pursue with our IRAK4, STAT6 and TYK2 programs. In particular, several pharmaceutical companies have announced partnerships around programs targeting STAT6, including Sanofi, Johnson &amp; Johnson and Gilead Sciences, Inc.</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More broadly, many of the indications targeted by our programs have approved standards of care which may include more traditional therapeutic modalities. In order to compete effectively with these existing therapies, we will need to demonstrate that our protein degrader therapies are favorable to existing therapeutics.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secure intellectual property protection for our product candidates and future products, as well as our platform protein degradation technologies and any other relevant inventions and improvements that are considered commercially important to our business. Our success also depends on our ability to defend and enforce our intellectual property rights, preserve the confidentiality of our proprietary information, and operate without infringing, misappropriating or otherwise violating the valid and enforceable patents and proprietary rights of third parties.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secure and maintain intellectual property protection for our product candidates, future products, and other proprietary technologies will depend on our success in obtaining effective patent coverage and enforcing those patents if granted. However, we cannot guarantee that our pending patent applications, and any patent applications that we may in the future file, will result in the issuance of patents, or that any issued patents we may obtain will provide sufficient proprietary protection from competitors. Any issued patents that we obtain may be challenged, invalidated, or circumvented by third parties.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patents, we also rely on trade secrets, know-how and continuing technological innovation to develop and maintain our competitive position. We seek to protect our proprietary technology, in part, through confidentiality agreements and invention assignment agreements with our employees, consultants, scientific advisors, contractors and potential collaborators.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Patent Portfolio</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intellectual property includes a portfolio of wholly owned patent families covering our platform E3 ligase ligand technology and our novel bifunctional degrader product candidates, including claims to compositions of matter, pharmaceutical compositions, methods of use, methods of treatment, and other related compounds and methods. Our intellectual property portfolio is in its early development stages, and, as of December 31, 2024, included 31 granted U.S. patents, about 92 U.S. patent applications, about 31 international patent applications, 12 granted foreign patents, and about 543 foreign patent applications. Our patent portfolio is generally organized into two categories: (1) platform E3 ligase ligand patent families and (2) protein degrader patent families, including various target-specific degrader patent families.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i w:val="1"/>
          <w:iCs w:val="1"/>
          <w:color w:val="auto"/>
        </w:rPr>
        <w:t>Platform E3 Ligase Ligand Patent Families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platform E3 ligase ligand patent families are wholly owned and include four patent families directed to novel ligands for the cereblon E3 ubiquitin ligase, as well as methods of treatment and other related methods. As of December 31, 2024, our platform E3 ligase ligand patent families included five granted U.S. patents, four U.S. patent applications, and three patent applications in Europe. Any U.S. or foreign patents resulting from these applications, if granted and all appropriate maintenance fees paid, are expected to expire between 2038 and 2045, absent any patent term adjustments or extensions.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Protein Degrader Patent Families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protein degrader patent families are wholly owned and are directed to novel bifunctional degrader compounds that are useful in affecting ubiquitination of a target protein, as well as methods of treatment and other related methods. As of December 31, 2024, our protein degrader patent families included three granted U.S. patents, and about 26 patent applications in U.S., PCT, and foreign jurisdictions, such as Australia, Canada, Europe, Israel, Japan, Mexico, New Zealand, and the Russian Federation. Any U.S. or foreign patents resulting from these applications, if granted and all appropriate maintenance fees paid, are expected to expire between 2038 and 2043, absent any patent term adjustments or extensions.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Target-Specific Degrader Patent Families</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target-specific degrader patent families focus protection around degrader compounds that are designed to target specific proteins for degradation, as well as methods of treatment and other related methods. Such targets include, for example, IRAK (interleukin-1 receptor-associated kinases) and STAT (signal transducers and activators of transcription). As of December 31, 2024, our target-specific degrader patent families included 23 granted U.S. patents, seven granted foreign patents, and about 617 patent applications filed in U.S., PCT, and foreign jurisdictions, such as Australia, Brazil, Canada, China, Eurasia, Europe, Israel, India, Japan, Mexico, New Zealand, Singapore, South Africa, and Taiwan. Any U.S. or foreign patents resulting from our target-specific degrader patent families, if granted and all appropriate maintenance fees paid, are expected to expire between 2038 and 2045, absent any patent term adjustments or extensions.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IRAK-Specific Patent Families</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IRAK-specific patent families are wholly owned and include patent families covering degrader compounds that are designed to specifically target IRAK for degradation and patent families covering novel IRAK ligands. As of December 31, 2024, our IRAK-specific patent families included 17 granted U.S. patents, seven granted foreign patents, and about 367 patent applications filed in U.S., PCT, and foreign jurisdictions, such as Australia, Argentina, Brazil, Canada, China, Europe, Eurasia, Gulf Cooperation Council, Israel, India, Japan, Mexico, New Zealand, Singapore, South Africa, and Taiwan. Any U.S. or foreign patents resulting from our IRAK-specific patent families, if granted and all appropriate maintenance fees paid, are expected to expire between 2038 and 2044, absent any patent term adjustments or extensions.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With respect to the KT-474 product candidate, as of December 31, 2024, we own eight granted U.S. patents, nine pending U.S. patent applications, four pending international patent applications, three granted foreign patents and about 183 patent applications filed in foreign jurisdictions, such as Australia, Brazil, Canada, China, Europe, Israel, India, Japan, South Korea, Mexico, New Zealand, Singapore, South Africa, and Taiwan, each with claims directed to compositions of matter covering KT-474 and/or methods of making or using KT-474. Any U.S. or foreign patents resulting from these patent families, if granted and all appropriate maintenance fees paid, are expected to expire between 2039 and 2044, absent any patent term adjustments or extensions.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STAT-Specific Patent Families</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STAT-specific patent families focus on degrader compounds that are designed to specifically target signal transducers and activators of transcription (STAT) for degradation. As of December 31, 2024, our STAT-specific patent families included three granted U.S. patents and about 106 patent applications filed in U.S., PCT, and foreign jurisdictions, such as Australia, Canada, China, Eurasia, Europe, India, Israel, Japan, South Korea, Mexico, and Taiwan. Two of the international patent applications directed to methods of treatment are co-owned with academic collaborators, and the remaining STAT-specific patent families are wholly owned. Any U.S. or foreign patents resulting from our STAT-specific patent families, if granted and all appropriate maintenance fees paid, are expected to expire between 2040 and 2044, absent any patent term adjustments or extensions.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i w:val="1"/>
          <w:iCs w:val="1"/>
          <w:color w:val="auto"/>
        </w:rPr>
        <w:t>Other Target-Specific Patent Families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we own three granted U.S. patents and about 132 patent applications filed in U.S., PCT, and foreign jurisdictions, such as Australia, Argentina, Brazil, Canada, China, Europe, Gulf Cooperation Council, Israel, India, Japan, Mexico, New Zealand, Singapore, South Africa, and Taiwan which focus on degrader compounds designed to specifically target other proteins. Any U.S. or foreign patents resulting from these patent families, if granted and all appropriate maintenance fees paid, are expected to expire between 2040 and 2044, absent any patent term adjustments or extensions.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term of individual patents may vary based on the countries in which they are obtained. Generally, patents issued from applications filed in the United States are effective for 20 years from the earliest effective non-provisional filing date. In certain cases, a patent term can be extended to recapture a portion of the term effectively lost as a result of the FDA regulatory review period. With regard to a drug for which FDA approval is the first permitted marketing of the active ingredient, the Hatch-Waxman Act allows for extension of the term of one U.S. patent that includes at least one claim covering the composition of matter of an FDA approved drug, an FDA-approved method of treatment using the drug, and/or a method of manufacturing the FDA-approved drug. The Hatch-Waxman Act permits a patent term extension of up to five years beyond the expiration of the patent, though the total patent term, including any extension, must not exceed 14 years following FDA approval. A patent can only be extended once, such that, if a single patent is applicable to multiple products, it can only be extended based on one product.</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duration of patents outside of the United States varies in accordance with provisions of applicable local law, but typically is also 20 years from the earliest effective national filing date.</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Similar patent term extension provisions are available in Europe and other foreign jurisdictions to extend the term of a patent covering an approved drug. When possible, we expect to apply for patent term extensions for patents covering our product candidates and their methods of use.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22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filed and intend to file applications for trademark registrations in connection with our product candidates and other technologies in various jurisdictions, including the United States and the European Union. All of our European Union trademarks in existence as of December 31, 2020 were automatically cloned onto the United Kingdom register due to “Brexit.”</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our trademark portfolio includes registrations and allowed applications of the KYMERA mark and the KYMERA THERAPEUTICS mark in the United States, Europe, and Canada, all covering Class 5 pharmaceutical and medical preparations and therapeutics and Class 42 pharmaceutical research and development and drug development and discovery services, and registrations, allowed applications, and pending applications in Europe, the United States, and Canada respectively for our K &amp; Design logo mark covering the same goods and services.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also hold registrations of E3 HUMAN ATLAS and E3 LIGASE WHOLE BODY ATLAS in the European Union and the United Kingdom covering Class 42 pharmaceutical research and development and drug development and discovery services.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Trade Secrets</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patents, we may rely on trade secrets and know-how to develop and maintain our competitive position. Companies typically rely on trade secrets to protect aspects of their business that are not amenable to, or that they do not consider appropriate for, patent protection. We protect trade secrets, if any, and know-how by establishing confidentiality agreements and invention assignment agreements with our employees, consultants, scientific advisors, contractors and partners. These agreements provide that all confidential information developed or made known during the course of an individual or entity’s relationship with us must be kept confidential during and after the relationship. These agreements also generally provide that all relevant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We, along with our vendors, contract research organizations and contract manufacturers,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U.S., the FDA regulates drug products under the Federal Food, Drug, and Cosmetic Act, or FD&amp;C Act, as amended, its implementing regulations and other laws. If we fail to comply with applicable FDA or other 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our product candidates are approved as drugs for therapeutic indications and may be marketed in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involves the following:</w:t>
      </w:r>
    </w:p>
    <w:p>
      <w:pPr>
        <w:spacing w:after="0" w:line="99" w:lineRule="exact"/>
        <w:rPr>
          <w:sz w:val="20"/>
          <w:szCs w:val="20"/>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clinical trials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independent ethics committee at each clinical trial site before each trial may be initiated;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accept the filing for review;</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clinical trial sites that generated the data in support of the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including consideration of the views of any FDA advisory committee, prior to any commercial marketing or sale of the drug in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for Drugs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Before testing any drug in humans, the product candidate must undergo rigorous preclinical testing. Preclinical studies include laboratory evaluations of drug chemistry, formulation and stability, as well as in vitro and animal studies to assess safety and in some cases to establish the rationale for therapeutic use. The conduct of preclinical studies is subject to federal and state regulations and requirements, including GLP requirements for safety/toxicology studies. The results of the preclinical studies, together with manufacturing information and analytical data must be submitted to the FDA as part of an IND. An IND is a request for authorization from the FDA to administer an investigational product to humans and must become effective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color w:val="auto"/>
        </w:rPr>
        <w:t>before clinical trials may begin.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patients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patients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patients are being exposed to an unacceptable health risk. There also are requirements governing the reporting of ongoing clinical trials and completed clinical trials to public registries. Information about applicable clinical trials, including clinical trial results, must be submitted within specific timeframes for publication on the www.clinicaltrials.gov website.</w:t>
      </w:r>
    </w:p>
    <w:p>
      <w:pPr>
        <w:spacing w:after="0" w:line="8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if the study was conducted in accordance with GCP requirements, and the FDA is able to validate the data through an onsite inspection if deemed necessary.</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NDAs for marketing approval are typically conducted in three sequential phases, which may overlap.</w:t>
      </w:r>
    </w:p>
    <w:p>
      <w:pPr>
        <w:spacing w:after="0" w:line="52" w:lineRule="exact"/>
        <w:rPr>
          <w:sz w:val="20"/>
          <w:szCs w:val="20"/>
          <w:color w:val="auto"/>
        </w:rPr>
      </w:pPr>
    </w:p>
    <w:p>
      <w:pPr>
        <w:jc w:val="both"/>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—Phase 1 clinical trials involve initial introduction of the investigational product into healthy human volunteers or patients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—Phase 2 clinical trials typically involve administration of the investigational product to a limited patient population with a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or condition to evaluate the drug’s potential efficacy, to determine the optimal dosages and dosing schedule and to identify possible adverse side effects and safety risks.</w:t>
      </w:r>
    </w:p>
    <w:p>
      <w:pPr>
        <w:spacing w:after="0" w:line="6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—Phase 3 clinical trials typically involve administration of the investigational product to an expanded patient population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w:t>
      </w:r>
    </w:p>
    <w:p>
      <w:pPr>
        <w:spacing w:after="0" w:line="7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in vitro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Marketing Approval for Drugs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An NDA is a request for approval to market a new drug for one or more specified indications and must contain proof of the drug’s safety and efficacy for the requested indications. The marketing 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an NDA must be obtained before a drug may be marketed in the U.S.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reviews all submitted NDAs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drug is safe and effective for the indications sought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 new molecular entity NDA and respond to the applicant, and six months from the filing date of a new molecular entity NDA receiving priority review. The FDA does not always meet its PDUFA goal dates for standard or priority review NDAs, and the review process is often extended by FDA requests for additional information or clarification.</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under PDUFA, as amended, each NDA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also may require submission of a Risk Evaluation and Mitigation Strategy, or REMS, program if it believes that a risk evaluation and mitigation strategy is necessary to ensure that the benefits of the drug outweigh its risks. The REMS program could include use of risk evaluation and mitigation strategies like medication guides, physician communication plans, assessment plans and/or elements to assure safe use, such as restricted distribution methods, patient registries or other risk-minimization tools.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of 1983, the FDA may grant orphan designation to a drug intended to treat a rare disease or condition, which is a disease or condition that affects fewer than 200,000 individuals in the U.S., or if it affects more than 200,000 individuals in the U.S., there is no reasonable expectation that the cost of developing and making the product available in the U.S. for the disease or condition will be recovered from sales of the product. Orphan designation must be requested before submitting an NDA.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Drugs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Accelerated Approval and platform technology designation and the purpose of these programs is to either expedite the development or review of important new drugs to get them to patients earlier than under standard FDA development and review procedures.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new drug is eligible for Fast Track designation if it is intended to treat a serious or life-threatening disease or condition and demonstrates the potential to address unmet medical needs for such disease or condition. Fast Track designation provides increased opportunities for sponsor interactions with the FDA during preclinical and clinical development, in addition to the potential for rolling review once a marketing application is filed, meaning that the agency may review portions of the marketing application before the sponsor submits the complete application, as well as Priority Review, discussed below.</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a new drug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drug development program beginning as early as Phase 1, and FDA organizational commitment to expedited development, including involvement of senior managers and experienced review staff in a cross-disciplinary review, where appropriate.</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if it has the potential to provide a significant improvement in safety or effectiveness in the treatment, diagnosis or prevention of a serious disease or condition. Under priority review, the FDA must review an application in six months compared to ten months for a standard review.</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Accelerated Approval is usually contingent on a sponsor’s agreement to conduct additional post-approval studies to verify and describe the product’s clinical benefit and, under the Food and Drug Omnibus Reform Act of 2022, or FDORA, the FDA is now permitted to require, as appropriate, that such trials be underway prior to approval or within a specific time period after the date of approval for a product granted accelerated approval. Under FDORA, the FDA has increased authority for expedited procedures to withdraw approval of a drug or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FDORA, a platform technology incorporated within or utilized by a drug or biological product is eligible for designation as a designated platform technology if (1) the platform technology is incorporated in, or utilized by, a drug approved under an NDA; (2) preliminary evidence submitted by the sponsor of the approved or licensed drug, or a sponsor that has been granted a right of reference to data submitted in the application for such drug, demonstrates that the platform technology has the potential to be incorporated in, or utilized by, more than one drug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drug that incorporates or utilizes the platform technology that is the subject of the request. If so designated, the FDA may expedite the development and review of any subsequent original NDA for a drug that uses or incorporates the platform technology.</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 and Pediatric Exclusivity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the Pediatric Research Equity Act, or PREA, as amended,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drug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trial.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drug can also obtain pediatric market exclusivity in the U.S. Pediatric exclusivity, if granted, adds six months to existing exclusivity periods for all formulations, dosage forms, indications of the active moiety and patent terms. This six-month exclusivity, which runs from the end of other exclusivity protection, may be granted based on the voluntary completion of a pediatric trial or of multiple pediatric trials in accordance with an FDA-issued “Written Request” for such trials, provided that at the time pediatric exclusivity is granted there is not less than nine months of term remaining.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Post-Approval Requirements for Drugs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jc w:val="both"/>
        <w:spacing w:after="0" w:line="253" w:lineRule="auto"/>
        <w:rPr>
          <w:sz w:val="20"/>
          <w:szCs w:val="20"/>
          <w:color w:val="auto"/>
        </w:rPr>
      </w:pPr>
      <w:r>
        <w:rPr>
          <w:rFonts w:ascii="Times New Roman" w:cs="Times New Roman" w:eastAsia="Times New Roman" w:hAnsi="Times New Roman"/>
          <w:sz w:val="18"/>
          <w:szCs w:val="18"/>
          <w:color w:val="auto"/>
        </w:rPr>
        <w:t>distribution, tracking and tracing,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Although physicians may prescribe legally available products for off-label uses, manufacturers and individuals working on behalf of manufacturers may not market or promote such uses.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Prescription drug promotional materials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drug manufacturers and their subcontractors involved in the manufacture and distribution of approved drugs, and those supplying products, ingredients, and components of them,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prescription drug product program user fee.</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72"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withdrawal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or mandated modification of promotional materials and labeling and issuance of corrective information.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Manufacturing, sales, promotion and other activities of product candidates following product approval, where applicable, or commercialization are also subject to regulation by numerous regulatory authorities in the U.S. in addition to the FDA, which may include the Centers for Medicare &amp; Medicaid Services, or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Drug companies are subject to additional healthcare regulation and enforcement by the federal government and by authorities in the states and foreign jurisdictions in which they conduct their business. These laws and regulations may limit our relationships with our partners, providers, and third-party payors. Such laws include, without limitation, state and federal anti-kickback, fraud and abuse, false claims, and transparency laws and regulations related to drug pricing and payments and other transfers of value made to physicians and other healthcare providers. They also include patient data privacy and security laws and regulations.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governmental authorities will conclude that our business practices do not comply with current or future fraud and abuse laws or other healthcare laws and regulations. If our operations or our partners’ operations are found to be in violation of any of such laws or any other governmental regulations that apply, by extension,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These laws are broadly applicable, and the scope and enforcement of each of these laws is uncertain and subject to rapid change. Ensuring business arrangements comply with applicable healthcare laws, as well as responding to possible investigations by government authorities, can be time- and resource-consuming and can divert a company’s attention from its business.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Insurance Coverage and Reimbursement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and markets in other countries, providers and patients generally rely on third-party payors to reimburse associated healthcare costs. Even if a product candidate is approved, sales of the product will depend, in part, on the extent to which third-party payors (like Medicare and Medicaid, commercial health insurers and managed care organizations, among others) provide coverage and establish adequate reimbursement levels for the product.</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principal decisions about reimbursement for new drugs are typically made by the Centers for Medicare &amp; Medicaid Services, or CMS, an agency within the U.S. Department of Health and Human Services. CMS decides whether and to what extent a new medicine will be covered and reimbursed under Medicare. Private payors tend to follow CMS. No uniform policy of coverage and reimbursement for drug products exists among all third-party payors, and coverage and reimbursement can differ significantly from payor to payor for the same product.</w:t>
      </w:r>
    </w:p>
    <w:p>
      <w:pPr>
        <w:spacing w:after="0" w:line="72" w:lineRule="exact"/>
        <w:rPr>
          <w:sz w:val="20"/>
          <w:szCs w:val="20"/>
          <w:color w:val="auto"/>
        </w:rPr>
      </w:pPr>
    </w:p>
    <w:p>
      <w:pPr>
        <w:jc w:val="both"/>
        <w:ind w:firstLine="560"/>
        <w:spacing w:after="0" w:line="261" w:lineRule="auto"/>
        <w:rPr>
          <w:sz w:val="20"/>
          <w:szCs w:val="20"/>
          <w:color w:val="auto"/>
        </w:rPr>
      </w:pPr>
      <w:r>
        <w:rPr>
          <w:rFonts w:ascii="Times New Roman" w:cs="Times New Roman" w:eastAsia="Times New Roman" w:hAnsi="Times New Roman"/>
          <w:sz w:val="18"/>
          <w:szCs w:val="18"/>
          <w:color w:val="auto"/>
        </w:rPr>
        <w:t>The process for determining whether a third-party payor will provide coverage for a product may be separate from the process for setting the price or reimbursement rate that the payor will pay for the product. Third-party payors increasingly challenge the prices charged, examine medical necessity, review the cost-effectiveness of medical products and services and impose controls to manage costs. Third-party payors may limit coverage to products on an approved formulary, which might not include all of the approved products for a particular indication.</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secure coverage and reimbursement for any product that obtains approval, a company may need to conduct expensive pharmacoeconomic studies to demonstrate medical necessity and cost-effectiveness. This requires additional expenditure above and beyond the costs required to obtain FDA or other regulatory approvals. Companies may also need to provide discounts to purchasers, private health plans or government healthcare programs. Products may not be considered medically necessary or cost effective. A decision by a third-party payor not to cover a product could reduce physician utilization once the product is approved and have a material adverse effect on sales, our operations and financial condition.</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United States, there has always been and likely will continue to be proposed and finalized changes to reform the healthcare system, including attempts to broaden the availability of healthcare, improve the quality of healthcare, and contain or lower the cost of healthcare.</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significant example of such a healthcare reform measure is the Affordable Care Act, or ACA, enacted in March 2010. The ACA, among other things, changed coverage and payment policies for products and services under government health care programs, including many provisions that affected how drug products are covered and reimbursed, included various reporting requirements for drug companies, and subjected drug companies to revisions in the calculation and payment of various rebate liability obligations owed to the government under various drug reimbursement programs. It also expanded requirements for drug manufacturers to provide coverage in the form of discounts under the Medicare Part D program.</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the ACA, and we expect there will be additional challenges and amendments to the ACA in the future. This likely includes efforts to challenge, repeal or replace the ACA. Other legislative healthcare reform measures have been enacted since the ACA and include, for example, legislative changes to how drug manufacturers calculate rebates owed under the Medicaid drug rebate program.</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Although a number of these and other measures may require additional authorization to become effective, Congress and the current administration have each indicated that it will continue to seek new legislative and/or administrative measures to control drug costs.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Most recently, the Inflation Reduction Act of 2022, included several provisions that may impact our business to varying degrees. This includes reducing the annual out-of-pocket spending cap for Medicare Part D beneficiaries from $7,050 to $2,000 starting in 2025; imposing new manufacturer financial liability on many drugs reimbursed under Medicare Part D; and allowing the U.S. government to negotiate Medicare pricing for certain high-cost drugs and biologics without generic or biosimilar competition. The IRA also requires drug companies to pay rebates to Medicare for drug prices that increase faster than inflation.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that challenges the constitutionality of the IRA’s Medicare drug price negotiation program. The effects of the IRA on our business and the healthcare industry in general is not yet known.</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jc w:val="both"/>
        <w:spacing w:after="0" w:line="266" w:lineRule="auto"/>
        <w:rPr>
          <w:sz w:val="20"/>
          <w:szCs w:val="20"/>
          <w:color w:val="auto"/>
        </w:rPr>
      </w:pPr>
      <w:r>
        <w:rPr>
          <w:rFonts w:ascii="Times New Roman" w:cs="Times New Roman" w:eastAsia="Times New Roman" w:hAnsi="Times New Roman"/>
          <w:sz w:val="18"/>
          <w:szCs w:val="18"/>
          <w:color w:val="auto"/>
        </w:rPr>
        <w:t>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other federal and state laws or requirements; changing legal requirements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any products that we may develop are made available to authorized users of the Federal Supply Schedule of the General Services Administration, additional laws and requirements apply. Products must meet applicable child-resistant packaging requirements under the U.S. Poison Prevention Packaging Act. Manufacturing, labeling, packaging, distribution, sales, promotion and other activities also are potentially subject to federal and state consumer protection and unfair competition laws, among other requirements to which we may be subject.</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Changes in regulations, statutes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Environmental, Health and Safety Laws and Regulations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Drugs Outside of the United States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market any product outside of the U.S., we would need to comply with numerous and varying regulatory requirements of other countries regarding safety and efficacy and governing, among other things, clinical trials, marketing authorization or identification of an alternate regulatory pathway, manufacturing, commercial sales and distribution of our products. For instance, in the United Kingdom and the European Economic Area, or the EEA (comprised of the EU Member States plus Iceland, Liechtenstein and Norway), medicinal products must be authorized for marketing by using either the centralized procedure or a national procedure.</w:t>
      </w:r>
    </w:p>
    <w:p>
      <w:pPr>
        <w:spacing w:after="0" w:line="289" w:lineRule="exact"/>
        <w:rPr>
          <w:sz w:val="20"/>
          <w:szCs w:val="20"/>
          <w:color w:val="auto"/>
        </w:rPr>
      </w:pPr>
    </w:p>
    <w:p>
      <w:pPr>
        <w:jc w:val="both"/>
        <w:ind w:left="10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Centralized procedure</w:t>
      </w:r>
      <w:r>
        <w:rPr>
          <w:rFonts w:ascii="Times New Roman" w:cs="Times New Roman" w:eastAsia="Times New Roman" w:hAnsi="Times New Roman"/>
          <w:sz w:val="18"/>
          <w:szCs w:val="18"/>
          <w:color w:val="auto"/>
        </w:rPr>
        <w:t>—If pursuing marketing authorization of a product candidate for a therapeutic indication under the centralized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 following the opinion of the European Medicines Agency’s Committee for Medicinal Products for Human Use, or CHMP, the European Commission issues a single marketing authorization valid across the EEA. The centralized procedure is compulsory for human medicines derived from biotechnology</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jc w:val="both"/>
        <w:ind w:left="1020"/>
        <w:spacing w:after="0" w:line="252" w:lineRule="auto"/>
        <w:rPr>
          <w:sz w:val="20"/>
          <w:szCs w:val="20"/>
          <w:color w:val="auto"/>
        </w:rPr>
      </w:pPr>
      <w:r>
        <w:rPr>
          <w:rFonts w:ascii="Times New Roman" w:cs="Times New Roman" w:eastAsia="Times New Roman" w:hAnsi="Times New Roman"/>
          <w:sz w:val="18"/>
          <w:szCs w:val="18"/>
          <w:color w:val="auto"/>
        </w:rPr>
        <w:t>processes or advanced therapy medicinal products (i.e. gene therapy, somatic cell therapy and tissue engineered products), products that contain a new active substance indicated for the treatment of certain diseases, such as HIV/AIDS, cancer, neurodegenerative disorders, diabetes, autoimmune diseases and other immune dysfunctions, viral diseases, and designated orphan medicinal products. For medicines that do not fall within these categories, an applicant has the option of submitting an application for a centralized marketing authorization to the European Medicines Agency, or EMA, as long as the medicine concerned contains a new active substance not yet authorized in the EU, is a significant therapeutic, scientific or technical innovation, or if its authorization would be in the interest of public health in the EU.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makes the final decision to grant a marketing authorization, which is issued within 67 days of receipt of the EMA’s recommendation.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150 days, excluding clock stops, but it is possible that the CHMP can revert to the standard time limit for the centralized procedure if it considers that it is no longer appropriate to conduct an accelerated assessment.</w:t>
      </w:r>
    </w:p>
    <w:p>
      <w:pPr>
        <w:spacing w:after="0" w:line="86" w:lineRule="exact"/>
        <w:rPr>
          <w:sz w:val="20"/>
          <w:szCs w:val="20"/>
          <w:color w:val="auto"/>
        </w:rPr>
      </w:pPr>
    </w:p>
    <w:p>
      <w:pPr>
        <w:ind w:left="1020" w:hanging="503"/>
        <w:spacing w:after="0" w:line="284"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National procedures</w:t>
      </w:r>
      <w:r>
        <w:rPr>
          <w:rFonts w:ascii="Times New Roman" w:cs="Times New Roman" w:eastAsia="Times New Roman" w:hAnsi="Times New Roman"/>
          <w:sz w:val="18"/>
          <w:szCs w:val="18"/>
          <w:color w:val="auto"/>
        </w:rPr>
        <w:t>—There are also two other possible routes to authorize products for therapeutic indications in several countries,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available for products that fall outside the scope of the centralized procedure:</w:t>
      </w:r>
    </w:p>
    <w:p>
      <w:pPr>
        <w:spacing w:after="0" w:line="50" w:lineRule="exact"/>
        <w:rPr>
          <w:rFonts w:ascii="Times New Roman" w:cs="Times New Roman" w:eastAsia="Times New Roman" w:hAnsi="Times New Roman"/>
          <w:sz w:val="18"/>
          <w:szCs w:val="18"/>
          <w:color w:val="auto"/>
        </w:rPr>
      </w:pPr>
    </w:p>
    <w:p>
      <w:pPr>
        <w:ind w:left="1540" w:hanging="509"/>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i w:val="1"/>
          <w:iCs w:val="1"/>
          <w:color w:val="auto"/>
        </w:rPr>
        <w:t>Decentralized procedure</w:t>
      </w:r>
      <w:r>
        <w:rPr>
          <w:rFonts w:ascii="Times New Roman" w:cs="Times New Roman" w:eastAsia="Times New Roman" w:hAnsi="Times New Roman"/>
          <w:sz w:val="18"/>
          <w:szCs w:val="18"/>
          <w:color w:val="auto"/>
        </w:rPr>
        <w:t>—Using the decentralized procedure, an applicant may apply for simultaneous authorization in more than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 country of medicinal products that have not yet been authorized in any EU country and that do not fall within the mandatory scope of the centralized procedure.</w:t>
      </w:r>
    </w:p>
    <w:p>
      <w:pPr>
        <w:spacing w:after="0" w:line="65" w:lineRule="exact"/>
        <w:rPr>
          <w:rFonts w:ascii="Times New Roman" w:cs="Times New Roman" w:eastAsia="Times New Roman" w:hAnsi="Times New Roman"/>
          <w:sz w:val="18"/>
          <w:szCs w:val="18"/>
          <w:color w:val="auto"/>
        </w:rPr>
      </w:pPr>
    </w:p>
    <w:p>
      <w:pPr>
        <w:ind w:left="1540" w:hanging="509"/>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i w:val="1"/>
          <w:iCs w:val="1"/>
          <w:color w:val="auto"/>
        </w:rPr>
        <w:t>Mutual recognition procedure</w:t>
      </w:r>
      <w:r>
        <w:rPr>
          <w:rFonts w:ascii="Times New Roman" w:cs="Times New Roman" w:eastAsia="Times New Roman" w:hAnsi="Times New Roman"/>
          <w:sz w:val="18"/>
          <w:szCs w:val="18"/>
          <w:color w:val="auto"/>
        </w:rPr>
        <w:t>—In the mutual recognition procedure, a medicine is first authorized in one EU country,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national procedures of that country. Following this, additional marketing authorizations can be sought from other EU countries in a procedure whereby the countries concerned recognize the validity of the original, national marketing authorization.</w:t>
      </w:r>
    </w:p>
    <w:p>
      <w:pPr>
        <w:spacing w:after="0" w:line="17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the EU, innovative medicinal products for therapeutic indications that are authorized for marketing (i.e., reference products) qualify for eight years of data exclusivity and an additional two years of market exclusivity upon marketing authorization. The data exclusivity period prevents generic or biosimilar applicants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an MAA with a complete and independent data package of pharmaceutical tests, preclinical tests and clinical trials.</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U.S. In the EU, a medicinal product may be designated as orphan if: (1) it is intended for the diagnosis, prevention or treatment of a life-threatening or chronically debilitating condition; (2) either</w:t>
      </w:r>
    </w:p>
    <w:p>
      <w:pPr>
        <w:jc w:val="both"/>
        <w:ind w:firstLine="8"/>
        <w:spacing w:after="0" w:line="251" w:lineRule="auto"/>
        <w:tabs>
          <w:tab w:leader="none" w:pos="2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condition affects no more than five in 10,000 persons in the EU when the application is made, or (b) it is unlikely that the product, without the benefits derived from orphan status, would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that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MAA shall be accepted, and no marketing authorization shall be granted for a similar medicinal product for the same therapeutic indication. A “similar medicinal product” is defined as a medicinal product containing a similar active substance or substances as contained in an authorized orphan medicinal product, and which is intended for the same therapeutic indication. An orphan product can also obtain an additional two years of market exclusivity in the EU where an agreed pediatric investigation plan for pediatric studies has been complied with. No extension to any supplementary protection certificate, or</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jc w:val="both"/>
        <w:spacing w:after="0" w:line="255" w:lineRule="auto"/>
        <w:rPr>
          <w:sz w:val="20"/>
          <w:szCs w:val="20"/>
          <w:color w:val="auto"/>
        </w:rPr>
      </w:pPr>
      <w:r>
        <w:rPr>
          <w:rFonts w:ascii="Times New Roman" w:cs="Times New Roman" w:eastAsia="Times New Roman" w:hAnsi="Times New Roman"/>
          <w:sz w:val="18"/>
          <w:szCs w:val="18"/>
          <w:color w:val="auto"/>
        </w:rPr>
        <w:t>SPC, can be granted on the basis of pediatric studies for orphan indications.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 marketing authorization may be granted to a similar product for the same therapeutic indication as an authorized orphan product at any time if (i) the second applicant can establish that its product, although similar to the authorized orphan product, is safer, more effective or otherwise clinically superior; (ii) the marketing authorization holder for the authorized orphan product consents to a second orphan medicinal product application; or (iii) the marketing authorization holder for the authorized orphan product cannot supply enough orphan medicinal product.</w:t>
      </w:r>
    </w:p>
    <w:p>
      <w:pPr>
        <w:spacing w:after="0" w:line="8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Prior to obtaining a marketing authorization in the EU, applicants must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SPC, provided an application for such extension is made at the same time as filing the SPC application for the product, or at any point up to 2 years before the SPC expires.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Similar to the U.S., the various phases of non-clinical and clinical research in the European Union are subject to significant regulatory controls.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April 2014, the EU adopted the Clinical Trials Regulation (EU) No 536/2014 (Clinical Trials Regulation) which replaced the Clinical Trials Directive 2001/20/EC on January 31, 2022. The Clinical Trials Regulation aims to simplify and streamline the approval of clinical trials in the European Union.</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main characteristics of the regulation include: a streamlined application procedure via a single-entry point, the “Clinical Trials Information System” or CTIS;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coordinated assessment by the competent authorities of all EU Member States in which an application for authorization of a clinical trial has been submitted (Member States concerned) following review by a Reference Member State. Part II is assessed separately by each Member State concerned. Strict deadlines have been established for the assessment of clinical trial applications. The role of the relevant ethics committees in the assessment procedure continues to be governed by the national law of the concerned EU Member State. However, overall related timelines are defined by the Clinical Trials Regulation.</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of the aforementioned EU rules are generally applicable in the EEA.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Reform of the Regulatory Framework in the European Union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 for all medicines (including those for rare diseases and for children). The European Commission has provided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of data collection outside of the United States</w:t>
      </w:r>
    </w:p>
    <w:p>
      <w:pPr>
        <w:spacing w:after="0" w:line="229"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18"/>
          <w:szCs w:val="18"/>
          <w:color w:val="auto"/>
        </w:rPr>
        <w:t>In the event we conduct clinical trials in the European Union, we will be subject to additional privacy restrictions. The collection and use of personal health data in the EEA is governed by the General Data Protection Regulation, or the GDPR, which became effective on May 25, 2018. The GDPR applies to the processing of personal data by any company established in the EEA and to companies established outside the EEA to the extent they process personal data in connection with the offering of goods or services to data subjects in the EEA or the monitoring of the behavior of data subjects in the EEA. The GDPR enhances data protection obligations for data controllers of personal data, including stringent requirements relating to the consent of data subjects, expanded disclosures about how personal data is used, requirements to conduct privacy impact assessments for “high risk” processing, limitations on retention of personal data, mandatory data breach notification and “privacy by design” requirements, and creates direct obligations on service providers acting as processors. The GDPR also imposes strict rules on the transfer of personal data outside of the EEA to countries that do not ensure an adequate level of protection, like the United States. Failure to comply with the requirements of the GDPR and the related national data protection laws of the EEA Member States, which may deviate slightly from the GDPR, may result in fines of up to 4% of a company’s global revenues for the preceding financial year, or €20,000,000, whichever is greater. Moreover, the GDPR grants data subjects the right to claim material and non-material damages resulting from infringement of the GDPR. Given the breadth and depth of changes in data protection obligations, maintaining compliance with the GDPR will require significant time, resources and expense, and we may be required to put in place additional controls and processes ensuring compliance with the new data protection rules. There has been limited enforcement of the GDPR to date, particularly in biopharmaceutical development, so we face uncertainty as to the exact interpretation of the new requirements on any future trials and we may be unsuccessful in implementing all measures required by data protection authorities or courts in interpretation of the new law. In addition, further to the United Kingdom’s exit from the European Union on January 31, 2020, the GDPR ceased to apply in the United Kingdom at the end of the transition period on December 31, 2020. However, as of January 1, 2021, the United Kingdom’s European Union (Withdrawal) Act 2018 incorporated the GDPR (as it existed on December 31, 2020, but subject to certain UK specific amendments) into UK law, referred to as the UK GDPR. The UK GDPR and the UK Data Protection Act 2018 set out the United Kingdom’s data protection regime, which is independent from but aligned to the European Union’s data protection regime. Non-compliance with the UK GDPR may result in monetary penalties of up to £17.5 million or 4% of worldwide revenue, whichever is higher. Although the UK is regarded as a third country under the European Union’s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United Kingdom to countries not regarded by the United Kingdom as providing adequate protection. The UK government has confirmed that personal data transfers from the United Kingdom to the EEA remain free flowing.</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is significant uncertainty related to the manner in which data protection authorities will seek to enforce compliance with the GDPR. For example, it is not clear if the authorities will conduct random audits of companies doing business in the EEA, or if the authorities will wait for complaints to be filed by individuals who claim their rights have been violated. Enforcement uncertainty and the costs associated with ensuring GDPR compliance are onerous and may adversely affect our business, financial condition, results of operations and prospects.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Should we utilize third party distributors, compliance with such foreign governmental regulations would generally be the responsibility of such distributors, who may be independent contractors over whom we have limited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UK formally left the EU on January 31, 2020.</w:t>
      </w:r>
    </w:p>
    <w:p>
      <w:pPr>
        <w:spacing w:after="0" w:line="11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a result of the Northern Ireland Protocol, following Brexit, the EMA remained responsible for approving novel medicines for supply in Northern Ireland under the EU centralized procedure, and a separate authorization was required to supply the same medicine in Great Britain (England, Wales and Scotland). A new framework named the Windsor Framework was approved by the EU-UK Joint Committee on March 24, 2023, and the medicines aspects of the Windsor Framework have applied since January 1, 2025. This new framework fundamentally changes the previous system under the Northern Ireland Protocol, including with respect to the regulation of medicinal products in the U.K. The MHRA is now responsible for approving all medicinal products destined for the U.K. market (i.e., Great Britain and Northern Ireland) and the EMA no longer has any role in approving medicinal products destined for Northern Ireland under the EU centralized procedure. A single UK-wide marketing authorization will be granted by the MHRA for all novel medicinal products to be sold in the U.K., enabling products to be sold in a single pack and under a single authorization throughout the U.K.. However, although a separate authorization is now required to market medicinal products in the U.K., under an international recognition procedure which was put in place by the MHRA on January 1, 2024, the MHRA may take into account decisions on the approval of a marketing authorization from the EMA (and certain other regulators) when considering an application for a U.K. marketing authorization.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 and Human Capital</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3" w:name="page34"/>
    <w:bookmarkEnd w:id="33"/>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2024, we had 188 full-time employees, of which 98 have M.D. or Ph.D. degrees. Within our workforce, 146 employees are engaged in research and development and 42 are engaged in business development, finance, legal, and general management and administration. We consider the intellectual capital of our employees to be an essential driver of our business and key to our future prospects. We continually evaluate the business need and opportunity and balance in house expertise and capacity with outsourced expertise and capacity. Currently, we outsource substantially all clinical trial work to clinical research organizations and certain drug manufacturing to contract manufacturers. Drug development is a complex endeavor which requires deep expertise and experience across a broad array of disciplines. Pharmaceutical companies, both large and small, compete for a limited number of qualified applicants to fill specialized positions. We monitor our compensation programs closely and provide what we consider to be a very competitive mix of compensation and insurance benefits for all our employees, as well as participation in our equity programs. To attract qualified applicants, the Company offers a comprehensive benefits package consisting of base salary and cash target bonus, medical and other benefits and equity compensation for every employee. Bonus opportunity and equity compensation increase as a percentage of total compensation based on level of responsibility. Actual bonus payout is based on performance.</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None of our employees is subject to a collective bargaining agreement or represented by a trade or labor union. We consider our relations with our employees to be good.</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support our employees’ further development with individualized development plans, mentoring, coaching, group training, conference attendance and financial support including tuition reimbursement.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Watertown, Massachusetts, where we lease and occupy approximately 100,624 square feet of office and laboratory space. This lease has an initial term of 134 months, and we have two consecutive options to extend the term of the lease for five years each at then-market rates. Additionally, we lease 34,522 square feet of office and laboratory space in Watertown that we are not currently occupying. The current term of this lease expires March 31, 2030, with an option to extend the term five additional years with 12 months’ notice with rent set at an agreed upon market rate. We intend to sublease and are actively marketing the additional space to third parties.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new facility is expected to be sufficient to meet our current needs. To meet the future needs of our business, we may lease additional or alternate space, and we believe suitable additional or alternative space will be available in the future on commercially reasonable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were incorporated under the laws of Delaware in September 2015 under the name Project HSC, Inc. We are the successor in interest to Kymera Therapeutics, LLC, a limited liability company formed under the laws of the State of Delaware on May 25, 2017, and the former holder of all of our outstanding shares of common stock. Our principal executive offices are located at 500 North Beacon Street, 4th Floor, Watertown, MA 02472 and our telephone number is (857) 285-5300. Our website address is www.kymeratx.com. References to our website are inactive textual references only and the content of our website should not be deemed incorporated by reference into this Annual Report on Form 10-K.</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any amendments to these reports filed or furnished pursuant to Section 13(a) or 15(d) of the Securities Exchange Act of 1934, are available free of charge on our website located at www.kymeratx.com as soon as reasonably practicable after they are filed with or furnished to the Securities and Exchange Commission, or the SEC.</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SEC maintains an Internet website that contains reports, proxy and information statements, and other information regarding us and other issuers that file electronically with the SEC. The SEC’s Internet website address is http://www.sec.gov.</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copy of our Corporate Governance Guidelines, Code of Business Conduct and Ethics and the charters of the Audit Committee, Compensation Committee and Nominating and Corporate Governance Committee are posted on our website, www.kymeratx.com, under “Investors”.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Our business involves a high degree of risk. You should carefully consider the material and other risks and uncertainties described and summarized below, as well as the other information in this Annual Report on Form 10-K, including our consolidated financial statements and related notes and the section titled “Management’s Discussion and Analysis of Financial Condition and Results of Operations” and “Special Note Regarding Forward-Looking Statements,” before you make an investment decision. Our actual results could differ materially from those anticipated in the forward-looking statements as a result of factors that are described below and elsewhere in this Annual Report on Form 10-K. The risks described below are not the only risks that we face. The occurrence of any of the events or developments described below could harm our business, financial condition, results of operations and prospects. As a result, the market price of our common stock could decline, and you may lose all or part of your investment in our common stock. New risks can emerge from time to time, and it is not possible to predict the impact that any factor or combination of factors may have on our business, prospects,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company and that may make it difficult for our stockholders to evaluate the success of our business to date and to assess our future viability.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our formation in 2015 and our initial funding in 2016, our operations to date have been limited primarily to organizing and staffing our company, business planning, raising capital, researching and developing our drug discovery technology, developing our pipeline, building our intellectual property portfolio, undertaking preclinical studies and conducting Phase 1 clinical trials of our product candidates. We have never generated any revenue from drug sales. We have not obtained regulatory approvals for any of our current product candidates. Any predictions we make about our future success or viability may not be as accurate as they could be if we had a longer operating history. In addition, as a business with a limited operating history, we may encounter unforeseen expenses, difficulties, complications, delays and other known and unknown factors, such as developments relating to macroeconomic conditions. We will need to transition from a company with a research and development focus to a company capable of supporting late-stage development and commercial activities. We may not be successful in such a transition.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anticipate that we will incur continued losses for the foreseeable future.</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To date, we have financed our operations primarily through the issuance and sale of our convertible preferred stock to outside investors, collaborators in private equity financings, upfront payments under our collaborations and sales of our common stock in our initial public offering (IPO) and multiple public and private offerings of common stock and our at-the market sales program. As of December 31, 2024, our cash and cash equivalents and marketable securities were $850.9 million. We have incurred net losses in each year since our inception, and we had an accumulated deficit of $754.6 million as of December 31, 2024. For the years ended December 31, 2024, 2023 and 2022, we reported net losses of $223.9 million, $147.0 million, $154.8 million, respectively. Substantially all of our operating losses have resulted from costs incurred in connection with our research and development programs and from general and administrative costs associated with our operations. We expect to continue to incur significant expenses and increasing operating losses over the next several years and for the foreseeable future. We expect our expenses to significantly increase in connection with our ongoing activities, as we:</w:t>
      </w:r>
    </w:p>
    <w:p>
      <w:pPr>
        <w:spacing w:after="0" w:line="80"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FDA, for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drug discovery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22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addition, if we obtain marketing approval for our current or future product candidates, we will incur significant expenses relating to sales, marketing, product manufacturing and distribution.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Future Financial Condition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development of pharmaceutical drugs is capital-intensive. We expect our expenses to increase substantially in connection with our ongoing activities, particularly as we continue the research and development of, advance the preclinical and clinical activities of, and seek marketing approval for, our current or future product candidates. In addition, if we obtain marketing approval for any of our current or future product candidates, we expect to incur significant commercialization expenses related to sales, marketing, product manufacturing and distribution to the extent that we exercise our opt-in rights with collaborators or that such sales, marketing, product manufacturing and distribution are not the responsibility of our collaborators. We may also need to raise additional funds sooner if we choose to pursue additional indications and/or geographies for our current or future product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scale back or discontinue the development and commercialization of one or more of our product candidates, and may be unable to expand our operations or otherwise capitalize on our business opportunities, as desired, which could materially affect our business, financial condition and results of operations.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we had approximately $850.9 million of cash and cash equivalents and investments, which we expect will be sufficient to fund our operations into mid-2027. We have based this estimate on assumptions that may prove to be wrong, and we could use our capital resources sooner than we currently expect. This estimate also assumes that we do not obtain any additional funding through collaborations or other strategic alliances. Our future capital requirements will depend on, and could increase significantly as a result of, many factors, including:</w:t>
      </w:r>
    </w:p>
    <w:p>
      <w:pPr>
        <w:spacing w:after="0" w:line="72" w:lineRule="exact"/>
        <w:rPr>
          <w:sz w:val="20"/>
          <w:szCs w:val="20"/>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current or future product candidates, including additional expenses attributable to adjusting our development plans (including any supply related matters);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existing or additional collaboration agreements we obtain;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current or future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clearances to market our current or future product candidates.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drug sales. In addition, our current or future product candidates, if approved, may not achieve commercial success. Our commercial revenues, if any, will be derived from sales of drugs that we do not expect to be commercially available for many years, if at all. Accordingly, we will need to continue to rely on additional funding to achieve our business objectives.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our current or future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favorable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current or future product candidates or otherwise agree to terms unfavorable to us, any of which may have a material adverse effect on our business, operating results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and other expenses. We are subject to the reporting requirements of the Securities Exchange Act of 1934, as amended, or the Exchange Act, the Sarbanes-Oxley Act of 2002, as amended, or Sarbanes-Oxley Act, and the Dodd-Frank Wall Street Reform and Consumer Protection Act, or the Dodd-Frank Act. For example, the Exchange Act requires, among other things, that we file with the Securities and Exchange Commission, or the SEC, annual, quarterly and current reports with respect to our business and financial condition. These reporting requirements continue to evolve, which has created uncertainty for public companies like us and accommodating these evolving standards may require increased legal and financial compliance costs and make some activities more time-consuming and costly.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these requirements divert the attention of our management and personnel from other business concerns, they could have a material adverse effect on our business, financial condition and results of operations. It may be more difficult and more expensive for us to obtain director and officer liability insurance in the future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Since then, additional financial institutions have experienced similar failures and have been placed into receivership.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8" w:name="page39"/>
    <w:bookmarkEnd w:id="38"/>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whom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access to working capital sources and/or delays, inability or reductions in our ability to enter into new credit facilities or other working capital resources;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of credit or other credit support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financial covenants in any credit agreements or credit arrangements;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cross-defaults in other credit agreements, credit arrangements or operating or financing agreements.</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 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supplier may determine that it will no longer deal with us as a customer. In addition,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a material adverse impact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Preclinical and Clinical Development</w:t>
      </w:r>
    </w:p>
    <w:p>
      <w:pPr>
        <w:spacing w:after="0" w:line="2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our IRAK4 and STAT6 programs are in early clinical development. If we are unable to advance them through the clinic for safety or efficacy reasons or commercialize our product candidates or experience significant delays in doing so, our business will be materially harmed.</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while we have generated collaboration revenue, we have not generated any revenue from our product candidates, and we do not expect to generate any revenue from the sale of drugs in the near future. We do not expect to generate revenue from product sales unless and until we complete the development of, obtain marketing approval for, and begin to sell, one or more of our product candidates. We are also unable to predict when, if ever, we will be able to generate revenue from such product candidates due to the numerous risks and uncertainties associated with drug development, including the uncertainty of:</w:t>
      </w:r>
    </w:p>
    <w:p>
      <w:pPr>
        <w:spacing w:after="0" w:line="75"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ongoing or planned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timing of IND clearances of future product candidates, and/or clinical trial costs for current and future product candidates;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9" w:name="page40"/>
    <w:bookmarkEnd w:id="39"/>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 initiation, enrollment of and completion of clinical trials for current and future product candidates, including our ability to generate positive data from any such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and successful completion of all safety studies required to obtain U.S. and foreign marketing approval for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we identify in-house or acquire through collaborations or other arrangements;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manufacturing capabilities or make arrangements with third-party manufacturers for clinical supply and commercial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 candidates, if and when approved, whether alone or in collaboration with others;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acceptance of our product candidates, if and when approved,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collaborations as well as the terms and timing of any additional collaboration, license or other arrangement, including the terms and timing of any payments thereunder;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defend intellectual property rights and claims;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of our product candidates following approval.</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is novel and unproven, which makes it difficult to predict the time, cost of development and likelihood of successfully developing any products.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utilize a method known as targeted protein degradation, or TPD, to discover and develop product candidates. Our future success depends on the successful development of this novel therapeutic approach. No product candidate using a heterobifunctional degrader has been approved in the United States or Europe, and the data underlying the feasibility of developing such therapeutic products is both preliminary and limited. In addition, we have not yet succeeded and may not succeed in demonstrating the efficacy and safety of any of our product candidates in clinical trials or in obtaining marketing approval thereafter. In particular, our ability to successfully achieve TPD with a therapeutic result requires the successful development of heterobifunctional molecules that were intentionally designed with a rational drug development process and developing those molecules with the right combination of protein targets and E3 ligases. This is a complex process requiring a number of component parts or biological mechanisms to work in unison to achieve the desired effect. We cannot be certain that we will be able to discover degraders by matching the right target with the ideal E3 ligase and the right linker in a timely manner, or at all. All of our product candidates are in preclinical or early clinical development. As such, there may be adverse effects from treatment with any of our current or future product candidates that we cannot predict at this time.</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of these factors, it is more difficult for us to predict the time and cost of product candidate development, and we cannot predict whether the application of our expertise in TPD will result in the development and marketing approval of any products. Any development problems we experience in the future related to any of our research programs may cause significant delays or unanticipated costs or may prevent the development of a commercially viable product. Any of these factors may prevent us from completing our preclinical studies and clinical trials or commercializing any product candidates we may develop on a timely or profitable basis, if at all.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apply our expertise in TPD, and product pipeline to address a broad array of targets and new therapeutic areas. The therapeutic discovery activities that we are conducting may not be successful in identifying product candidates that are useful in treating oncology, inflammation, immunology or genetic diseases. Our research programs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a limited number of research programs and product candidates. We are currently focused on our immunology portfolio, consisting of our STAT6, TYK2 and IRAK4 programs, which target key signaling pathways implicated in multiple inflammatory and autoimmune diseases. In some instances, we may decide to discontinue our investment in programs. For example, in November 2023, we announced the decision to discontinue the development of our KT-413 (IRAKIMID) and in October 2024, we announced the decision to discontinue the development of our KT-333 (STAT3) and KT-253 (MDM2) programs in order to focus resources to support our growing immunology pipeline. As a result, we may forego or delay pursuit of opportunities with other current or future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current or future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22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the successful development of our lead programs. We cannot be certain that we will be able to obtain regulatory approval for, or successfully commercialize, any of our current or future product candidates.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currently have no product candidates approved for sale and may never be able to develop marketable product candidates. Our business depends heavily on the successful development, regulatory approval and commercialization of our current or future product candidates. The preclinical studies and clinical trials of our current or future product candidates are, and the manufacturing and marketing of our current or future product candidates will be, subject to extensive and rigorous review and regulation by numerous government authorities, including in the U.S. and in other countries where we intend to test or, if approved, market any of our current or future product candidates. Before obtaining regulatory approvals for the commercial sale of any of our current or future product candidates, we must demonstrate through preclinical studies and clinical trials that each product candidate is safe and effective for use in each target indication. Drug development is a long, expensive and uncertain process, and delay or failure can occur at any stage of any of our preclinical studies and clinical trials. For example, the preclinical and manufacturing data we submit to obtain authorization to proceed into human clinical trials may not be accepted initially or at all by a government authority, which could result in a clinical hold on a product candidate. Clinical holds can delay clinical trial initiation and, even if successfully resolved, could occur at any time during clinical development as new data or information emerges. The drug development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with similarly low rates of success for drugs in development in the European Union obtaining regulatory approval from the European Commission following scientific evaluation by the European Medicines Agency, or EMA. Accordingly, even if we are able to obtain the requisite financing to continue to fund our development and preclinical studies and clinical trials, we cannot assure you that any of our current or future product candidates will be successfully developed or commercialized.</w:t>
      </w:r>
    </w:p>
    <w:p>
      <w:pPr>
        <w:spacing w:after="0" w:line="19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not permitted to market our current or future product candidates in the U.S. until we receive approval of a New Drug Application, or an NDA, from the FDA, in the European Union, or EU, until we receive approval of a marketing authorization application, or an MAA, from the European Commission, or in any other foreign countries until we receive the requisite approval from such countries. Obtaining approval of an NDA or MAA is a complex, lengthy, expensive and uncertain process, and the FDA or EMA may delay, limit or deny approval of any of our current or future product candidates for many reasons, including, among others:</w:t>
      </w:r>
    </w:p>
    <w:p>
      <w:pPr>
        <w:spacing w:after="0" w:line="75" w:lineRule="exact"/>
        <w:rPr>
          <w:sz w:val="20"/>
          <w:szCs w:val="20"/>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our current or future product candidates are safe and effective in treating their target indications to the satisfaction of the FDA or applicable foreign regulatory agency;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may not meet the level of statistical or clinical significance required by the FDA or applicable foreign regulatory agency for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the number, design, size, conduct or implementation of our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require that we conduct additional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approve the formulation, labeling or specifications of any of our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or CROs, that we retain to conduct our preclinical studies and clinical trials may take actions outside of our control that materially adversely impact our preclinical studies and clinical trials;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find the data from preclinical studies and clinical trials insufficient to demonstrate that our current or future product candidates’ clinical and other benefits outweigh their safety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disagree with our interpretation of data from our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not accept data generated at our preclinical studies and clinical trial sites;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development of a Risk Evaluation and Mitigation Strategy, or REMS, as a condition of approval or post-approval;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the applicable foreign regulatory agency may determine that the manufacturing processes or facilities of third-party manufacturers with which we contract do not conform to applicable requirements, including current Good Manufacturing Practices, or cGMPs;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be delayed in its review processes due to staffing or other constraints;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Any of these factors, many of which are beyond our control, could jeopardize our ability to obtain regulatory approval for and successfully market our current or future product candidates. Any such setback in our pursuit of regulatory approval would have a material adverse effect on our business and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initiation or enrollment of patients in clinical trials, our receipt of necessary regulatory approvals could be delayed or prevented.</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may be delays in trial initiation, including due to clinical holds or site activation delays, and we may not be able to locate and enroll a sufficient number of eligible patients to participate in these trials as required by the FDA or similar regulatory authorities outside the U.S. Moreover, some of our competitors have ongoing clinical trials for current or future product candidates that treat the same patient populations as our current or future product candidates, and patients who would otherwise be eligible for our clinical trials may instead enroll in clinical trials of our competitors’ current or future product candidates.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participants to enroll in our clinical trials in our countries of interest;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screening test for the indications we are pursuing;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we may not be able to control, such as potential pandemics that may limit subjects, principal investigators or staff or clinical site availability.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There can be no assurance that the final topline data from our trials will be consistent with such results or otherwise viewed as positive.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including data from of our clinical trials, are subject to the risk that one or more of the clinical outcomes may materially change as patient enrollment continues and more patient data become available or as patients from our clinical trials continue other treatments for their diseases.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Positive results from our preclinical studies of our current or future product candidates, and any positive results we may obtain from our early clinical trials of our current or future product candidates, including the ongoing clinical trials of KT-474 and KT-621, may not necessarily be predictive of the results from required later preclinical studies and clinical trials. Similarly, even if we are able to complete our planned preclinical studies or clinical trials of our current or future product candidates according to our current development timeline, the positive results from such preclinical studies and/or clinical trials of our current or future product candidates, including KT-474, KT-621 and KT-295, may not be replicated in subsequent preclinical studies or clinical trials. In particular, while we have conducted certain preclinical studies of KT-621 and KT-295, we do not know whether either of these product candidates will perform in our planned clinical trials as it has performed in these prior preclinical studies. For example, in preclinical studies, (i) KT-621 demonstrated full inhibition of IL-4/IL-13 pathway in all relevant human cell contexts with picomolar potency that was superior to dupilumab, and equivalent or superior activity to dupilumab, and (ii) KT-295 demonstrated picomolar to nanomolar potencies across all relevant human cell types evaluated. However, there is no guarantee these preclinical results will be replicated in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approval from the FDA or comparable foreign regulatory authority.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Additionally, our planned or future clinical trials may utilize an “open-label” trial design, such as the open-label patient portion of our completed Phase 1 clinical trial of KT-474.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including our completed Phase 1 trial of KT-474, may not be predictive of future clinical trial results with any of our product candidates for which we include an open-label clinical trial when studied in a controlled environment with a placebo or active control.</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precise incidence and prevalence for the indications being pursued by our current and future product candidates are currently unknown. Our projections of both the number of people who have these diseases, as well as the subset of people with these diseases who have the potential to benefit from treatment with our product candidates, are based on estimates. We are developing KT-474 for the treatment of a broad set of immunology-inflammation diseases, such as HS, an inflammatory skin disease, AD, and rheumatoid arthritis. We are developing KT-621 for a broad set of immunology indications, with potential indications to include AD, asthma, COPD, CRSwNP, EoE, PN and others. We are developing KT-295 for immunology indications, with such potential indications to include inflammatory bowel disease, or IBD, psoriasis, or PsO, psoriatic arthritis, or PsA, lupus and others. The total addressable market opportunity for our product candidates will ultimately depend upon, among other things, their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United States and elsewhere may turn out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may materially and adversely affect our business and our financial results and could cause a disruption to the development of our product candidates.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Public health crises such as pandemics or similar outbreaks could adversely impact our business. Infectious diseases may also affect research activities and employees of third-party CROs located in affected geographies that we rely upon to carry out our clinical trials. In addition, the patient populations that our lead and other core product candidates target may be particularly susceptible to infectious diseases or its variants, which may make it more difficult for us to identify patients able to enroll in our clinical trials and may impact the ability of enrolled patients to complete any such trials. Any negative impact that any future infectious disease spread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timely enrollment in clinical trials is dependent upon clinical trial sites which will be adversely affected by global health matters, such as pandemics. Some factors from any public health crisis that may delay or otherwise adversely affect enrollment in the clinical trials of our product candidates, as well as our business generally, include:</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affect on the operations of our third-party manufacturers and the supply chain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global shipping affecting the transport of clinical trial materials, such as patient samples, investigational drug product and conditioning drugs and other supplies used in our current and prospective clinical trials;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presently predict the scope and severity of additional planned and potential shutdowns or disruptions of businesses and government agencies, such as the SEC or FDA. Any of these factors, and other factors related to any such disruptions that are unforeseen, could have a material adverse effect on our business and our results of operations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 Other global health concerns could also result in social, economic, and labor instability in the countries in which we or the third parties with whom we engage operate.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All of our product candidates are in preclinical or early clinical development, and there may be adverse effects from treatment with any of our current or future product candidates that we cannot predict at this time. 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many treatments for inflammatory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18"/>
          <w:szCs w:val="18"/>
          <w:color w:val="auto"/>
        </w:rPr>
        <w:t>and autoimmune diseases, cancer or other diseases, it is likely that there may be adverse side effects associated with the use of our product candidates. Additionally, 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using our degrader molecules in any of our current or future clinical studies. There is also the potential risk of delayed adverse events following treatment using any of our current or future product candidates.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These side effects could arise due to off-target activity, allergic reactions in trial subjects, or unwanted on-target effects in the body. Results of our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current or future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or other diseases have later been found to cause side effects that prevented further development of the compound.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p>
    <w:p>
      <w:pPr>
        <w:spacing w:after="0" w:line="72"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current or future product candidates are distributed or administered, conduct additional clinical trials or change the labeling of the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current or future product candidates from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current or future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Manufacturing our current or future product candidates is complex and we may encounter difficulties in production. If we encounter such difficulties, our ability to provide supply of our current or future product candidates for preclinical studies and clinical trials or for commercial purposes could be delayed or stopped.</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manufacturing our current or future product candidates is complex and highly regulated. We do not have our own manufacturing facilities or personnel and currently rely, and expect to continue to rely, on third parties for the manufacture of our current or future product candidates. These third-party contract manufacturing organizations, or CMOs, 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such as any impacting the product formulation, could negatively impact our manufacturing, including by resulting in product loss or failure that requires additional manufacturing runs or a change in manufacturer, either of which could significantly increase the cost of and significantly delay the manufacture of our current or future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Legislative proposals are pending that, if enacted, could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This includes proposed legislation currently pending in the U.S. Senate and House of Representatives. The potential downstream adverse impacts on entities having only commercial relationships with any impacted biotechnology providers is unknown but may include supply chain disruptions or delays. Though we do not currently receive U.S. government funding, we are currently evaluating steps to mitigate any potential impact of any future stricter legislation towards foreign entities providing services to U.S. based companies. Depending on the terms of the final legislation enacted, these steps could result in additional costs and potential delays in development timelines resulting from related transition efforts.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any CMO with whom we contract fails to perform its obligations, we may be forced to enter into an agreement with a different CMO, which we may not be able to do on reasonable terms, if at all. This could significantly delay our clinical trials supply as we establish alternative supply sources. In some cases, the technical skills required to manufacture our product candidates or products, if approved,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as our current or future product candidates progress through preclinical studies and clinical trials towards potential approval and commercialization, it is expected that various aspects of the manufacturing process will be altered in an effort to optimize processes and results. Such changes may require amendments to be made to regulatory applications which may further delay the timeframes under which modified manufacturing processes can be used for any of our current or future product candidates and additional bridging studies or trials may be required between our prior clinical supply used in our clinical trials and that of any new manufacturer. We may be unsuccessful in demonstrating the comparability of clinical supplies which could require the conduct of additional clinical trials. Any such delay could have a material adverse impact on our business, results of operations and prospects.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Regulatory Approval</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p>
    <w:p>
      <w:pPr>
        <w:spacing w:after="0" w:line="1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current or future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current and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7" w:name="page48"/>
    <w:bookmarkEnd w:id="47"/>
    <w:p>
      <w:pPr>
        <w:jc w:val="both"/>
        <w:spacing w:after="0" w:line="253" w:lineRule="auto"/>
        <w:rPr>
          <w:sz w:val="20"/>
          <w:szCs w:val="20"/>
          <w:color w:val="auto"/>
        </w:rPr>
      </w:pPr>
      <w:r>
        <w:rPr>
          <w:rFonts w:ascii="Times New Roman" w:cs="Times New Roman" w:eastAsia="Times New Roman" w:hAnsi="Times New Roman"/>
          <w:sz w:val="18"/>
          <w:szCs w:val="18"/>
          <w:color w:val="auto"/>
        </w:rPr>
        <w:t>future product candidates, we must obtain marketing approval from the regulatory authorities in the relevant jurisdictions. We have not received approval to market any of our current product candidates from regulatory authorities in any jurisdiction, and it is possible that none of our current product candidates, nor any product candidates we may seek to develop in the future, will ever obtain regulatory approval. As a company,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drug manufacturing process to, and inspection of manufacturing facilities and often clinical sites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or equivalent application type outside the U.S.,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The U.S. Supreme Court’s decision in July 2024 to overturn established case law giving deference to regulatory agencies’ interpretations of ambiguous statutory language has introduced uncertainty regarding the extent to which FDA’s regulations, policies and decisions may become subject to increasing legal challenges, delays or changes. Our current or future product candidates could be delayed in receiving, or fail to receive, regulatory approval for many reasons, including the following:</w:t>
      </w:r>
    </w:p>
    <w:p>
      <w:pPr>
        <w:spacing w:after="0" w:line="8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current or future product candidates may not be sufficient to support the submission of an NDA or other submission or to obtain regulatory approval in the U.S. or elsewhere;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With the change in presidential administrations in 2025, there is substantial uncertainty as to how, if at all, the new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and/or Fast Track Designation for any of our current or future product candidates. These designations, even if granted by the FDA, may not lead to a faster development, regulatory review or approval process, and such designations do not increase the likelihood that any of our product candidates will receive marketing approval in the United States.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current or future product candidates meets the criteria for designation as a breakthrough therapy, the FDA may disagree and instead determine not to make such designation. In any event, the receipt of a Breakthrough Therapy Designation for a current or future product candidate may not result in a faster development process, review or approval compared to therapies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or decide that the time period for FDA review or approval will not be shortened.</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current or future product candidate is eligible for this designation, we cannot assure you that the FDA would decide to grant it. Even if we do receive Fast Track Designation for certain current or future product candidates,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 our collaborators may seek approval of KT-474, KT-621, KT-295, or any other future product candidate, where applicable, under the FDA’s accelerated approval pathway. This pathway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or our collaborators may seek accelerated approval of KT-474, KT-621, KT-295,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9" w:name="page50"/>
    <w:bookmarkEnd w:id="4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certain of our current or future product candidates, and we may be unsuccessful or may be unable to maintain the benefits associated with Orphan Drug Designation, including the potential for market exclusivity.</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certain indications of our other current or future product candidates, and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criteria for orphan designation in the European Union are similar in principle to the U.S. - see the section of this Annual Report on Form 10-K titled “Government Regulation of Drugs Outside of the United States” for additional information. In the European Union, orphan designation entitles a party to financial incentives such as reduction of fees or fee waivers.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U.S. and ten years in the European Union.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current or future product candidates, the manufacturing processes, labeling, packaging, distribution, tracking and tracing,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Good Clinical Practices, or GCPs,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8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or voluntary drug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drug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6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current or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Currently, federal agencies in the U.S. are operating under a continuing resolution that is set to expire on March 14, 2025. Without appropriation of additional funding to federal agencies, our business operations related to our product development activities for the U.S. market could be impacted. 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Foreign Regulatory Approval and Foreign Markets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in the U.S., we may never receive regulatory approval to market our current or future product candidates outside of the U.S.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plan to seek regulatory approval of our current or future product candidates outside of the U.S. In order to market any product outside of the U.S.,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current or future product candidates in such foreign markets. Any such impairment would reduce the size of our potential market, which could have a material adverse impact on our business, results of operations and prospects.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 that could materially adversely affect our business.</w:t>
      </w:r>
    </w:p>
    <w:p>
      <w:pPr>
        <w:spacing w:after="0" w:line="15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not permitted to market or promote any of our current or future product candidates before we receive regulatory approval from the applicable regulatory authority in that foreign market, and we may never receive such regulatory approval</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for any of our current or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current or future product candidates, and we cannot predict success in these jurisdictions. If we obtain approval of our current or future product candidates and ultimately commercialize our current or future product candidates in foreign markets, we would be subject to additional risks and uncertainties, including:</w:t>
      </w:r>
    </w:p>
    <w:p>
      <w:pPr>
        <w:spacing w:after="0" w:line="75" w:lineRule="exact"/>
        <w:rPr>
          <w:sz w:val="20"/>
          <w:szCs w:val="20"/>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in foreign countries, such that obtaining regulatory approvals outside of the U.S. may take longer and be more costly than obtaining approval in the U.S.;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current or future product candidates in foreign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under the Foreign Corrupt Practices Act of 1977 or comparable foreign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Foreign sales of our current or future product candidates could also be adversely affected by the imposition of governmental controls, political and economic instability, trade restrictions and changes in tariffs (including tariffs that have been or may in the future be imposed by the United States or other countries).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current or future product candidates outside the U.S., and the FDA and comparable foreign regulatory authorities may not accept data from such trials.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in the future choose to conduct one or more clinical trials outside the U.S., including in Europe and other geographies.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2" w:name="page53"/>
    <w:bookmarkEnd w:id="52"/>
    <w:p>
      <w:pPr>
        <w:jc w:val="both"/>
        <w:spacing w:after="0" w:line="261" w:lineRule="auto"/>
        <w:rPr>
          <w:sz w:val="20"/>
          <w:szCs w:val="20"/>
          <w:color w:val="auto"/>
        </w:rPr>
      </w:pPr>
      <w:r>
        <w:rPr>
          <w:rFonts w:ascii="Times New Roman" w:cs="Times New Roman" w:eastAsia="Times New Roman" w:hAnsi="Times New Roman"/>
          <w:sz w:val="18"/>
          <w:szCs w:val="18"/>
          <w:color w:val="auto"/>
        </w:rPr>
        <w:t>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Among other matters, U.S. and foreign anti-corruption, including the Foreign Corrupt Practices Act (FCPA), anti-money laundering, export control, sanctions, and other trade laws and regulations, which we collectively refer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Anti-corruption and anti-bribery laws have been enforced aggressively in recent years and are interpreted broadly. Violations of Trade Laws can result in substantial criminal fines and civil penalties, imprisonment, the loss of trade privileges, debarment, tax reassessments, breach of contract and fraud litigation, reputational harm, and other consequences. As we increase our activities outside the United States, which may include increased interactions with officials and employees of government agencies or state-owned or -affiliated entities,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 We have direct or indirect interactions with officials and employees of government agencies or government-affiliated hospitals, universities, and other organizations.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some countries, particularly in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products such as our product candidates, with an emphasis on private payors for access to commercial products. If reimbursement of our product candidates is unavailable or limited in scope or amount, or if pricing is set at unsatisfactory levels, our business could be materially harmed.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Compliance with Healthcare and Other Regulations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current or future product candidates, such drugs may become subject to unfavorable pricing regulations or third-party coverage and reimbursement policies, which would harm our business.</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the section of this Annual Report on Form 10-K entitled, “Business – Government Regulation – Other Healthcare Laws” and the section of this report entitled, “Business – Government Regulation – Current and Future Healthcare Reform Legislation” for more information.</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p>
      <w:pPr>
        <w:jc w:val="both"/>
        <w:spacing w:after="0" w:line="253" w:lineRule="auto"/>
        <w:rPr>
          <w:sz w:val="20"/>
          <w:szCs w:val="20"/>
          <w:color w:val="auto"/>
        </w:rPr>
      </w:pPr>
      <w:r>
        <w:rPr>
          <w:rFonts w:ascii="Times New Roman" w:cs="Times New Roman" w:eastAsia="Times New Roman" w:hAnsi="Times New Roman"/>
          <w:sz w:val="18"/>
          <w:szCs w:val="18"/>
          <w:color w:val="auto"/>
        </w:rPr>
        <w:t>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86"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U.S. and prices generally tend to be significantly lower.</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healthcare legislative reform measures may have a material adverse effect on our business and results of operations.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the section of this report entitled, “Business – Government Regulation – Current &amp; Future Healthcare Reform Legislation” for more information.</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 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Healthcare providers, physicians and third-party payors will play a primary role in the recommendation and prescription of any current or future product candidates for which we obtain marketing approval. Our business operations and any current or future arrangements with third-party payors and customers may expose us to broadly applicable federal and state laws relating to fraud and abuse, as well as other healthcare laws and regulations. 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These laws may impact, among other things, the business or financial arrangements and relationships through which we market, sell and distribute any current or future product candidates for which we obtain marketing approval. See the section of this Annual Report on Form 10-K titled “Business - Government Regulation - Other Regulatory Matters - Other Healthcare Laws” for additional information.</w:t>
      </w:r>
    </w:p>
    <w:p>
      <w:pPr>
        <w:spacing w:after="0" w:line="19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5" w:name="page56"/>
    <w:bookmarkEnd w:id="55"/>
    <w:p>
      <w:pPr>
        <w:jc w:val="both"/>
        <w:spacing w:after="0" w:line="253" w:lineRule="auto"/>
        <w:rPr>
          <w:sz w:val="20"/>
          <w:szCs w:val="20"/>
          <w:color w:val="auto"/>
        </w:rPr>
      </w:pPr>
      <w:r>
        <w:rPr>
          <w:rFonts w:ascii="Times New Roman" w:cs="Times New Roman" w:eastAsia="Times New Roman" w:hAnsi="Times New Roman"/>
          <w:sz w:val="18"/>
          <w:szCs w:val="18"/>
          <w:color w:val="auto"/>
        </w:rPr>
        <w:t>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imprisonment, exclusion from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If any of the physicians or other healthcare providers or entities with whom we expect to do business is found to be not in compliance with applicable laws, they may be subject to similar actions, penalties, and sanctions.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and the Bribery Act 2010 in the U.K..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22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 laws.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patient support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6" w:name="page57"/>
    <w:bookmarkEnd w:id="56"/>
    <w:p>
      <w:pPr>
        <w:jc w:val="both"/>
        <w:spacing w:after="0" w:line="254" w:lineRule="auto"/>
        <w:rPr>
          <w:sz w:val="20"/>
          <w:szCs w:val="20"/>
          <w:color w:val="auto"/>
        </w:rPr>
      </w:pPr>
      <w:r>
        <w:rPr>
          <w:rFonts w:ascii="Times New Roman" w:cs="Times New Roman" w:eastAsia="Times New Roman" w:hAnsi="Times New Roman"/>
          <w:sz w:val="18"/>
          <w:szCs w:val="18"/>
          <w:color w:val="auto"/>
        </w:rPr>
        <w:t>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reputational harm,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current or future product candidates by the FDA or other applicable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current or future product candidates are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treatments already approved or expected to be commercially launched in the near future;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current or future product candidates over current treatment options or alternative treatments, including future alternative treatments;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or treatment methods and of physicians to prescribe these therapies or methods;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dose such product candidates in combination with other therapeutic agents, and related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7" w:name="page58"/>
    <w:bookmarkEnd w:id="57"/>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third-party coverage or reimbursement;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third-party coverage.</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drugs before or more successfully than we do.</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and will continue to face competition from third parties that use protein degradation, antibody therapy, inhibitory nucleic acid, gene editing or gene therapy development platforms and from companies focused on more traditional therapeutic modalities, such as small molecule inhibitors.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Companies developing small molecule protein degraders therapies for patients, include, but are not limited to, Arvinas, Inc., C4 Therapeutics, Inc., Nurix Therapeutics, Inc., and Foghorn Therapeutics, Inc. Further, several large pharmaceutical companies have disclosed preclinical investments in this field. In particular, several pharmaceutical companies have announced partnerships around programs targeting STAT6, including Sanofi, Johnson &amp; Johnson and Gilead Sciences, Inc. Our competitors will also include companies that are or will be developing other targeted protein degradation methods as well as small molecule, antibody, or gene therapies for the same indications that we are targeting. In addition to the competitors we face in developing small molecule protein degraders, we will also face competition in the indications we expect to pursue with our IRAK4, STAT6 and TYK2 programs. Many of these indications already have approved standards of care which may include more traditional therapeutic modalities. In order to compete effectively with these existing therapies, we will need to demonstrate that our protein degrader therapies are favorable to existing therapeutics.</w:t>
      </w:r>
    </w:p>
    <w:p>
      <w:pPr>
        <w:spacing w:after="0" w:line="19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of our current or future competitors have significantly greater financial resources and expertise in research and development, manufacturing, preclinical testing, conducting clinical trials, obtaining regulatory approvals and reimbursement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registration for clinical trials, as well as in acquiring technologies complementary to, or necessary for, our programs.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current or future product candidates in human clinical trials and will face an even greater risk if we commercially sell any current or future product candidates that we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right="20"/>
        <w:spacing w:after="0" w:line="282" w:lineRule="auto"/>
        <w:rPr>
          <w:sz w:val="20"/>
          <w:szCs w:val="20"/>
          <w:color w:val="auto"/>
        </w:rPr>
      </w:pPr>
      <w:r>
        <w:rPr>
          <w:rFonts w:ascii="Times New Roman" w:cs="Times New Roman" w:eastAsia="Times New Roman" w:hAnsi="Times New Roman"/>
          <w:sz w:val="18"/>
          <w:szCs w:val="18"/>
          <w:color w:val="auto"/>
        </w:rPr>
        <w:t>may develop. If we cannot successfully defend ourselves against claims that our current or future product candidates caused injuries, we could incur substantial liabilities. Regardless of merit or eventual outcome, liability claims may result in:</w:t>
      </w:r>
    </w:p>
    <w:p>
      <w:pPr>
        <w:spacing w:after="0" w:line="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current or future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current or future product candidates that we may develop.</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we will need to increase our insurance coverage when we begin later stage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have a sales or marketing infrastructure and have no experience in the sales, marketing, patient support or distribution of drugs.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current or future product candidates on our own include:</w:t>
      </w:r>
    </w:p>
    <w:p>
      <w:pPr>
        <w:spacing w:after="0" w:line="11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drugs;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ongoing and planned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utilize and depend upon independent investigators and collaborators, such as medical institutions, CROs, contract laboratories, contract manufacturing organizations and strategic partners to help conduct or otherwise support our preclinical studies and clinical trials for our current product candidates, and we expect to rely on such third parties for our future product candidates. We do not have the ability to independently conduct clinical trials. We rely heavily on external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preclinical studies or clinical trials, we could be subject to untitled and warning letters or enforcement action that may include civil penalties up to and including criminal prosecution.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any third parties that we contract with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requirements through periodic inspections of clinical trial sponsors, principal investigators and trial sites. If we or the third parties we contract with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will comply with GCP. In addition, our clinical trials must be conducted with current or future product candidates produced under cGMP regulations. Our failure or the failure of third parties that we may contract with to comply with these regulations may require us to repeat some aspects of a specific, or an entire, clinical trial,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designed the Phase 1 trials of KT-474 and KT-621 and intend to design other clinical trials for our current or future product candidates, or be involved in the design when other parties sponsor the trials, we anticipate that third parties will conduct all of our clinical trials. As a result, many important aspects of our clinical development, including their conduct and timing will be outside of our direct control. Our reliance on third parties to conduct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fail to comply with regulatory requirements, or if they need to be replaced, any clinical trials such CROs are associated with may be extended, delayed or terminated,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clinical trials we conduct and this could significantly delay commercialization and require significantly greater expenditures. If any of our relationships with these third-party CROs terminate, we may not be able to enter into arrangements with alternative CROs on commercially reasonable terms, or at all. If our CROs do not successfully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8"/>
          <w:szCs w:val="18"/>
          <w:color w:val="auto"/>
        </w:rPr>
        <w:t>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product, and starting materials used in our product candidates are limited in number, and the loss of any of these suppliers could significantly harm our business.</w:t>
      </w:r>
    </w:p>
    <w:p>
      <w:pPr>
        <w:spacing w:after="0" w:line="15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drug substance and drug product in our product candidates are supplied to us from a small number of suppliers, and in some cases sole source suppliers. We rely on and expect to continue to rely on our suppliers to develop our current or future product candidates, and to ultimately supply our commercial drugs in quantities sufficient to meet the market demand. We do not currently have arrangements in place for a second-source supply of all drug product or drug substance. Any delays in the delivery of our drug substance, drug product or starting materials could have an adverse effect and potentially harm our business. For example, in February 2020, one of our vendors for API starting materials based in Wuhan, China ceased its operations for several weeks due to the COVID-19 pandemic, which caused a minor delay in the delivery of API starting materials to a separate vendor who manufactures API.</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Regional or single-source dependencies may in some cases accentuate these risks. For example, the pharmaceutical industry generally and in some instances we or our collaborators or other third parties on which we rely on depend on China-based suppliers or services providers for certain raw materials, products and services and other activities. Our ability or the ability of our collaborators or such other third parties to continue to engage these China-based suppliers or service providers for certain preclinical research programs and clinical development programs could be restricted due to developments between the United States and China, including as a results of the escalation of tariffs or other trade restrictions or if the previously proposed federal legislation known as the BIOSECURE Act or a similar law were to be enacted.</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Recently, there has been legislation proposed that, if enacted, could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The potential downstream adverse impacts on entities having only commercial relationships with any impacted biotechnology providers is unknown but may include supply chain disruptions or delays. Though we do not currently receive U.S. government funding, we are currently evaluating steps to mitigate any potential impact of any future stricter legislation towards foreign entities providing services to U.S. based companies. Depending on the terms of the final legislation enacted, these steps could result in additional costs and potential delays in development timelines resulting from related transition efforts For all of our current or future product candidates, we intend to identify and qualify additional manufacturers to provide such API, drug product and drug substance prior to submission of an NDA to the FDA and/or an MAA to the EMA. We are not certain, however, that our single-source and dual source suppliers will be able to meet our demand for their products. It may be difficult for us to assess their ability to timely meet our demand in the future based on past performance.</w:t>
      </w:r>
    </w:p>
    <w:p>
      <w:pPr>
        <w:spacing w:after="0" w:line="19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Establishing additional or replacement suppliers for the drug product and drug substance used in our current or future product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drug product and drug substance used in our current or future product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executive management team’s ability to successfully pursue business development, strategic partnerships and investment opportunities as our company matures. We may also form or seek strategic alliances or acquisitions or enter into additional collaboration and licensing arrangements in the future, and we may not realize the benefits of such collaborations, alliances, acquisitions or licensing arrangements.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entered into a collaboration and licensing arrangement with Sanofi and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1" w:name="page62"/>
    <w:bookmarkEnd w:id="61"/>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collaborations involving our technologies or current or future product candidates are subject to numerous risks, which may include the following:</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current or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current or future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current or future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pay milestones and royalties due to the company in a timely manner.</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a result, we may not be able to realize the benefit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discussed elsewhere in this Annual Report on Form 10-K, our collaboration partner, Sanofi, is conducting a randomized Phase 2 clinical trial evaluating KT-474 in HS and a second randomized Phase 2 trial in AD. Sanofi will have significant discretion in determining the efforts and resources that it will apply to advance those clinical trials. As a result of the factors noted above, we may not be able to realize the benefit of our existing collaboration and licensing arrangements or any future strategic partnerships or acquisitions, collaborations or license arrangements we may enter into, which could delay our timelines or otherwise adversely affect our business.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2" w:name="page63"/>
    <w:bookmarkEnd w:id="6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preclinical and clinical programs and suspension or withdrawal of any regulatory approvals.</w:t>
      </w:r>
    </w:p>
    <w:p>
      <w:pPr>
        <w:spacing w:after="0" w:line="1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current or future product candidates, including leading to significant delays in the availability of our product candidates for our clinical trials or the termination of or suspension of a clinical trial, or the delay or prevention of a filing or approval of marketing applications for our current or future product candidates. Significant non-compliance could also result in the imposition of sanctions, including warning or untitled letters, fines, injunctions, civil penalties, failure of regulatory authorities to grant marketing approvals for our current or future product candidates, delays, suspension or withdrawal of approvals, license revocation, seizures or recalls of products, operating restrictions and criminal prosecutions, any of which could damage our reputation and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or other intellectual property protection in the U.S. and other countries for our current or future product candidates and our core technologies, including our proprietary TPD expertise, our, STAT6, TYK2 and IRAK4 programs, which are our most advanced development programs, as well as our proprietary compound library, and other know-how.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8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own patent applications and patents related to our TPD technology and our novel bifunctional degrader compounds, including claims to compositions of matter, pharmaceutical compositions, methods of use, methods of treatment, and other related methods.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our current or future product candidates may be unavailable or severely limited in some cases and may not adequately protect our rights or permit us to gain or keep any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3" w:name="page64"/>
    <w:bookmarkEnd w:id="63"/>
    <w:p>
      <w:pPr>
        <w:jc w:val="both"/>
        <w:spacing w:after="0" w:line="261" w:lineRule="auto"/>
        <w:rPr>
          <w:sz w:val="20"/>
          <w:szCs w:val="20"/>
          <w:color w:val="auto"/>
        </w:rPr>
      </w:pPr>
      <w:r>
        <w:rPr>
          <w:rFonts w:ascii="Times New Roman" w:cs="Times New Roman" w:eastAsia="Times New Roman" w:hAnsi="Times New Roman"/>
          <w:sz w:val="18"/>
          <w:szCs w:val="18"/>
          <w:color w:val="auto"/>
        </w:rPr>
        <w:t>competitive advantage. We cannot provide any assurances that any of our pending patent applications that mature into issued patents will include claims with a scope sufficient to protect our TPD expertise and our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 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9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or technologies,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opposition, derivation, reexamination, inter partes review, or post-grant review proceedings challenging our patent rights or the patent rights of others from whom we may in the future obtain licenses to such rights, in the U.S. Patent and Trademark Office, or USPTO, the European Patent Office, or EPO, or in other countries. In addition, we may be subject to third-party submissions to the USPTO, the EPO, or elsewhere, that may reduce the scope or preclude the granting of claims from our pending patent applications. Competitors may challenge our issued patents or may file patent applications before we do. Competitors may also claim that we are infringing their patents and that we therefore cannot practice our technology as claimed under our patents or patent applications. Competitors may also contest our patents by showing an administrative patent authority or judge that the invention was not patent-eligible, was not novel, was obvious, and/or lacked inventive step, and/or that the patent application failed to meet relevant requirements relating to description, basis, enablement, and/or support; in litigation, a competitor could assert that our patents are not valid or are unenforceable for a number of reasons. If a court or administrative patent authority agrees, we would lose our protection of those challenged patents.</w:t>
      </w:r>
    </w:p>
    <w:p>
      <w:pPr>
        <w:spacing w:after="0" w:line="1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8"/>
          <w:szCs w:val="18"/>
          <w:color w:val="auto"/>
        </w:rPr>
        <w:t>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 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will not obtain patent or other intellectual property protection for all current or future product candidates in all jurisdictions throughout the world, and we may not be able to adequately enforce our intellectual property rights even in the jurisdictions where we seek protection.</w:t>
      </w:r>
    </w:p>
    <w:p>
      <w:pPr>
        <w:spacing w:after="0" w:line="16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not be able to pursue patent coverage of our current or future product candidates, our TPD expertise, or other technologies in all countries. Filing, prosecuting and defending patents on current or future product candidates, our TPD expertise, and other technologies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infringing on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business, our competitive position may be impaired, and our business, financial condition, results of operations, and prospects may be adversely affected.</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not obtain or grant licenses or sublicenses to intellectual property rights in all markets on equally or sufficiently favorable terms with third parties.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current or any future agreements under which we may license intellectual property rights from third parties or otherwise experience disruptions to our business relationships with our licensors, we could lose license rights that are important to our business.</w:t>
      </w:r>
    </w:p>
    <w:p>
      <w:pPr>
        <w:spacing w:after="0" w:line="1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in-licensed from Sanofi and other collaborators. Our commercial success depends upon our ability to develop, manufacture, market and sell our current or future product candidates and use our and our licensors’ proprietary technologies without infringing the proprietary rights of third parties. Sanofi and other collaborators may have the right to terminate their respective license agreements in full in the event that we materially breach or default in the performance of any of the obligations under such license agreements. Any termination of these licenses, or if the underlying patents fail to provide the intended exclusivity, could result in the loss of significant rights and could harm our ability to commercialize our current or future product candidates, our TPD expertise,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also arise between us and our current or future licensors regarding intellectual property subject to a license agreement, including:</w:t>
      </w:r>
    </w:p>
    <w:p>
      <w:pPr>
        <w:spacing w:after="0" w:line="117"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misappropriate or otherwise violate intellectual property rights of the licensor that are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any patented technology;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current or future licensors and us and our partners.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6" w:name="page67"/>
    <w:bookmarkEnd w:id="66"/>
    <w:p>
      <w:pPr>
        <w:jc w:val="both"/>
        <w:spacing w:after="0" w:line="266" w:lineRule="auto"/>
        <w:rPr>
          <w:sz w:val="20"/>
          <w:szCs w:val="20"/>
          <w:color w:val="auto"/>
        </w:rPr>
      </w:pPr>
      <w:r>
        <w:rPr>
          <w:rFonts w:ascii="Times New Roman" w:cs="Times New Roman" w:eastAsia="Times New Roman" w:hAnsi="Times New Roman"/>
          <w:sz w:val="18"/>
          <w:szCs w:val="18"/>
          <w:color w:val="auto"/>
        </w:rPr>
        <w:t>prospects. Moreover, if disputes over intellectual property that we may license prevent or impair our ability to maintain current or future licensing arrangements on acceptable terms, we may be unable to successfully develop and commercialize the affected current or future product candidates or technologies, which could have a material adverse effect on our business, financial conditions, results of operations and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72"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that we own or may in-license may not lead to issued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may own or in-license, may not provide us with any competitive advantages, may be narrowed in scope, or may be challenged and held invalid or unenforceable;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a patent application that we own or may in-license;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a particular invention;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trade secrets or know-how;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Patent Protection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including patent term, depends on compliance with various procedural, document submission, deadlines, fee payment and other requirements imposed by governmental patent agencies, and our patent protection could be reduced or eliminated if we miss a filing deadline for patent protection on these inventions or otherwise fail to comply with these requirements.</w:t>
      </w:r>
    </w:p>
    <w:p>
      <w:pPr>
        <w:spacing w:after="0" w:line="1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USPTO and foreign governmental patent agencies require compliance with a number of procedural, documentary, fee payment and other similar provisions during the patent application process and after issuance of any patent. In addition,</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7" w:name="page68"/>
    <w:bookmarkEnd w:id="67"/>
    <w:p>
      <w:pPr>
        <w:jc w:val="both"/>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current or future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Different laws govern the extension of patents on approved pharmaceutical products in Europe and other jurisdictions. However, we may not be granted a patent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may not be granted an extension in the U.S. if all of our patents covering an approved product expire more than fourteen years from the date of NDA approval for a product covered by those patents.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current or future product candidates.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are therefore costly, time consuming and inherently uncertain.</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Trademarks, Trade Names and Trade Secrets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trademarks for our products or company name are not adequately protected in one or more countries where we intend to market our products, we may delay the launch of product brand names, use different or less effective trademarks or tradenames in different countries, or face other potentially adverse consequences or impediments to building our product brand recognition.</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trademarks or trade name may be challenged, infringed, diluted, circumvented, declared generic, or determined to be infringing on other marks. In such a circumstance, we may not be able to protect our rights to these marks or may be forced to stop using product names, which we need for name recognition by potential partners and customers in our markets of interest.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during the trademark registration process, we may receive Office Actions from the USPTO or from comparable agencies in foreign jurisdictions refusing registration of our trademarks.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USPTO and in comparable agencies in many foreign jurisdictions, third parties are also given an opportunity to oppose pending trademark applications and/or to seek the cancellation of registered trademarks. For example, in November 2019, Novartis AG filed actions in the U.S. and European Union trademark offices opposing our applications to register KYMERA and KYMERA THERAPEUTICS for pharmaceuticals and drug development services on the basis of its claimed rights in the KYMRIAH mark. This dispute was amicably settled in October 2020 and the involved applications for KYMERA</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and KYMERA THERAPEUTICS are now registered or allowed in the United States and have proceeded to registration in the European Union.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and enforce our trade secrets, our business and competitive position would be harmed.</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case of employees, we enter into agreements providing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Intellectual Property Litigation and Infringement Claims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Competitors may infringe any intellectual property we may own or in-license, including our patents and trademarks. In addition, any intellectual property we may own or in-license also may become the subject of a dispute, including those based on inventorship, priority, validity or unenforceability.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any intellectual property we may own or in-license is not valid or is unenforceable or that the other party’s use of our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or other intellectual property we may own or in-license at risk of being invalidated, held unenforceable, or interpreted narrowly and could put our own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continuation of patent litigation or other proceedings could have a material adverse effect on our ability to compete in the marketplace.</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not be able to detect infringement against any intellectual property we may own or in-license. Even if we detect infringement by a third party of any intellectual property we may own or in-license, we may choose not to pursue litigation against or settlement with the third party. If we later sue such third party for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or other intellectual property we may own or in-license against such third party.</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Intellectual property litigation and administrative office challenges in one or more countries could cause us to spend substantial resources and distract our personnel from their normal responsibilities. Even if resolved in our favor, litigation or other legal proceedings relating to intellectual property claims may cause us to incur significant expenses, and could distract our technical and management personnel from their normal responsibilities. In August 2021, we initiated a US patent office proceeding, a post-grant review, to challenge a third-party patent unrelated to our current product candidates. In response, the owner of the challenged third-party patent disclaimed that patent in full. We may challenge additional third-party patents in the future.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preclinical studies and future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such disputes could adversely impact our business reputation and/or protection of our proprietary technology.</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0" w:name="page71"/>
    <w:bookmarkEnd w:id="70"/>
    <w:p>
      <w:pPr>
        <w:jc w:val="both"/>
        <w:spacing w:after="0" w:line="252" w:lineRule="auto"/>
        <w:rPr>
          <w:sz w:val="20"/>
          <w:szCs w:val="20"/>
          <w:color w:val="auto"/>
        </w:rPr>
      </w:pPr>
      <w:r>
        <w:rPr>
          <w:rFonts w:ascii="Times New Roman" w:cs="Times New Roman" w:eastAsia="Times New Roman" w:hAnsi="Times New Roman"/>
          <w:sz w:val="18"/>
          <w:szCs w:val="18"/>
          <w:color w:val="auto"/>
        </w:rPr>
        <w:t>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our TPD expertise,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our TPD expertise, or other technologies, are rightfully owned by their former or concurrent employer. Litigation may be necessary to defend against these claims.</w:t>
      </w:r>
    </w:p>
    <w:p>
      <w:pPr>
        <w:spacing w:after="0" w:line="19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certain activities related to development and preclinical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current or future product candidates, or from using our proprietary technologies, including our TPD expertise, unless the third-party licenses its product rights to us, which it is not required to do on commercially reasonable terms or at all;</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1" w:name="page72"/>
    <w:bookmarkEnd w:id="71"/>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8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or TPD expertise may be impaired or delayed, which could in turn significantly harm our business. Even if we obtain a license, it may be nonexclusive, thereby giving our competitors access to the same technologies licensed to us.</w:t>
      </w:r>
    </w:p>
    <w:p>
      <w:pPr>
        <w:spacing w:after="0" w:line="20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or technologies, which could harm our business significantly.</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2" w:name="page73"/>
    <w:bookmarkEnd w:id="72"/>
    <w:p>
      <w:pPr>
        <w:jc w:val="both"/>
        <w:spacing w:after="0" w:line="253" w:lineRule="auto"/>
        <w:rPr>
          <w:sz w:val="20"/>
          <w:szCs w:val="20"/>
          <w:color w:val="auto"/>
        </w:rPr>
      </w:pPr>
      <w:r>
        <w:rPr>
          <w:rFonts w:ascii="Times New Roman" w:cs="Times New Roman" w:eastAsia="Times New Roman" w:hAnsi="Times New Roman"/>
          <w:sz w:val="18"/>
          <w:szCs w:val="18"/>
          <w:color w:val="auto"/>
        </w:rPr>
        <w:t>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or technologies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Employee Matters and Managing Growth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Nello Mainolfi, Ph.D., our President and Chief Executive Officer, Jared Gollob, M.D., our Chief Medical Officer, Bruce Jacobs, our Chief Financial Officer, Ellen Chiniara, our Chief Legal Officer and Jeremy Chadwick, our Chief Operating Officer, as well as the other principal members of our management, scientific and clinical teams.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develop and expand our company, and we may encounter difficulties in managing this development and expansion, which could disrupt our operations.</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we had 188 full-time employees, and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Our management may need to divert a disproportionate amount of its attention away from its day-to-day activities and devote a substantial amount of time to managing these development activities. Due to our limited resources, we may not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3" w:name="page74"/>
    <w:bookmarkEnd w:id="73"/>
    <w:p>
      <w:pPr>
        <w:jc w:val="both"/>
        <w:spacing w:after="0" w:line="255" w:lineRule="auto"/>
        <w:rPr>
          <w:sz w:val="20"/>
          <w:szCs w:val="20"/>
          <w:color w:val="auto"/>
        </w:rPr>
      </w:pPr>
      <w:r>
        <w:rPr>
          <w:rFonts w:ascii="Times New Roman" w:cs="Times New Roman" w:eastAsia="Times New Roman" w:hAnsi="Times New Roman"/>
          <w:sz w:val="18"/>
          <w:szCs w:val="18"/>
          <w:color w:val="auto"/>
        </w:rPr>
        <w:t>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expansion of our operations may lead to significant costs and may divert management’s time and financial resources from other projects, such as the development of our current or future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current or future product candidates, if approved, and compete effectively will depend, in part, on our ability to effectively manage the future development and expansion of our company.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unforeseen global events, natural disasters, and our business continuity and disaster recovery plans may not adequately protect us from a serious disaster.</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Unforeseen global events, such as macroeconomic conditions, outbreaks of violence, or geopolitical instability could adversely impact our business. Such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Additionally,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Natural disasters or pandemics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4" w:name="page75"/>
    <w:bookmarkEnd w:id="7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sublease our former space in Watertown, Massachusetts for occupancy now that we have moved to our new facility. If we are unable to sublease our space on favorable terms or if our subtenants are unable to meet their obligations under any sublease, we may be responsible for unexpected costs, which could impact our financial performance.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currently lease 34,522 square feet of research and development and office space in Watertown, Massachusetts, which lease expires on March 31, 2030. In December 2021, we entered into a lease for 100,624 square feet of office and laboratory space in Watertown, Massachusetts, which we began occupying in February 2024. We intend to sublease our original space and are actively marketing the space to third parties. In the event that we are unable to sublease our original space on favorable terms, or at all, or if we are able to sublease our space but our subtenants fail to make lease payments to us or otherwise default on their obligations to us, we could incur unanticipated payment obligations or further impairment.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Data and Privacy</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CROs or other contractors or consultants, may fail or suffer security breaches, which could result in a material disruption of our current or future product candidates’ development programs.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data from preclinical studies or clinical trials for our current or future product candidates could result in delays in our regulatory approval efforts and significantly increase our costs to recover or reproduce the data. To the extent that any disruption or security breach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security incidents, or compromises, which could result in the disclosure of confidential or proprietary information, including personal data, damage our reputation, and subject us to significant financial and legal exposure.</w:t>
      </w:r>
    </w:p>
    <w:p>
      <w:pPr>
        <w:spacing w:after="0" w:line="1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security incident, or compromise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EU General Data Protection Regulation, or GDPR) and may cause a material adverse impact to our reputation, affect our ability to use collected data, conduct new studies and potentially disrupt our business.</w:t>
      </w:r>
    </w:p>
    <w:p>
      <w:pPr>
        <w:spacing w:after="0" w:line="19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and certain of our service providers have experienced and may in the future experience cyberattacks. 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5" w:name="page76"/>
    <w:bookmarkEnd w:id="75"/>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our collaborators and our service providers may be subject to a variety of privacy and data protection laws, regulations and contractual obligations, which may require us to incur substantial compliance costs, and any failure or perceived failure by us to comply with them could expose us to fines or other penalties and otherwise harm our business and operations.</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be subject to data privacy and protection laws and regulations that apply to the collection, transmission, storage and use of sensitive information and personally-identifying information, which among other things, imposes certain requirements relating to the privacy, security and transmission of certain individually identifiable information. In addition, numerous other federal and state laws, including state security breach notification laws, state health information privacy laws and federal and state consumer protection laws, govern the collection, use, disclosure and security of personal information. These laws continue to change and evolve and are increasing in breadth and impact.</w:t>
      </w:r>
    </w:p>
    <w:p>
      <w:pPr>
        <w:spacing w:after="0" w:line="183"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For example, with respect to the collection and processing of personal data relating to the European Union (“EU”), European Economic Area (“EEA”) and United Kingdom (“UK”), we are subject to the EU General Data Protection Regulation (EU GDPR), the UK General Data Protection Regulation (UK GDPR), as well as applicable data protection laws in effect in the Member States of the EEA and in the UK (including the UK Data Protection Act 2018) which govern the processing of personal data in connection with (a) the offering of goods or services to/the monitoring of the behavior of individuals in the UK and EEA; or (b) the activities of our establishments in the UK and any EEA Member State. The UK’s data protection regime is independent from but aligned to the EU’s data protection regime. In this Form 10-K, “GDPR” refers to both the EU GDPR and the UK GDPR, unless specified otherwise. The GDPR is wide-ranging in scope and imposes numerous requirements on companies that process personal data, including imposing special requirements in respect of the processing of health and other sensitive data, requiring that consent of individuals to whom the personal data relates is obtained in certain circumstances, requiring additional disclosures to individuals regarding data processing activities, requiring that safeguards are implemented to protect the security and confidentiality of personal data, limiting retention periods for personal data, creating mandatory data breach notification requirements in certain circumstances, and requiring that certain measures (including contractual requirements) are put in place when engaging third-party service providers. The GDPR also imposes strict rules on the transfer of personal data to countries outside of the UK and EEA that do not ensure an adequate level of protection, including the United States in certain circumstances, unless derogation exists or a valid GDPR transfer mechanism (for example, the European Commission approved Standard Contractual Clauses (SCCs) and the UK International Data Transfer Agreement or Addendum (UK IDTA)) have been put in place, and transfer impact assessments conducted. Any inability to transfer personal data from the UK or EEA to the United States in compliance with data protection laws may impede our operations and may adversely affect our business and financial position. Following the UK’s exit from the EU, or Brexit, there will be increasing scope for divergence in application, interpretation and enforcement of the data protection laws between these territories. For example, the UK has introduced the Data Reform Bill into the UK legislative process with the intention for this bill to reform the UK’s data protection regime following Brexit. If passed, the final version of the Data Reform Bill may have the effect of further altering the similarities between the UK and EEA data protection regimes and threaten the UK adequacy decision from the EU Commission allowing the free flow of personal data from the UK to the EEA, which may lead to additional compliance costs and could increase our overall risk. This lack of clarity on future UK laws and regulations and their interaction with those of the EEA could add legal risk, uncertainty, complexity, and cost to our handling of European personal data and our privacy and security compliance programs, and could require us to implement different compliance measures for the UK and EEA. Failure to comply with the requirements of the GDPR and the related national data protection laws of the EEA Member States and the UK may result in fines up to €20 million (17.5 million for the UK GDPR) or 4% of a company’s global annual revenues for the preceding financial year, whichever is higher. The GDPR also confers a private right of action on data subjects and consumer associations to lodge complaints with supervisory authorities, seek judicial remedies, and obtain compensation for damages resulting from violations of the GDPR. Complying with these European data protection laws may impose significant costs or otherwise require us to divert resources or implement changes to our business processes, and any actual or perceived non-compliance could result in significant penalties, claims and reputational damage.</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several layers of federal and state data protection laws and regulations may apply to our business, including HIPAA, the Federal Trade Commission (“FTC”) Act and state consumer privacy and health data privacy laws. For example, the California Consumer Privacy Act (“CCPA”) is a comprehensive privacy law that creates individual privacy rights and increased privacy and security obligations on businesses handling the personal data of California residents. The CCPA requires covered businesses to provide certain disclosures to consumers about data collection, use and sharing practices, to allow California residents to opt out of certain sales and disclosures of personal information, and to opt out of certain uses of</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6" w:name="page77"/>
    <w:bookmarkEnd w:id="76"/>
    <w:p>
      <w:pPr>
        <w:jc w:val="both"/>
        <w:spacing w:after="0" w:line="261" w:lineRule="auto"/>
        <w:rPr>
          <w:sz w:val="20"/>
          <w:szCs w:val="20"/>
          <w:color w:val="auto"/>
        </w:rPr>
      </w:pPr>
      <w:r>
        <w:rPr>
          <w:rFonts w:ascii="Times New Roman" w:cs="Times New Roman" w:eastAsia="Times New Roman" w:hAnsi="Times New Roman"/>
          <w:sz w:val="18"/>
          <w:szCs w:val="18"/>
          <w:color w:val="auto"/>
        </w:rPr>
        <w:t>sensitive personal information, including health information. The law also created a regulatory agency in California, and that agency’s finalized and proposed regulations are continuing to change the standard of privacy protection we may be required to meet. Numerous other states have passed similar consumer privacy laws that are or will be implemented and enforced by various state regulators. Like the CCPA, these laws grant consumers rights in relation to their personal information and impose new obligations on regulated businesses, including, in some instances, broader data security requirements.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federal and state legislators and regulators are imposing new and heightened protections for health and other sensitive information that could impact our business. For example, the Federal Trade Commission (“FTC”) has imposed stringent requirements on the collection and disclosure of sensitive categories of personal information, including health information, and has expanded the application of its Health Breach Notification Rule. Through executive and legislative action, the federal government has also taken steps to restrict data transactions involving certain sensitive data categories</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including health data, genetic data, and biospecimens – with persons affiliated with China, Russia, and other countries of concern. Washington’s My Health My Data Act, which went into effect in March 2024, requires regulated entities to obtain consent to collect health information, grants consumers certain rights, including to request deletion, and provides for robust enforcement mechanisms, including enforcement by the state attorney-general and by litigants through a private right of action for consumer claims. These current and future data privacy laws and regulations may require us to modify our data collection or processing practices and policies, incur substantial costs and expenses in an effort to comply and increase our potential exposure to regulatory enforcement, reputational damage, and/or litigation.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Issues relating to the use of artificial intelligence and machine learning could adversely affect our business and operating results.</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our ongoing efforts to innovate and develop product candidates, we have integrated artificial intelligence (“AI”) and machine learning into virtual screening, hit validation and optimization technologies. While AI and machine learning presents opportunities for enhanced productivity and innovation, it also introduces inherent risks, including legal and regulatory, that could adversely impact our business and reputation. Proper use of AI and machine learning can lead to improved decision-making, cost reduction, and competitive advantage. However, improper use, including algorithmic biases, ethical considerations, data privacy issues, and potential regulatory non-compliance, could result in reputational damage, legal liabilities, and financial losses. The rapidly evolving regulatory landscape surrounding AI also poses a risk, as new laws and regulations could impose additional compliance burdens, resulting in increased operational costs to comply with U.S. and non-U.S. laws concerning the use of AI, the nature of which cannot be determined at this time. In addition, the European Union recently passed the Artificial Intelligence Act, whose regulations will be developed over the coming year and, in the U.S., the recent Executive Order concerning artificial intelligence may result in extensive new federal rule-making. We are committed to implementing governance and control mechanisms to mitigate these risks, but there can be no assurance that such measures will adequately prevent or mitigate the adverse effects that the integration and use of AI may have on our business, financial condition, and results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 and fluctuate substantially, and investors may lose all or part of their investment.</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stock price has been volatile and may continue to be subject to wide fluctuations in response to various factors. The stock market in general and the market for biopharmaceutical companies in particular have experienced extreme volatility that has often been unrelated to the operating performance of particular companies, including in connection with conflicts in various regions of the world, increasing inflation rates, and interest rate changes, which have resulted in decreased stock prices for many companies notwithstanding the lack of a fundamental change in their underlying business models or prospects. As a result of this volatility, you may lose all or part of your investment. The market price for our common stock may be influenced by many factors, including:</w:t>
      </w:r>
    </w:p>
    <w:p>
      <w:pPr>
        <w:spacing w:after="0" w:line="79"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current or future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7" w:name="page78"/>
    <w:bookmarkEnd w:id="77"/>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current or future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current or future product candidates or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collaboration agreements, including announcements regarding our collaboration agreement with Sanofi;</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shares of our common stock to fluctuate substantially, regardless of our actual operating performance, which may limit or prevent investors from selling their shares at or above the price paid for the shares and may otherwise negatively affect the liquidity of our common stock. The realization of any of the above risks or any of a broad range of other risks, including those described in this section, could have a significant and material adverse impact on the market price of our common stock. The price of our common stock may be disproportionately affected as investors may favor traditional profit-making industries and companies during the times of market uncertainty and instability.</w:t>
      </w:r>
    </w:p>
    <w:p>
      <w:pPr>
        <w:spacing w:after="0" w:line="2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global economic and geopolitical conditions may have serious adverse consequences on our business, financial condition, stock price and results of operations.</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potential for significant changes in U.S policies or regulatory environment given the new administration, military conflict, including the ongoing conflicts between Russia and Ukraine, and in the Middle East, terrorism, or other geopolitical events. Sanctions imposed by the United States and other countries in response to such conflicts, including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 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9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Changes in U.S. federal policy that affect the geopolitical landscape could give rise to circumstances outside our control that could have negative impacts on our business operations. For example, during the prior Trump administration, increased tariffs were implemented on goods imported into the U.S., particularly from China, Canada, and Mexico. On February 1, 2025, the U.S. imposed a 25% tariff on imports from Canada and Mexico, which were subsequently suspended for a period of one month, and a 10% additional tariff on imports from China. Historically, tariffs have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jc w:val="both"/>
        <w:spacing w:after="0" w:line="282" w:lineRule="auto"/>
        <w:rPr>
          <w:sz w:val="20"/>
          <w:szCs w:val="20"/>
          <w:color w:val="auto"/>
        </w:rPr>
      </w:pPr>
      <w:r>
        <w:rPr>
          <w:rFonts w:ascii="Times New Roman" w:cs="Times New Roman" w:eastAsia="Times New Roman" w:hAnsi="Times New Roman"/>
          <w:sz w:val="18"/>
          <w:szCs w:val="18"/>
          <w:color w:val="auto"/>
        </w:rPr>
        <w:t>in political, trade, regulatory, and economic conditions, including U.S. trade policies, could have a material adverse effect on our financial condition or results of operations.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have control over these analysts. Although we have obtained research coverage from certain analysts, there can be no assurance that analysts will continue to cover us or provide favorable coverage. If one or more of the analysts covering our business downgrade their evaluations of our stock, the price of our stock could decline. In addition, if one or more of these analysts cease to cover our stock, we could lose visibility in the market for our stock, which in turn could cause our stock price to decline.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15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2024, the existing holdings of our executive officers, directors, principal stockholders and their affiliates represent beneficial ownership, in the aggregate, of approximately 25%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This may prevent or discourage unsolicited acquisition proposals or offers for our common stock that you may feel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shareholders may accumulate or acquire significant positions in our common stock and may similarly be able to influence our business or matters submitted to our stockholders for approval. The concentration of voting power among these stockholders may also have an adverse effect on the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issued a substantial number of warrants and equity awards from our equity plans which are exercisable into shares of our common stock which could result in substantial dilution to the ownership interests of our existing stockholders.</w:t>
      </w:r>
    </w:p>
    <w:p>
      <w:pPr>
        <w:spacing w:after="0" w:line="15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approximately 15,159,753 shares of our common stock were reserved for issuance upon exercise of pre-funded warrants. Additionally, 10,197,394 shares of our common stock were reserved for issuance upon exercise of outstanding stock options and vested restricted stock units. The exercise or conversion of these securities will result in a significant increase in the number of outstanding shares and substantially dilute the ownership interests of our existing stockholders. The shares underlying the equity awards from our equity plans are registered on a Form S-8 registration statement. As a result, upon vesting these shares can be freely exercised and sold in the public market upon issuance, subject to volume limitations applicable to affiliates. The exercise of options and the subsequent sale of the underlying common stock could cause a decline in our stock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Persons who were our stockholders prior to our initial public offering continue to hold a substantial number of shares of our common stock that many of them are now able to sell in the public market. Significant portions of these shares are held by a relatively small number of stockholders, none of whom have entered into agreements restricting their ability to sell their shares. Sales by our stockholders of a substantial number of shares or distributions of their holdings to their respective limited partners and other equity holders, or the expectation that such sales or distributions, or the expectation that such sales may occur, could significantly reduce the market price of our common stock.</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Shares issued upon the exercise of stock options outstanding or settlement of restricted stock units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9" w:name="page80"/>
    <w:bookmarkEnd w:id="79"/>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Certain holders of our common stock have rights, subject to conditions, to require us to file registration statements covering their shares or to include their shares in registration statements that we may file for ourselves or other stockholders. We have also filed registration statements on Form S-8 registering the issuance of shares of common stock issued or reserved for future issuance under our equity compensation plans. Shares registered under this registration statement on Form S-8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our prior sales agreement, or Cowen Sales Agreement, with Cowen and Company, LLC, or Cowen, we had the ability to offer and sell up to an aggregate amount of $250.0 million of our common stock from time to time in “at-the-market” offerings, subject to the limitations thereof. As of December 31, 2024, approximately $50 million worth of common stock had been sold under the Cowen Sales Agreement. From October 1, 2021 through December 31, 2024, we sold 1,519,453 shares of common stock through the Cowen Sales Agreement.</w:t>
      </w:r>
    </w:p>
    <w:p>
      <w:pPr>
        <w:spacing w:after="0" w:line="18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On October 31,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or the Jefferies Sales Agreement, with Jefferies LLC pursuant to which we may offer and sell our common stock, subject to certain limitations in the sales agreement and compliance with applicable law, at any time throughout the term of the Jefferies Sales Agreement. The number of shares that are sold by Jefferies after delivering a placement notice will fluctuate based on the market price of the common stock during the sales period and limits we set with Jefferies. Because the price per share of each share sold will fluctuate based on the market price of our common stock during the sales period, it is not possible at this stage to predict the number of shares that will be ultimately issued. Sales to, or through, Jefferies by us could result in substantial dilution to the interests of other holders of our common stock. Additionally, the sale of a substantial number of shares of our common stock, or the anticipation of such sales, could make it more difficult for us to sell equity or equity-related securities in the future at a time and at a price that we might otherwise wish to effect sales. There have not yet been any sales made pursuant to the Jefferies Sales Agreement.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investors’ sole source of gain.</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investors’ sole source of gain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at an increased risk of securities class action litigation.</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Additionally,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rules dealing with U.S. federal, state and local and non-U.S. taxation are constantly under review by persons involved in the legislative process and by the Internal Revenue Service, or IRS, the U.S. Treasury Department and other taxing authorities. Changes to tax laws (which changes may have retroactive application) could adversely affect us or holders of our common stock. These changes could subject us to additional income-based taxes and non-income taxes (such as payroll, sales, use, value-added,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In recent years, many such changes have been made and changes are likely to continue to occur in the future.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0" w:name="page81"/>
    <w:bookmarkEnd w:id="80"/>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we expand the scale of our business activities, any changes in the U.S. and non-U.S. taxation of such activities may increase our effective tax rate and harm our business, financial condition and results of operations. You are urged to consult your tax advisor regarding the implications of potential changes in tax laws on an investment in our common stock.</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to offset future taxable income may be subject to certain limitations, and, as a result, unavailable to reduce our future tax liability.</w:t>
      </w:r>
    </w:p>
    <w:p>
      <w:pPr>
        <w:spacing w:after="0" w:line="15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2024, we had federal and state net operating loss carryforwards of $221.3 million and $238.3 million, respectively, which begin to expire in various amounts in 2037 (other than federal net operating loss carryforwards arising in taxable years beginning after December 31, 2017, which are not subject to expiration but the deductibility of such federal NOLs may be limited to 80% of our taxable income annually for tax years beginning after December 31, 2020). As of December 31, 2024, we also had federal and state research and development tax credit carryforwards of $33.1 million and $12.0 million, respectively, which begin to expire in 2032. These net operating loss and tax credit carryforwards could expire unused and be unavailable to offset future income tax liabilities.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where the aggregate stock ownership of one or more stockholders or groups of stockholders who own at least 5% of a corporation’s stock increases by more than 50 percentage points over the lowest ownership percentage of such stockholders or groups of stockholders within a specified testing period. Our existing NOLs or credits may be subject to limitations arising from previous ownership changes. In addition, future changes in our stock ownership, many of which are outside of our control, could result in an ownership change under Sections 382 and 383 of the Code and limit our ability to utilize NOLs or credit.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“Risk Factors-Risks Related to our Financial Position and Need for Additional Capital,” we have incurred significant net losses since our inception and anticipate that we will continue to incur significant losses for the foreseeable future; and therefore, we do not know whether or when we will generate the U.S. federal or state taxable income necessary to utilize our NOLs or credit carryforwards that are subject to limitation by Sections 382 and 383 of the Code.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Controls and Reporting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operating results and our ability to operate our business could be harmed.</w:t>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internal control over financial reporting is a process designed to provide reasonable assurance regarding the reliability of financial reporting and the preparation of financial statements in accordance with generally accepted accounting principles. Pursuant to Section 404 of the Sarbanes-Oxley Act of 2002, or Section 404, we are required to furnish a report by our management on our internal control over financial reporting, including an attestation report on internal control over financial reporting issued by our independent registered public accounting firm.</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achieve compliance with Section 404, we have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investors’ perceptions that our internal controls are inadequate or that we are unable to produce accurate financial statements on a timely basis may harm our stock price and make it more difficult for us to effectively market and sell any of our present or future product candidates that may receive regulatory approval.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1" w:name="page82"/>
    <w:bookmarkEnd w:id="81"/>
    <w:p>
      <w:pPr>
        <w:jc w:val="both"/>
        <w:spacing w:after="0" w:line="258" w:lineRule="auto"/>
        <w:rPr>
          <w:sz w:val="20"/>
          <w:szCs w:val="20"/>
          <w:color w:val="auto"/>
        </w:rPr>
      </w:pPr>
      <w:r>
        <w:rPr>
          <w:rFonts w:ascii="Times New Roman" w:cs="Times New Roman" w:eastAsia="Times New Roman" w:hAnsi="Times New Roman"/>
          <w:sz w:val="18"/>
          <w:szCs w:val="18"/>
          <w:color w:val="auto"/>
        </w:rPr>
        <w:t>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Charter and Bylaws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5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fourth amended and restated certificate of incorporation and our second amended and restated bylaws contain provisions that could delay or prevent a change of control of our company or changes in our board of directors that our stockholders might consider favorable. Some of these provisions include:</w:t>
      </w:r>
    </w:p>
    <w:p>
      <w:pPr>
        <w:spacing w:after="0" w:line="68" w:lineRule="exact"/>
        <w:rPr>
          <w:sz w:val="20"/>
          <w:szCs w:val="20"/>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Corporate Law, or DGCL,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2" w:name="page83"/>
    <w:bookmarkEnd w:id="82"/>
    <w:p>
      <w:pPr>
        <w:jc w:val="both"/>
        <w:spacing w:after="0" w:line="261" w:lineRule="auto"/>
        <w:rPr>
          <w:sz w:val="20"/>
          <w:szCs w:val="20"/>
          <w:color w:val="auto"/>
        </w:rPr>
      </w:pPr>
      <w:r>
        <w:rPr>
          <w:rFonts w:ascii="Times New Roman" w:cs="Times New Roman" w:eastAsia="Times New Roman" w:hAnsi="Times New Roman"/>
          <w:sz w:val="18"/>
          <w:szCs w:val="18"/>
          <w:color w:val="auto"/>
        </w:rPr>
        <w:t>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as applicable.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and other state courts have upheld the validity of, that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Congress, the Trump administration, or any new administration may make substantial changes to fiscal, tax, and other federal policies that may adversely affect our business.</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2017, the U.S. Congress and the Trump administration made substantial changes to U.S. policies, which included comprehensive corporate and individual tax reform. In addition, the Trump administration called for significant changes to U.S. trade, healthcare, immigration and government regulatory policy. With the transition to the Biden administration in early 2021, changes to U. S. policy occurred and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Risk Management and Strategy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Kymera uses, stores and processes data for and about our research programs, clinical trials, employees, and suppliers. We have developed and maintain an information security program designed to assess, identify, and manage risks from cybersecurity threats, including to our data and systems. We conduct periodic assessments of our assets, including internal and external security testing, as part of our risk management process and to evaluate the effectiveness of applicable security controls. These assessments are informed by industry standards. Our cybersecurity risk management process is a part of our overall risk management program. We also have an employee education program that includes training designed to raise awareness of cybersecurity threats. We have adopted an Incident Response Policy that outlines the legal and governance process for identifying and managing material cyber risks to our information and information systems and our framework for assessing and responding to cyber incidents, as applicable.</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Although risks from cybersecurity threats have to date not materially affected, and we do not believe they are reasonably likely to materially affect, us, our business strategy, results of operations or financial condition, we could, from time to time, experience threats and communicate security incidents relating to our and our third-party vendors’ information systems. For more information, please see Item 1A- Risk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Related to Cybersecurity Risks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ultimate direction of the Chief Executive Officer and our executive management team, the Cybersecurity Supervisory Committee (CSSC) has primary responsibility for overseeing our management of cybersecurity risks, which includes representatives from finance, legal, operations, human resources, and information technology. The CSSC meets as circumstances warrant to review and update incident response procedures and to provide oversight of incident response activities of the Cyber Security Incident Response Team.</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head of information technology and the CSSC have primary responsibility for assessing and managing our cybersecurity program. The head of information technology, who reports to the Chief Financial Officer, has more than 25 years of experience in building and leading information technology and security teams.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board of directors has ultimate oversight of our risk management program and has delegated oversight of that program, including, oversight of cybersecurity, to the audit committee of the board of directors. The S.V.P. of Information Technology presents to the audit committee periodically regarding cybersecurity matters. The Chief Financial Officer and the Chief Legal Officer are responsible for informing the audit committee in the event of any material cybersecurity incidents and any potential disclosure obligations arising from such incidents.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occupy approximately 100,624 square feet of office and laboratory space in Watertown, Massachusetts under a lease that expires in March 2035. We have two options to extend the lease term, each for five additional years at then-market rates. Additionally, we currently lease approximately 34,522 rentable square feet of extra office and laboratory space in Watertown, Massachusetts under a lease that expires in March 2030 that we are not currently occupying. We intend to sublease and are actively marketing the original space to third parties. We believe that our office and laboratory space is sufficient to meet our current needs and that suitable additional space will be available as and when needed on commercially reasonable terms.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0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Certain Information Regarding the Trading of Our Common Stock</w:t>
      </w:r>
    </w:p>
    <w:p>
      <w:pPr>
        <w:ind w:left="520"/>
        <w:spacing w:after="0"/>
        <w:rPr>
          <w:sz w:val="20"/>
          <w:szCs w:val="20"/>
          <w:color w:val="auto"/>
        </w:rPr>
      </w:pPr>
      <w:r>
        <w:rPr>
          <w:rFonts w:ascii="Times New Roman" w:cs="Times New Roman" w:eastAsia="Times New Roman" w:hAnsi="Times New Roman"/>
          <w:sz w:val="18"/>
          <w:szCs w:val="18"/>
          <w:color w:val="auto"/>
        </w:rPr>
        <w:t>Our common stock trades under the symbol “KYMR” on the Nasdaq Global Select Market and has been publicly traded since August 21,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this time, there was no public market for our common stock.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graph shows a comparison from August 21, 2020, the first date that shares of our common stock were publicly traded, through December 31, 2024, of the cumulative total return on an assumed investment of $100.00 in cash in our common stock, the NASDAQ Composite Index and the NASDAQ Biotechnology Index for the same period. Such returns are based on historical results and are not intended to suggest future performance. Data for the NASDAQ Composite Index and the NASDAQ Biotechnology Index assume reinvestment of dividends</w:t>
      </w:r>
      <w:r>
        <w:rPr>
          <w:rFonts w:ascii="Times New Roman" w:cs="Times New Roman" w:eastAsia="Times New Roman" w:hAnsi="Times New Roman"/>
          <w:sz w:val="21"/>
          <w:szCs w:val="21"/>
          <w:color w:val="auto"/>
        </w:rPr>
        <w:t>.</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53 Month Cumulative Total Return*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Among Kymera Therapeutics, Inc., the NASDAQ Composite Index 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90805</wp:posOffset>
            </wp:positionV>
            <wp:extent cx="5417820" cy="41662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17820" cy="416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 invested on August 21, 2020 in stock and indices, including reinvestment of dividends.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Fiscal year ending December 31.</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performance graph in this Item 5 is not deemed to be “soliciting material” or to be “filed” with the Securities and Exchange Commission for purposes of Section 18 of the Securities and Exchange Act of 1934, as amended, or otherwise subject to the liabilities under that Section, and shall not be deemed incorporated by reference into any of our filings under the Securities Act of 1933 or the Securities Exchange Act of 1934, except to the extent we specifically incorporate it by reference into such a filing.</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February 21, 2025, there were approximately 18 holders of record of shares of our common stock. This number does not include stockholders for whom shares are held in “nominee” or “street” name.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5 of Form 10-K regarding equity compensation plans is incorporated herein by reference to Item 12 of Part III of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financial statements and related notes appearing elsewhere in this Annual Report on Form 10-K. Some of the information contained in this discussion and analysis and set forth elsewhere in this Annual Report on Form 10-K, including information with respect to our plans and strategy for our business, includes forward-looking statements that involve risks and uncertainties. You should review the section titled “Risk Factors” in Part I, Item 1A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reinventing the treatment of human disease through the development of innovative, highly differentiated medicines that address significant health problems and that meaningfully improve patients’ lives. We are committed to advancing novel technologies to address targets that have known disease-causing biology, but which have not been drugged, or have been inadequately drugged, often based on limitations of existing technologies. Our approach is intended to discover and develop a new generation of medicines in a disease-agnostic manner.</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leader in targeted protein degradation, or TPD, a next-generation small molecule therapeutic modality that engages the body’s natural cellular recycling system to selectively eliminate disease-causing proteins. Our objective is to develop molecules that are both potent and highly selective, creating the potential for our medicines to uniquely address diseases that are poorly served by current treatment options. To date, we have progressed five programs into clinical development and expect to advance at least one new molecular entity into clinical testing annually. We intend to leverage our drug development expertise to become a fully integrated biopharmaceutical company with an industry-leading pipeline of novel medicines.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focus is primarily directed at high-value targets in immunology. We believe there are more than 160 million patients in the United States, Europe and Japan that are diagnosed with some of the most prevalent immune-inflammatory diseases that our programs are designed to address, nearly half of whom remain untreated. Of those treated, most patients are treated with therapies that do not treat the underlying diseases but mostly their symptoms. As a result, only a small percentage of patients, which we believe to be approximately 3% of the diagnosed population with severe inflammatory diseases, are currently treated with systemic advanced therapies, mostly injectable biologics. While generally efficacious, biologics have drawbacks. Biologics tend to be more expensive to manufacture, and the cost is typically passed on to patients and payors. Patient access to therapy can also be a challenge, as biologics are more complex to prescribe and reimburse than small molecule medicines. Additionally, biologics are administered as injections, a less preferred route of administration for patients as compared to oral medications, which offer greater flexibility for patients. We believe we have the potential to deliver a compelling value proposition to a significant underserved patient population: small molecule medicines with biologics-like activity through the convenience of oral administration of a pill.</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publicly disclosed immunology programs target STAT6, TYK2 and IRAK4, each of which addresses targets within validated pathways, providing the opportunity to treat a broad range of diseases. We are developing KT-621 as part of our STAT6 program, which is currently being evaluated in a Phase 1 clinical trial in healthy volunteers. Our lead molecule in our TYK2 program is KT-295, which we anticipate will enter the clinic in the second quarter of 2025. We are collaborating with Sanofi S.A., or Sanofi, on the development of drug candidates targeting IRAK4, including KT-474/SAR444656, outside of oncology and immuno-oncology fields. Sanofi has initiated two Phase 2b clinical trials of KT-474 in patients with hidradenitis suppurativa (HS) and in patients with atopic dermatitis (AD). Our pipeline focuses on addressing high impact targets that have been elusive to conventional modalities and that drive the pathogenesis of multiple serious diseases with significant unmet medical needs.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immunology focus, we also have research initiatives in other therapeutic areas. Additionally, we believe many of our key discovery and development capabilities have broad applicability, creating an opportunity for us to develop impactful therapeutics leveraging small-molecule modalities in addition to TPD.</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in 2015, we have devoted substantially all our efforts to organizing and staffing our company, research and development activities, business planning, raising capital, building our intellectual property portfolio and providing general and administrative support for these operations. To date, we have received gross proceeds of $1.71 billion from sales of our convertible preferred stock, the sale of common stock including our August 2020 initial public offering, or IPO, and concurrent private placement, our subsequent follow-on offerings and private placement offering, our prior sales agreement with Cowen and through our corporate collaborations.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7" w:name="page88"/>
    <w:bookmarkEnd w:id="8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inception. Our ability to generate product revenue sufficient to achieve profitability will depend heavily on the successful development and eventual commercialization of one or more of our current product candidates or any future product candidates. Our net losses were $223.9 million, $147.0 million and $154.8 million for the years ended December 31, 2024, 2023 and 2022, respectively. In addition, as of December 31, 2024 and 2023, we had an accumulated deficit of $754.6 million and $530.8 million, respectively. We expect that our expense and capital requirements will increase substantially in connection with our ongoing activities, particularly if and as we:</w:t>
      </w:r>
    </w:p>
    <w:p>
      <w:pPr>
        <w:spacing w:after="0" w:line="75"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preclinical studies and clinical trials for current or future product candidates;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submit Investigational New Drug applications, or INDs, with the U.S Food and Drug Administration, or FDA, for future product candidates;</w:t>
      </w:r>
    </w:p>
    <w:p>
      <w:pPr>
        <w:spacing w:after="0" w:line="53" w:lineRule="exact"/>
        <w:rPr>
          <w:rFonts w:ascii="Times New Roman" w:cs="Times New Roman" w:eastAsia="Times New Roman" w:hAnsi="Times New Roman"/>
          <w:sz w:val="18"/>
          <w:szCs w:val="18"/>
          <w:color w:val="auto"/>
        </w:rPr>
      </w:pPr>
    </w:p>
    <w:p>
      <w:pPr>
        <w:ind w:left="1020" w:right="84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facilities to support continued growth in our research, development and commercialization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research and development related activities to expand our product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improve the capabilities of our drug discovery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our product candidates that successfully complete clinical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and management personnel;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continuing to operate as a public company.</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if we obtain marketing approval for any of our lead product candidates, we expect to incur significant commercialization expenses related to product manufacturing, marketing, sales and distribution.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one or more of our product candidates.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marketing approval for our drug candidates. The lengthy process of securing marketing approvals for new drugs requires the expenditure of substantial resources. Any delay or failure to obtain regulatory approvals would materially adversely affect our product candidate development efforts and our business overall.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we had cash, cash equivalents and marketable securities of $850.9 million. We believe the existing cash, cash equivalents and marketable securities on hand will be sufficient to fund our operations into mid 2027, which will enable us to execute on multiple data readouts across our programs. We have based this estimate on assumptions that may prove to be wrong, and we could exhaust our available capital resources sooner than we expect. See “Liquidity and capital resources”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Our only revenues have been derived from research collaboration arrangements with Vertex Pharmaceuticals Incorporated, or Vertex, and Sanofi. We expect that our revenue for the next several years will be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8" w:name="page89"/>
    <w:bookmarkEnd w:id="88"/>
    <w:p>
      <w:pPr>
        <w:jc w:val="both"/>
        <w:spacing w:after="0" w:line="282" w:lineRule="auto"/>
        <w:rPr>
          <w:sz w:val="20"/>
          <w:szCs w:val="20"/>
          <w:color w:val="auto"/>
        </w:rPr>
      </w:pPr>
      <w:r>
        <w:rPr>
          <w:rFonts w:ascii="Times New Roman" w:cs="Times New Roman" w:eastAsia="Times New Roman" w:hAnsi="Times New Roman"/>
          <w:sz w:val="18"/>
          <w:szCs w:val="18"/>
          <w:color w:val="auto"/>
        </w:rPr>
        <w:t>derived primarily from our current collaboration agreements and any additional collaborations that we may enter into in the future. To date, we have not received any royalties under any of the collaboration agreements.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 Collaboration Agreement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May 9, 2019, we entered into a collaboration agreement, or the Vertex Agreement, with Vertex, to advance small molecule protein degradation against up to six targets. Under the Vertex Agreement, Vertex was granted the exclusive option to license the rights to the product candidates developed through the collaboration at which point Vertex would control development and commercialization. Pursuant to the Vertex Agreement, we were responsible for discovery and preclinical research on the targets, and Vertex was responsible for development, manufacturing, and commercialization of the product candidates after it exercises its option to license. Vertex provided us with a non-refundable upfront payment of $50.0 million and purchased 3,059,695 shares of our Series B-1 Convertible Preferred Stock at $6.54 a share, pursuant to a separate, but simultaneously executed Share Purchase Agreement.</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Vertex Agreement expired upon the completion of the initial research term on May 9, 2023</w:t>
      </w:r>
      <w:r>
        <w:rPr>
          <w:rFonts w:ascii="Times New Roman" w:cs="Times New Roman" w:eastAsia="Times New Roman" w:hAnsi="Times New Roman"/>
          <w:sz w:val="21"/>
          <w:szCs w:val="21"/>
          <w:color w:val="auto"/>
        </w:rPr>
        <w:t>.</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July 7, 2020, we entered into a collaboration agreement, or the Sanofi Agreement, with Sanofi to co-develop drug candidates directed to two biological targets. Under the Sanofi Agreement, we granted to Sanofi a worldwide exclusive license to develop, manufacture and commercialize certain lead compounds generated during the collaboration directed against IRAK4 and one additional undisclosed target in an undisclosed field of use. Such license is exercisable on a collaboration target-by-collaboration target basis only after a specified milestone. For compounds directed against IRAK4, the field of use includes diagnosis, treatment, cure, mitigation or prevention of any diseases, disorders or conditions, excluding oncology and immuno-oncology. We are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an exclusive option, or Opt-In Right, exercisable on a collaboration-target-by-collaboration-target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we exercise the Opt-In Right, Sanofi will grant us an exclusive option, applicable to each collaboration target, which upon exercise will allow us to conduct certain co-promotion activities in the field in the United States.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We or Sanofi may terminate the agreement upon the other party’s material breach or insolvency or for certain patent challenges. In addition, Sanofi may terminate the agreement for convenience or for a material safety event upon advance prior written notice, and we may terminate the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and commercial milestone payments of up to $700.0 million, in the aggregate. Of these milestones, we remain eligible to receive up to $1.0 billion in development milestones upon the achievement of certain developmental or regulatory events, and up to $400.0 million in commercial milestones which are payable upon the achievement of certain net sales thresholds, all of which are related to the IRAK4 program. We will further be eligible to receive tiered royalties on net sales ranging from the high single digits to high teens, subject to low-single digits upward adjustments in certain circumstances. As of December 31, 2024, we have achieved $55.0 million of milestones under the Sanofi Agreement related to certain IRAK4 clinical milestones.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for which the Company received milestone payments as further set forth in the Amended Sanofi Agreement. Phase 2 clinical trials of KT-474 are initially investigating its potential in HS and AD with the clinical trial for both indications having been initiated and commenced dosing in 2023.</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primarily of research and development expenses and general and administrative expenses.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targeted protein degradation therapeutics. These research efforts and costs include external research costs, personnel costs, supplies, license fees and facility-related expenses. We expense research and development costs as incurred. These expenses include:</w:t>
      </w:r>
    </w:p>
    <w:p>
      <w:pPr>
        <w:spacing w:after="0" w:line="68" w:lineRule="exact"/>
        <w:rPr>
          <w:sz w:val="20"/>
          <w:szCs w:val="20"/>
          <w:color w:val="auto"/>
        </w:rPr>
      </w:pPr>
    </w:p>
    <w:p>
      <w:pPr>
        <w:ind w:left="1020" w:right="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agreements with third parties, including contract research organizations, or CROs, and other third parties that conduct clinical trials and preclinical activities on our behalf;</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manufacturing organizations, or CMOs, that are primarily engaged to provide drug substance and product for our preclinical research and development programs, nonclinical studies, clinical trials and other scientific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and manufacturing clinical and nonclinical trial materials, including manufacturing registration and validation batches;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and insurance;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future product candidates.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clinical development costs may vary significantly based on factors such as:</w:t>
      </w:r>
    </w:p>
    <w:p>
      <w:pPr>
        <w:spacing w:after="0" w:line="117"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0" w:name="page91"/>
    <w:bookmarkEnd w:id="90"/>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successful development and commercialization of product candidates is highly uncertain. This is due to the numerous risks and uncertainties associated with product development and commercialization, including the following:</w:t>
      </w:r>
    </w:p>
    <w:p>
      <w:pPr>
        <w:spacing w:after="0" w:line="54"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necessary additional 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development programs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drug substance and drug product for use in production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commercial manufacturing, if any of our product candidates are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patents, trade secret protection and regulatory exclusivity, both in the United States and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insurance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products;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including the timing and enrollment of patients in our planned clinical trials, or to those of our manufacturers, suppliers, or other vendors resulting from a future pandemic or similar public health crisis;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for our therapies following approval.</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1" w:name="page92"/>
    <w:bookmarkEnd w:id="91"/>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 executive, finance, legal, corporate and business development, and administrative functions. General and administrative expenses also include legal fees relating to patent and corporate matters, professional fees for accounting, auditing, tax and administrative consulting services, insurance costs, facilities costs, administrative travel expenses, marketing expenses and other operating costs.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development of our product candidates and our continued research activities. We also anticipate that we will incur increased accounting, audit, legal, regulatory, compliance and director and officer insurance costs as well as legal, investor and public relations expenses associated with being a public company.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and other income and expense,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other income and expense consists of interest earned on our invested cash balances and interest expense related to our financing leases.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years ended December 31, 2024 and 2023</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4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66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(31,520 )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240,248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189,081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51,167</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shd w:val="clear" w:color="auto" w:fill="CFF0FC"/>
          </w:tcPr>
          <w:p>
            <w:pPr>
              <w:spacing w:after="0"/>
              <w:rPr>
                <w:sz w:val="18"/>
                <w:szCs w:val="18"/>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308,707</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244,122</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64,585</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(261,635 )</w:t>
            </w: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(165,530 )</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(96,105 )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37,777</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100" w:type="dxa"/>
            <w:vAlign w:val="bottom"/>
          </w:tcPr>
          <w:p>
            <w:pPr>
              <w:spacing w:after="0"/>
              <w:rPr>
                <w:sz w:val="18"/>
                <w:szCs w:val="18"/>
                <w:color w:val="auto"/>
              </w:rPr>
            </w:pPr>
          </w:p>
        </w:tc>
      </w:tr>
      <w:tr>
        <w:trPr>
          <w:trHeight w:val="23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(223,858 )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(146,962 )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(76,896 )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each of our collaboration agreements based on our pattern of performance related to the respective identified performance obligation, which is the period over which we will perform research services under each of the respective agreements.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Collaboration revenues were $47.1 million for the year ended December 31, 2024, the entirety of which was attributable to our collaboration agreement with Sanofi. Collaboration revenues were $78.6 million for the year ended December 31, 2023, of which $8.4 million and $70.2 million were attributable to our collaboration agreements with Vertex and Sanofi, respectively. The decrease in revenue is primarily attributable to the achievement of $55 million in milestones under the Sanofi agreement in the fourth quarter of 2023 and the associated cumulative catch-up of revenue at that time.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92" w:name="page93"/>
    <w:bookmarkEnd w:id="92"/>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separately included in the table below prior to the year they are disclosed):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66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39,805</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39,805</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TYK2</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18,292</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IRAK4</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(6,697 )</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MDM2</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STAT3</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(4,291 )</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43,909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61,278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(17,369 )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compensation and related personnel expense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39,487</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29,342</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240,248</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189,081</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51,167</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$240.2 million for the year ended December 31, 2024, compared to $189.1 million for the year ended December 31, 2023. The increase of $51.2 million was primarily due to an increase of $58.4 million in costs related to our STAT6, TYK2 and MDM2 programs, as well as an increase of $21.1 million in personnel, stock-based compensation and occupancy costs due to increases in employee headcount in our research and development functions. These increases were partially offset by a $10.9 million reduction in activities related to our IRAK4 and STAT3 programs and a $17.4 million reduction in our other research and development costs due to stage progression and breakout of STAT6 and TYK2 programs.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$63.5 million for the year ended December 31, 2024, compared to $55.0 million for the year ended December 31, 2023. The $8.5 million increase was primarily due to a $7.0 million increase in personnel, stock-based compensation and occupancy costs due to increases in employee headcount in the general and administrative functions, and a $1.5 million increase in legal and professional services expenses to support our operations as a public company.</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Impairment of long-lived assets was $4.9 million for the year ended December 31, 2024, compared to $0 for year ended December 31, 2023. The increase of $4.9 million was as a result of the occupancy of the 2021 Lease facility in February of 2024 and the corresponding exit of the 2019 Lease facility, resulting in an impairment charge of $4.9 million in the year ended December 31, 2024.</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578"/>
        <w:spacing w:after="0" w:line="266" w:lineRule="auto"/>
        <w:rPr>
          <w:sz w:val="20"/>
          <w:szCs w:val="20"/>
          <w:color w:val="auto"/>
        </w:rPr>
      </w:pPr>
      <w:r>
        <w:rPr>
          <w:rFonts w:ascii="Times New Roman" w:cs="Times New Roman" w:eastAsia="Times New Roman" w:hAnsi="Times New Roman"/>
          <w:sz w:val="18"/>
          <w:szCs w:val="18"/>
          <w:color w:val="auto"/>
        </w:rPr>
        <w:t>Other income, net was $37.8 million for the year ended December 31, 2024, compared to $18.6 million for the year ended December 31, 2023. The $19.2 million increase was primarily due to the increase in our investments balance as a result of 2024 financing activities as well as prevailing interest rates in the respective periods.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93" w:name="page94"/>
    <w:bookmarkEnd w:id="9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Comparison of years ended December 31, 2023 and 2022</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2022:</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4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66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31,766</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189,081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164,248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24,833</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11,207</w:t>
            </w:r>
          </w:p>
        </w:tc>
        <w:tc>
          <w:tcPr>
            <w:tcW w:w="100" w:type="dxa"/>
            <w:vAlign w:val="bottom"/>
          </w:tcPr>
          <w:p>
            <w:pPr>
              <w:spacing w:after="0"/>
              <w:rPr>
                <w:sz w:val="18"/>
                <w:szCs w:val="18"/>
                <w:color w:val="auto"/>
              </w:rPr>
            </w:pPr>
          </w:p>
        </w:tc>
      </w:tr>
      <w:tr>
        <w:trPr>
          <w:trHeight w:val="210"/>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244,122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208,082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36,040</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(165,530 )</w:t>
            </w: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(161,256 )</w:t>
            </w: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(4,274 )</w:t>
            </w: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(146,962 )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(154,808 )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under each of our collaboration agreements based on our pattern of performance related to the respective identified performance obligation, which is the period over which we will perform research services under each of the respective agreements.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Collaboration revenues were $78.6 million for the year ended December 31, 2023, of which $8.4 million and $70.2 million were attributable to our collaboration agreements with Vertex and Sanofi, respectively. Collaboration revenues were $46.8 million for the year ended December 31, 2022, of which $10.8 million and $36.0 million were attributable to our collaboration agreements with Vertex and Sanofi, respectively. The increase in revenue is primarily attributable to the achievement of $55 million in milestones under the Sanofi agreement in the fourth quarter of 2023.</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each period presented (program expenses are not separately included in the table below prior to the year they are disclosed):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664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IRAK4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(4,088 )</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STAT3</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MDM2</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(3,653 )</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61,278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9,890</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compensation and related personnel expense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tcPr>
          <w:p>
            <w:pPr>
              <w:spacing w:after="0"/>
              <w:rPr>
                <w:sz w:val="18"/>
                <w:szCs w:val="18"/>
                <w:color w:val="auto"/>
              </w:rPr>
            </w:pPr>
          </w:p>
        </w:tc>
      </w:tr>
      <w:tr>
        <w:trPr>
          <w:trHeight w:val="23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3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29,342</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3"/>
        </w:trPr>
        <w:tc>
          <w:tcPr>
            <w:tcW w:w="66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Borders>
              <w:top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189,081</w:t>
            </w:r>
          </w:p>
        </w:tc>
        <w:tc>
          <w:tcPr>
            <w:tcW w:w="24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164,248</w:t>
            </w:r>
          </w:p>
        </w:tc>
        <w:tc>
          <w:tcPr>
            <w:tcW w:w="520" w:type="dxa"/>
            <w:vAlign w:val="bottom"/>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24,833</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$189.1 million for the year ended December 31, 2023, compared to $164.2 million for the year ended December 31, 2022. The increase of $24.8 million was primarily due to an increase of $19.5 million in personnel, stock-based compensation and occupancy costs due to increases in employee headcount in the research and development functions, a $9.9 million increase in other research and development expenses primarily associated with increased work on preclinical programs, as well as a $3.2 million increase in expenses on our STAT3 program due to the expenses associated with the Phase-1 clinical trial. These increases were primarily offset by a $7.7 million reduction in direct expenses related to our activities for our IRAK4 and MDM2 programs due to changes in the stage of development of these respective programs.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$55.0 million for the year ended December 31, 2023, compared to $43.8 million for the year ended December 31, 2022. The $11.2 million increase was primarily due to a $8.8 million increase in personnel, stock-based compensation and occupancy costs due to increases in employee headcount in the general and administrative functions, and a $2.4 million increase in legal and professional services expenses to support our operations as a public company.</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$18.6 million for the year ended December 31, 2023, compared to $6.4 million for the year ended December 31, 2022. The $12.2 million increase was primarily due to the prevailing interest rates in the respective periods.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not yet generated any revenue from any product sales, and we have incurred significant operating losses since our inception. We have not yet commercialized any products and we do not expect to generate revenue from sales of products for several years, if at all. To date, we have received gross proceeds of $1.71 billion from sales of our convertible preferred stock, the sale of common stock including our August 2020 initial public offering, or IPO, and concurrent private placement, our follow-on offerings and private placement offering, our prior sales agreement with Cowen, and through our corporate collaborations. As of December 31, 2024, we had cash and cash equivalents and marketable securities of $850.9 million.</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October 2021, we entered into a sales agreement, or Cowen Sales Agreement, with Cowen, pursuant to which we were able to offer and sell shares of our common stock having aggregate gross proceeds of up to $250.0 million from time to time in “at-the-market” offerings through Cowen, as our sales agent. We agreed to pay Cowen a commission of up to 3.0% of the gross proceeds of any shares sold by Cowen under the Sales Agreement. As of December 31, 2024, we have sold 1,519,453 shares of common stock under the Sales Agreement resulting in gross proceeds of approximately $50 million. On October 30, 2024, Cowen acknowledged and accepted our prior written notice to terminate the Cowen Sales Agreement, which termination was effective on October 30, 2024. As a result of such termination, we will not offer or sell any additional shares of common stock under the Cowen Sales Agreement.</w:t>
      </w:r>
    </w:p>
    <w:p>
      <w:pPr>
        <w:spacing w:after="0" w:line="195"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On October 31,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or Jefferies Sales Agreement, with Jefferies LLC, or Jefferies, pursuant to which we may offer and sell shares of our common stock having aggregate gross proceeds of up to $300.0 million from time to time in “at-the-market” offerings through Jefferies, as our sales agent. We agreed to pay Jefferies a commission of up to 3.0% of the gross proceeds of any shares sold by Jefferies under the Jefferies Sales Agreement. As of December 31, 2024, we have not sold any shares of common stock under the Jefferies Sales Agreement.</w:t>
      </w:r>
    </w:p>
    <w:p>
      <w:pPr>
        <w:spacing w:after="0" w:line="3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19"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7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140" w:type="dxa"/>
        <w:tblCellMar>
          <w:top w:w="0" w:type="dxa"/>
          <w:left w:w="0" w:type="dxa"/>
          <w:bottom w:w="0" w:type="dxa"/>
          <w:right w:w="0" w:type="dxa"/>
        </w:tblCellMar>
      </w:tblPr>
      <w:tr>
        <w:trPr>
          <w:trHeight w:val="142"/>
        </w:trPr>
        <w:tc>
          <w:tcPr>
            <w:tcW w:w="52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(194,501 )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(102,826 )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(153,085 )</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(404,077 )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20,519</w:t>
            </w:r>
          </w:p>
        </w:tc>
        <w:tc>
          <w:tcPr>
            <w:tcW w:w="100" w:type="dxa"/>
            <w:vAlign w:val="bottom"/>
          </w:tcPr>
          <w:p>
            <w:pPr>
              <w:spacing w:after="0"/>
              <w:rPr>
                <w:sz w:val="18"/>
                <w:szCs w:val="18"/>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608,851</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41,252</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20,433</w:t>
            </w:r>
          </w:p>
        </w:tc>
        <w:tc>
          <w:tcPr>
            <w:tcW w:w="10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-170815</wp:posOffset>
            </wp:positionV>
            <wp:extent cx="603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-170815</wp:posOffset>
            </wp:positionV>
            <wp:extent cx="596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used in Operating Activities</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operating activities used $194.5 million of cash, primarily resulting from our net loss of $223.9 million during the period and a $41.1 million decrease in deferred revenue under our collaboration agreements. These were partially offset by a $17.2 million net decrease in other operating assets and liabilities primarily driven by changes in accounts receivable, accounts payable, accrued expenses, operating lease liabilities as well as adjustments for non-cash items of $53.3 million (primarily consisting of stock-based compensation, lease impairment charge, depreciation &amp; amortization and premiums &amp; discounts on available-sale-securities).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95" w:name="page96"/>
    <w:bookmarkEnd w:id="95"/>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used $102.8 million of cash, primarily resulting from our net loss of $147.0 million during the period and a $8.6 million decrease in deferred revenue under our collaboration agreements. These were offset by a $11.2 million net decrease in other operating assets and liabilities primarily driven by changes in accounts receivable, accounts payable, accrued expenses, operating lease liabilities as well as adjustments for non-cash items of $41.5 million (primarily consisting of stock-based compensation, depreciation &amp; amortization and premiums &amp; discounts on available-sale-securities).</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operating activities used $153.1 million of cash, primarily resulting from our net loss of $154.8 million during the period and a $37.8 million decrease in deferred revenue under our collaboration agreements. These were offset by adjustments for non-cash items of $39.3 million (primarily consisting of stock-based compensation, depreciation and amortization and premiums and discounts on available sale-securities) and a $0.2 million net increase in operating assets and liabilities primarily driven by changes in accounts payable and accrued expenses partially offset by changes in prepaid expenses and other operating assets and liabilities.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provided by (used in) Investing Activities</w:t>
      </w:r>
    </w:p>
    <w:p>
      <w:pPr>
        <w:spacing w:after="0" w:line="22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cash used in investing activities was $404.1 million comprised of purchases of marketable securities of $901.2 million and purchases of property and equipment of $12.8 million partially offset by maturities of marketable securities of $509.9 million.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cash provided by investing activities was $139.9 million comprised of maturities of marketable securities of $363.5 million partially offset by purchases of marketable securities of $189.2 million and purchases of property and equipment of $34.4 million.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cash provided by investing activities was $20.5 million comprised of maturities of marketable securities of $469.3 million partially offset by purchases of marketable securities of $446.0 million and purchases of property and equipment of $2.8 million.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from Financing Activities</w:t>
      </w:r>
    </w:p>
    <w:p>
      <w:pPr>
        <w:spacing w:after="0" w:line="22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financing activities was $608.9 million, consisting of $547.9 million in proceeds from issuance of common stock and accompanying pre-funded warrants, net of offering costs, $48.7 million in proceeds from the issuance of common stock through the Cowen Sales Agreement, net of issuance costs, $11.8 million in proceeds from the exercise of employee stock options, $2.0 million from proceeds from the employee stock purchase plan, partially offset by finance lease payments of $1.6 million.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net cash provided by financing activities was $4.2 million, primarily consisting of $2.9 million in proceeds from the exercise of employee stock options, $1.4 million in proceeds from the issuance of shares under our employee stock purchase partially offset by finance lease payments of $0.1 million.</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net cash provided by financing activities was $153.0 million, primarily consisting of $149.8 million of net proceeds received in our August 2022 PIPE offering, $3.2 million in proceeds from the exercise of employee stock options, $1.1 million in proceeds from the issuance of shares under our employee stock purchase partially offset by finance lease payments of $1.1 million.</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the later-stage clinical development of our product candidates. In addition, we expect to incur additional costs associated with operating as a public company.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The timing and amount of our operating expenditures will depend largely 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6" w:name="page97"/>
    <w:bookmarkEnd w:id="96"/>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nonclinical studies and clinical trials for our product candidates or any future product candidates we may develop;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with key collaborators;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grow our business, including hiring key personnel and maintaining or acquiring operating space;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market acceptance of any approved product candidates, including product pricing, as well as product coverage and the adequacy of reimbursement by third-party payors;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potentially validating a manufacturing site for commercial-scale manufacturing;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and that we determine to commercialize;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33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the existing cash, cash equivalents and marketable securities of $850.9 million as of December 31, 2024, will be sufficient to fund our operations into mid 2027. We have based this estimate on assumptions that may prove to be wrong, and we could use our capital resources sooner than we currently expect. We expect that we will require additional funding to continue the clinical development of our clinical programs, commercialize our product candidates if we receive regulatory approval, and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 our product candidates.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Market volatility resulting from macroeconomic factors could also adversely impact our ability to access capital as and when needed. To the extent that we raise additional capital through the sale of equity or convertible debt securities, the ownership interests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7" w:name="page98"/>
    <w:bookmarkEnd w:id="9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entered into arrangements that contractually obligate us to make payments that will affect our liquidity and cash flows in future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arrangements primarily include those related to our lease commitments.</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lease commitments reflect payments due for our two lease agreements for laboratory and office space in Watertown, Massachusetts that expire in March of 2030 and 2035, respectively. As of December 31, 2024, our contractual commitments for our leases were $124.9 million, which will be paid over the term of such leases. For additional information on our leases and timing of future payments, please read Note 7, Leases, to the consolidated financial statements included in this Annual Report on Form 10-K.</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Obligations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various third parties for clinical trials, preclinical research studies, and testing, manufacturing, and other services and products for operating purposes. These contracts provide for termination upon notice. Payments due upon cancellation generally consist only of payments for services provided or expenses incurred, including non-cancellable obligations of our service providers, up to the date of cancellation. These payments have not been included separately within these contractual and other obligations disclosures.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or GAAP, in the United States. The preparation of our consolidated financial statements and related disclosures requires us to make estimates and judgments that affect the reported amounts of assets, liabilities, revenues,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appearing at the end of this Annual Report, we believe that the following accounting policies are those most critical to the judgments and estimates used in the preparation of our consolidated financial statements.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ASC 606, an entity recognizes revenue when its customer obtains control of promised goods or services, in an amount that reflects the consideration which the entity expects to receive in exchange for those goods or services.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determine the appropriate amount of revenue to be recognized for arrangements determined to be within the scope of ASC 606, we perform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we satisfy each performance obligation. We only apply the five-step model to contracts when it is probable that the entity will collect consideration it is entitled to in exchange for the goods or services it transfers to the customer.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When optional goods or services are offered, we assess the options to determine whether the options grant the customer a material right. This determination includes whether the option is priced at an amount that the customer would not have received without entering into the contract. If we conclude the option conveys a material right, it is accounted for as a separate performance obligation. In identifying performance obligations in a contract, we identify those promises that are distinct. Promised goods or services are considered distinct when the customer can benefit from the goods or services on their own, or together with readily available resources, and the goods or services are separately identifiable from other promises in the contract. If a promise is not distinct, it is combined with other promises in the contract until the combined group of promises is capable of being distinct.</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estimate the transaction price based on the amount of consideration we expect to receive for transferring the promised goods or services in the contract. The consideration may include both fixed consideration and variable consideration. At the inception of each arrangement that includes variable consideration, we evaluate the amount of the potential payments and the likelihood that the payments will be received. If it is probable that a significant revenue reversal would not occur, the variable consideration is included in the transaction price. For contracts that include sales-based royalties for licensed compounds, we recognize revenue at the date when the related sales occur. Finally, we determine whether the contract contains a significant financing component by analyzing the promised consideration relative to the standalone selling price of the promised goods and services and the timing of payment relative to the transfer of the promised goods and services. At each reporting date, we reassess the transaction price and probability of achievement of the performance obligations and the associated constraints on transaction price. If necessary, we adjust the transaction price, recording a cumulative catch-up based on progress for the amount that was previously constrained.</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Revenue is recognized when (or as) control of a performance obligation is transferred to the customer. When combined performance obligations contain a promised license and related services or other promises, management judgment is required to determine the appropriate timing of revenue recognition. In doing so, we must identify the predominant promise or promises in the contract to determine whether revenue is recognized at a point in time or over time. If over time, we must determine the appropriate measure of progress. If a license is deemed to be the predominant promise in a performance obligation, we must determine the nature of the license, whether functional or symbolic intellectual property, to conclude whether point-in-time or over-time revenue recognition is most appropriate. The determination of functional or symbolic intellectual property requires an assessment of whether the customer is able to exploit and benefit from the license in its current condition, or if the utility of the license is dependent on or influenced by our ongoing activities or being associated with us.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each reporting date, we calculate the measure of progress for the performance obligations transferred over time. The calculation generally uses an input measure based on costs incurred to-date relative to estimated total costs to complete the transfer of the performance obligation. The measurement of progress is then used to calculate the total revenue earned, including any cumulative catch-up adjustment.</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Contract Costs and Accruals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97"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our clinical trials and preclinical studies;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w:t>
      </w:r>
    </w:p>
    <w:p>
      <w:pPr>
        <w:spacing w:after="0" w:line="131" w:lineRule="exact"/>
        <w:rPr>
          <w:sz w:val="20"/>
          <w:szCs w:val="20"/>
          <w:color w:val="auto"/>
        </w:rPr>
      </w:pPr>
    </w:p>
    <w:p>
      <w:pPr>
        <w:jc w:val="both"/>
        <w:ind w:firstLine="515"/>
        <w:spacing w:after="0" w:line="254" w:lineRule="auto"/>
        <w:rPr>
          <w:sz w:val="20"/>
          <w:szCs w:val="20"/>
          <w:color w:val="auto"/>
        </w:rPr>
      </w:pPr>
      <w:r>
        <w:rPr>
          <w:rFonts w:ascii="Times New Roman" w:cs="Times New Roman" w:eastAsia="Times New Roman" w:hAnsi="Times New Roman"/>
          <w:sz w:val="18"/>
          <w:szCs w:val="18"/>
          <w:color w:val="auto"/>
        </w:rPr>
        <w:t>We base the expense recorded related to external research and development on our estimates of the services received and efforts expended pursuant to quotes and contracts with multiple CMOs and CROs that supply, conduct and manage studies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9" w:name="page100"/>
    <w:bookmarkEnd w:id="99"/>
    <w:p>
      <w:pPr>
        <w:ind w:left="520"/>
        <w:spacing w:after="0"/>
        <w:rPr>
          <w:sz w:val="20"/>
          <w:szCs w:val="20"/>
          <w:color w:val="auto"/>
        </w:rPr>
      </w:pPr>
      <w:r>
        <w:rPr>
          <w:rFonts w:ascii="Times New Roman" w:cs="Times New Roman" w:eastAsia="Times New Roman" w:hAnsi="Times New Roman"/>
          <w:sz w:val="18"/>
          <w:szCs w:val="18"/>
          <w:i w:val="1"/>
          <w:iCs w:val="1"/>
          <w:color w:val="auto"/>
        </w:rPr>
        <w:t>Equity-Based Compensation Expense</w:t>
      </w:r>
    </w:p>
    <w:p>
      <w:pPr>
        <w:spacing w:after="0" w:line="11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measure equity-based awards granted to employees, directors, and nonemployees based on their fair value on the date of the grant and recognize compensation expense for those awards over the requisite service period, which is generally the vesting period of the respective award. The equity-based payments include stock options and grants of common stock, including common stock subject to vesting. The measurement date for equity awards is the date of grant, and equity-based compensation costs are recognized as expense over the requisite service period, which is the vesting period, on a straight-line basis. 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our expected dividend yield. Expected volatility is calculated based on reported volatility data for a representative group of publicly traded companies for which historical information is available. We select companies with comparable characteristics to us with historical share price information that approximates the expected term of the equity-based awards. We compute the historical volatility data using the daily closing prices for the selected companies’ shares during the equivalent period that approximates the calculated expected term of our stock options. We will continue to apply this method until a sufficient amount of historical information regarding the volatility of our stock price becomes available. The risk-free interest rate is based on the U.S. Treasury yield curve in effect at the time of grant commensurate with the expected term assumption. We use the simplified method, under which the expected term is presumed to be the midpoint between the vesting date and the end of the contractual term. We utilize this method due to lack of historical exercise data. The expected dividend yield is assumed to be zero as we have no current plans to pay any dividends on common stock.</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of money market funds and marketable securities and are invested in U.S. treasury or government obligations and corporate securities. However, because of the short-term nature of the duration of our portfolio and the low-risk profile of our investments, we believe an immediate 10% change in market interest rates would not be expected to have a material impact on the fair market value of our investments portfolio or on our financial condition or results of operations.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We contract with vendors that are located in Asia and Europe and certain invoices are denominated in foreign currencies. We are subject to fluctuations in foreign currency rates in connection with these arrangements. We do not currently hedge our foreign currency exchange rate risk. As of December 31, 2024, we had no significant liabilities denominated in foreign currencies.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third party vendors, and clinical trial costs. The global macroeconomic environment has experienced, and continues to experience, extraordinary challenges. These macroeconomic factors have contributed, and we expect will continue to contribute, to increased costs, among other concerns. We cannot predict how long these inflationary pressures will continue, or how they may change over time, but we expect to see continued impacts on the global economy, our industry and our company. If inflationary pressures continue to persist, they may continue to have an adverse impact on our consolidated financial position, results of operations and/or cash flows. As a result of the inflationary environment, however, interest rates have increased, which has resulted in higher interest income rates than were previously realized.</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U.S. government has imposed tariffs on certain foreign goods from a variety of countries and regions that it perceives as engaging in unfair trade practices. Tariffs on certain foreign origin goods continue to put pressure on input costs. If we become unable to recover a substantial portion of any increased tariff related costs from our customers, suppliers, collaborators or other third parties, the imposition of the new or increased international tariffs could materially and adversely affect our business, financial condition and results of operations. We will continue to monitor international trade policy and will make adjustments where possible to mitigate the impact on our costs.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00" w:name="page101"/>
    <w:bookmarkEnd w:id="100"/>
    <w:tbl>
      <w:tblPr>
        <w:tblLayout w:type="fixed"/>
        <w:tblInd w:w="1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6720" w:type="dxa"/>
            <w:vAlign w:val="bottom"/>
            <w:gridSpan w:val="7"/>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360" w:type="dxa"/>
            <w:vAlign w:val="bottom"/>
          </w:tcPr>
          <w:p>
            <w:pPr>
              <w:spacing w:after="0"/>
              <w:rPr>
                <w:sz w:val="20"/>
                <w:szCs w:val="20"/>
                <w:color w:val="auto"/>
              </w:rPr>
            </w:pPr>
          </w:p>
        </w:tc>
      </w:tr>
      <w:tr>
        <w:trPr>
          <w:trHeight w:val="391"/>
        </w:trPr>
        <w:tc>
          <w:tcPr>
            <w:tcW w:w="9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(Public Company Accounting Oversight Board ID: 42)</w:t>
            </w: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5"/>
              </w:rPr>
              <w:t>F-2</w:t>
            </w:r>
          </w:p>
        </w:tc>
      </w:tr>
      <w:tr>
        <w:trPr>
          <w:trHeight w:val="412"/>
        </w:trPr>
        <w:tc>
          <w:tcPr>
            <w:tcW w:w="8240" w:type="dxa"/>
            <w:vAlign w:val="bottom"/>
            <w:tcBorders>
              <w:top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1640" w:type="dxa"/>
            <w:vAlign w:val="bottom"/>
            <w:gridSpan w:val="2"/>
          </w:tcPr>
          <w:p>
            <w:pPr>
              <w:spacing w:after="0"/>
              <w:rPr>
                <w:sz w:val="24"/>
                <w:szCs w:val="24"/>
                <w:color w:val="auto"/>
              </w:rPr>
            </w:pP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878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 for the Years ended December 31, 2024, 2023 and 2022</w:t>
            </w:r>
          </w:p>
        </w:tc>
        <w:tc>
          <w:tcPr>
            <w:tcW w:w="1100" w:type="dxa"/>
            <w:vAlign w:val="bottom"/>
          </w:tcPr>
          <w:p>
            <w:pPr>
              <w:spacing w:after="0"/>
              <w:rPr>
                <w:sz w:val="24"/>
                <w:szCs w:val="24"/>
                <w:color w:val="auto"/>
              </w:rPr>
            </w:pP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5"/>
              </w:rPr>
              <w:t>F-5</w:t>
            </w:r>
          </w:p>
        </w:tc>
      </w:tr>
      <w:tr>
        <w:trPr>
          <w:trHeight w:val="412"/>
        </w:trPr>
        <w:tc>
          <w:tcPr>
            <w:tcW w:w="9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2024, 2023 and 2022</w:t>
            </w: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3160" w:type="dxa"/>
            <w:vAlign w:val="bottom"/>
            <w:tcBorders>
              <w:left w:val="single" w:sz="8" w:color="0000FF"/>
            </w:tcBorders>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988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5"/>
              </w:rPr>
              <w:t>F-7</w:t>
            </w:r>
          </w:p>
        </w:tc>
      </w:tr>
      <w:tr>
        <w:trPr>
          <w:trHeight w:val="412"/>
        </w:trPr>
        <w:tc>
          <w:tcPr>
            <w:tcW w:w="6960" w:type="dxa"/>
            <w:vAlign w:val="bottom"/>
            <w:tcBorders>
              <w:top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920" w:type="dxa"/>
            <w:vAlign w:val="bottom"/>
            <w:gridSpan w:val="4"/>
          </w:tcPr>
          <w:p>
            <w:pPr>
              <w:spacing w:after="0"/>
              <w:rPr>
                <w:sz w:val="24"/>
                <w:szCs w:val="24"/>
                <w:color w:val="auto"/>
              </w:rPr>
            </w:pP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5"/>
              </w:rPr>
              <w:t>F-9</w:t>
            </w:r>
          </w:p>
        </w:tc>
      </w:tr>
      <w:tr>
        <w:trPr>
          <w:trHeight w:val="777"/>
        </w:trPr>
        <w:tc>
          <w:tcPr>
            <w:tcW w:w="316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0" w:type="dxa"/>
            <w:vAlign w:val="bottom"/>
            <w:gridSpan w:val="5"/>
          </w:tcPr>
          <w:p>
            <w:pPr>
              <w:jc w:val="center"/>
              <w:ind w:right="3720"/>
              <w:spacing w:after="0"/>
              <w:rPr>
                <w:sz w:val="20"/>
                <w:szCs w:val="20"/>
                <w:color w:val="auto"/>
              </w:rPr>
            </w:pPr>
            <w:r>
              <w:rPr>
                <w:rFonts w:ascii="Times New Roman" w:cs="Times New Roman" w:eastAsia="Times New Roman" w:hAnsi="Times New Roman"/>
                <w:sz w:val="18"/>
                <w:szCs w:val="18"/>
                <w:color w:val="auto"/>
                <w:w w:val="95"/>
              </w:rPr>
              <w:t>F-1</w:t>
            </w:r>
          </w:p>
        </w:tc>
        <w:tc>
          <w:tcPr>
            <w:tcW w:w="1360" w:type="dxa"/>
            <w:vAlign w:val="bottom"/>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1" w:name="page102"/>
    <w:bookmarkEnd w:id="101"/>
    <w:p>
      <w:pPr>
        <w:ind w:left="2700"/>
        <w:spacing w:after="0"/>
        <w:rPr>
          <w:sz w:val="20"/>
          <w:szCs w:val="20"/>
          <w:color w:val="auto"/>
        </w:rPr>
      </w:pPr>
      <w:r>
        <w:rPr>
          <w:rFonts w:ascii="Times New Roman" w:cs="Times New Roman" w:eastAsia="Times New Roman" w:hAnsi="Times New Roman"/>
          <w:sz w:val="17"/>
          <w:szCs w:val="17"/>
          <w:b w:val="1"/>
          <w:bCs w:val="1"/>
          <w:color w:val="333333"/>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To the Stockholders and the Board of Directors of Kymera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Opinion on the Financial Statements</w:t>
      </w:r>
    </w:p>
    <w:p>
      <w:pPr>
        <w:spacing w:after="0" w:line="2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Kymera Therapeutics, Inc. (the Company) as of December 31, 2024 and 2023, the related consolidated statements of operations and comprehensive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86"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27, 2025 expressed an unqualified opinion thereon.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Basis for Opinion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6"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18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Description of</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Arrangement</w:t>
            </w:r>
          </w:p>
        </w:tc>
        <w:tc>
          <w:tcPr>
            <w:tcW w:w="0" w:type="dxa"/>
            <w:vAlign w:val="bottom"/>
          </w:tcPr>
          <w:p>
            <w:pPr>
              <w:spacing w:after="0"/>
              <w:rPr>
                <w:sz w:val="1"/>
                <w:szCs w:val="1"/>
                <w:color w:val="auto"/>
              </w:rPr>
            </w:pPr>
          </w:p>
        </w:tc>
      </w:tr>
      <w:tr>
        <w:trPr>
          <w:trHeight w:val="214"/>
        </w:trPr>
        <w:tc>
          <w:tcPr>
            <w:tcW w:w="1840" w:type="dxa"/>
            <w:vAlign w:val="bottom"/>
            <w:vMerge w:val="continue"/>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discussed in Note 5 to the consolidated financial statements, the Company recognizes revenue associated with each</w:t>
            </w:r>
          </w:p>
        </w:tc>
        <w:tc>
          <w:tcPr>
            <w:tcW w:w="0" w:type="dxa"/>
            <w:vAlign w:val="bottom"/>
          </w:tcPr>
          <w:p>
            <w:pPr>
              <w:spacing w:after="0"/>
              <w:rPr>
                <w:sz w:val="1"/>
                <w:szCs w:val="1"/>
                <w:color w:val="auto"/>
              </w:rPr>
            </w:pPr>
          </w:p>
        </w:tc>
      </w:tr>
      <w:tr>
        <w:trPr>
          <w:trHeight w:val="218"/>
        </w:trPr>
        <w:tc>
          <w:tcPr>
            <w:tcW w:w="1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 Matter</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performance obligation as the research and development services are provided using an input method, according to costs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incurred as related to the research and development activities for each individual program and the costs expected to be incurred</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the future to satisfy that individual performance obligation. The amounts received that have not yet been recognized as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 are deferred as a contract liability on the Company’s consolidated balance sheet. For the year ended December 31,</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2024, the Company has recognized $47.1 million in collaboration revenue.</w:t>
            </w:r>
          </w:p>
        </w:tc>
        <w:tc>
          <w:tcPr>
            <w:tcW w:w="0" w:type="dxa"/>
            <w:vAlign w:val="bottom"/>
          </w:tcPr>
          <w:p>
            <w:pPr>
              <w:spacing w:after="0"/>
              <w:rPr>
                <w:sz w:val="1"/>
                <w:szCs w:val="1"/>
                <w:color w:val="auto"/>
              </w:rPr>
            </w:pPr>
          </w:p>
        </w:tc>
      </w:tr>
      <w:tr>
        <w:trPr>
          <w:trHeight w:val="414"/>
        </w:trPr>
        <w:tc>
          <w:tcPr>
            <w:tcW w:w="1840" w:type="dxa"/>
            <w:vAlign w:val="bottom"/>
          </w:tcPr>
          <w:p>
            <w:pPr>
              <w:spacing w:after="0"/>
              <w:rPr>
                <w:sz w:val="24"/>
                <w:szCs w:val="24"/>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Auditing the Company's accounting for revenues from collaboration arrangement was complex and required significant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judgments primarily in evaluating estimates of the total expected costs under the input method for revenue recognized over</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time. Auditing the progress toward completion of the collaboration arrangement was especially challenging because it involves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subjective management assumptions used in estimating the remaining research and development costs necessary to satisfy the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performance obligation. The calculation of the total remaining estimated research and development cost includes forecasted</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associated with internal employee efforts, materials costs, and third-party contract costs. The recognition of revenue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pursuant to collaboration arrangements is subject to these judgments made and estimates developed by management and is</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sensitive to changes in these assumptions.</w:t>
            </w:r>
          </w:p>
        </w:tc>
        <w:tc>
          <w:tcPr>
            <w:tcW w:w="0" w:type="dxa"/>
            <w:vAlign w:val="bottom"/>
          </w:tcPr>
          <w:p>
            <w:pPr>
              <w:spacing w:after="0"/>
              <w:rPr>
                <w:sz w:val="1"/>
                <w:szCs w:val="1"/>
                <w:color w:val="auto"/>
              </w:rPr>
            </w:pPr>
          </w:p>
        </w:tc>
      </w:tr>
      <w:tr>
        <w:trPr>
          <w:trHeight w:val="398"/>
        </w:trPr>
        <w:tc>
          <w:tcPr>
            <w:tcW w:w="1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 Addressed the</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 evaluated and tested the design and operating effectiveness of internal controls over the Company’s process for developing</w:t>
            </w:r>
          </w:p>
        </w:tc>
        <w:tc>
          <w:tcPr>
            <w:tcW w:w="0" w:type="dxa"/>
            <w:vAlign w:val="bottom"/>
          </w:tcPr>
          <w:p>
            <w:pPr>
              <w:spacing w:after="0"/>
              <w:rPr>
                <w:sz w:val="1"/>
                <w:szCs w:val="1"/>
                <w:color w:val="auto"/>
              </w:rPr>
            </w:pPr>
          </w:p>
        </w:tc>
      </w:tr>
      <w:tr>
        <w:trPr>
          <w:trHeight w:val="236"/>
        </w:trPr>
        <w:tc>
          <w:tcPr>
            <w:tcW w:w="1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 in Our Audit</w:t>
            </w: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estimate, including controls to assess the completeness and accuracy of the data that supports management’s estimates.</w:t>
            </w:r>
          </w:p>
        </w:tc>
        <w:tc>
          <w:tcPr>
            <w:tcW w:w="0" w:type="dxa"/>
            <w:vAlign w:val="bottom"/>
          </w:tcPr>
          <w:p>
            <w:pPr>
              <w:spacing w:after="0"/>
              <w:rPr>
                <w:sz w:val="1"/>
                <w:szCs w:val="1"/>
                <w:color w:val="auto"/>
              </w:rPr>
            </w:pPr>
          </w:p>
        </w:tc>
      </w:tr>
      <w:tr>
        <w:trPr>
          <w:trHeight w:val="414"/>
        </w:trPr>
        <w:tc>
          <w:tcPr>
            <w:tcW w:w="1840" w:type="dxa"/>
            <w:vAlign w:val="bottom"/>
          </w:tcPr>
          <w:p>
            <w:pPr>
              <w:spacing w:after="0"/>
              <w:rPr>
                <w:sz w:val="24"/>
                <w:szCs w:val="24"/>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test the Company’s collaboration revenue, we performed audit procedures that included, among others, reading the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collaboration arrangement and testing the accuracy and completeness of the underlying data used in evaluating the estimates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and significant judgments described above. To assess the reasonableness of the Company's significant estimates and judgments,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 compared cost estimates to costs previously incurred for similar activities, evaluated the remaining estimated level of effort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required to complete the services, and inspected evidence of actual costs incurred. We also discussed the basis for key</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assumptions with the Company's research and development personnel, who oversee the completion of the collaboration</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arrangement.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6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120,256</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109,966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Marketable securities (Note 4)</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368,488</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264,915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947</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20,577</w:t>
            </w:r>
          </w:p>
        </w:tc>
        <w:tc>
          <w:tcPr>
            <w:tcW w:w="26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11,674</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6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510,268</w:t>
            </w:r>
          </w:p>
        </w:tc>
        <w:tc>
          <w:tcPr>
            <w:tcW w:w="260" w:type="dxa"/>
            <w:vAlign w:val="bottom"/>
          </w:tcPr>
          <w:p>
            <w:pPr>
              <w:spacing w:after="0"/>
              <w:rPr>
                <w:sz w:val="12"/>
                <w:szCs w:val="12"/>
                <w:color w:val="auto"/>
              </w:rPr>
            </w:pPr>
          </w:p>
        </w:tc>
        <w:tc>
          <w:tcPr>
            <w:tcW w:w="42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405,317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Marketable securities, non-current (Note 4)</w:t>
            </w: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362,159</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61,434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Property and equipment, net (Note 6)</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50,457</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Right-of-use assets, operating leases</w:t>
            </w: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47,407</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52,945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1,950</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3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5,794</w:t>
            </w:r>
          </w:p>
        </w:tc>
        <w:tc>
          <w:tcPr>
            <w:tcW w:w="26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5,811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60" w:type="dxa"/>
            <w:vAlign w:val="bottom"/>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bottom w:val="single" w:sz="8" w:color="auto"/>
            </w:tcBorders>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978,035</w:t>
            </w:r>
          </w:p>
        </w:tc>
        <w:tc>
          <w:tcPr>
            <w:tcW w:w="260" w:type="dxa"/>
            <w:vAlign w:val="bottom"/>
          </w:tcPr>
          <w:p>
            <w:pPr>
              <w:spacing w:after="0"/>
              <w:rPr>
                <w:sz w:val="12"/>
                <w:szCs w:val="12"/>
                <w:color w:val="auto"/>
              </w:rPr>
            </w:pPr>
          </w:p>
        </w:tc>
        <w:tc>
          <w:tcPr>
            <w:tcW w:w="420" w:type="dxa"/>
            <w:vAlign w:val="bottom"/>
            <w:tcBorders>
              <w:bottom w:val="single" w:sz="8" w:color="auto"/>
            </w:tcBorders>
          </w:tcPr>
          <w:p>
            <w:pPr>
              <w:jc w:val="right"/>
              <w:ind w:right="2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575,759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06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3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5,989</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expenses (Note 8)</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34,867</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33,864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13,576</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37,883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11,594</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Finance lease liabilities</w:t>
            </w: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1,518</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current liabilities</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6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67,767</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85,691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Non-current liabilities</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revenue, net of current portion</w:t>
            </w:r>
          </w:p>
        </w:tc>
        <w:tc>
          <w:tcPr>
            <w:tcW w:w="3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16,768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3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72,423</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77,028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Finance lease liabilities, net of current portion</w:t>
            </w: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2,226</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320" w:type="dxa"/>
            <w:vAlign w:val="bottom"/>
          </w:tcPr>
          <w:p>
            <w:pPr>
              <w:spacing w:after="0"/>
              <w:rPr>
                <w:sz w:val="12"/>
                <w:szCs w:val="12"/>
                <w:color w:val="auto"/>
              </w:rPr>
            </w:pPr>
          </w:p>
        </w:tc>
        <w:tc>
          <w:tcPr>
            <w:tcW w:w="13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8060" w:type="dxa"/>
            <w:vAlign w:val="bottom"/>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tcBorders>
              <w:top w:val="single" w:sz="8" w:color="auto"/>
            </w:tcBorders>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142,416</w:t>
            </w:r>
          </w:p>
        </w:tc>
        <w:tc>
          <w:tcPr>
            <w:tcW w:w="260" w:type="dxa"/>
            <w:vAlign w:val="bottom"/>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180,788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Commitments and contingencies (Note 9)</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06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Common stock, $0.0001 par value; 150,000,000 shares authorized at December 31, 2024</w:t>
            </w: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and 2023, 64,890,193 and 55,585,305 shares issued and outstanding at December 31, 2024</w:t>
            </w:r>
          </w:p>
        </w:tc>
        <w:tc>
          <w:tcPr>
            <w:tcW w:w="3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and 2023, respectively;</w:t>
            </w: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1,591,707</w:t>
            </w:r>
          </w:p>
        </w:tc>
        <w:tc>
          <w:tcPr>
            <w:tcW w:w="2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926,269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32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(754,610 )</w:t>
            </w:r>
          </w:p>
        </w:tc>
        <w:tc>
          <w:tcPr>
            <w:tcW w:w="420" w:type="dxa"/>
            <w:vAlign w:val="bottom"/>
          </w:tcPr>
          <w:p>
            <w:pPr>
              <w:spacing w:after="0"/>
              <w:rPr>
                <w:sz w:val="12"/>
                <w:szCs w:val="12"/>
                <w:color w:val="auto"/>
              </w:rPr>
            </w:pPr>
          </w:p>
        </w:tc>
        <w:tc>
          <w:tcPr>
            <w:tcW w:w="11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(530,752 )</w:t>
            </w:r>
          </w:p>
        </w:tc>
        <w:tc>
          <w:tcPr>
            <w:tcW w:w="0" w:type="dxa"/>
            <w:vAlign w:val="bottom"/>
          </w:tcPr>
          <w:p>
            <w:pPr>
              <w:spacing w:after="0"/>
              <w:rPr>
                <w:sz w:val="1"/>
                <w:szCs w:val="1"/>
                <w:color w:val="auto"/>
              </w:rPr>
            </w:pPr>
          </w:p>
        </w:tc>
      </w:tr>
      <w:tr>
        <w:trPr>
          <w:trHeight w:val="149"/>
        </w:trPr>
        <w:tc>
          <w:tcPr>
            <w:tcW w:w="80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3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(1,485 )</w:t>
            </w:r>
          </w:p>
        </w:tc>
        <w:tc>
          <w:tcPr>
            <w:tcW w:w="4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(552 )</w:t>
            </w:r>
          </w:p>
        </w:tc>
        <w:tc>
          <w:tcPr>
            <w:tcW w:w="0" w:type="dxa"/>
            <w:vAlign w:val="bottom"/>
          </w:tcPr>
          <w:p>
            <w:pPr>
              <w:spacing w:after="0"/>
              <w:rPr>
                <w:sz w:val="1"/>
                <w:szCs w:val="1"/>
                <w:color w:val="auto"/>
              </w:rPr>
            </w:pPr>
          </w:p>
        </w:tc>
      </w:tr>
      <w:tr>
        <w:trPr>
          <w:trHeight w:val="142"/>
        </w:trPr>
        <w:tc>
          <w:tcPr>
            <w:tcW w:w="8060" w:type="dxa"/>
            <w:vAlign w:val="bottom"/>
            <w:tcBorders>
              <w:top w:val="single" w:sz="8" w:color="CFF0FC"/>
            </w:tcBorders>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835,619</w:t>
            </w:r>
          </w:p>
        </w:tc>
        <w:tc>
          <w:tcPr>
            <w:tcW w:w="260" w:type="dxa"/>
            <w:vAlign w:val="bottom"/>
            <w:tcBorders>
              <w:top w:val="single" w:sz="8" w:color="CFF0FC"/>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394,971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60" w:type="dxa"/>
            <w:vAlign w:val="bottom"/>
            <w:tcBorders>
              <w:bottom w:val="single" w:sz="8" w:color="CFF0FC"/>
            </w:tcBorders>
            <w:shd w:val="clear" w:color="auto" w:fill="CFF0FC"/>
          </w:tcPr>
          <w:p>
            <w:pPr>
              <w:ind w:left="38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320" w:type="dxa"/>
            <w:vAlign w:val="bottom"/>
            <w:tcBorders>
              <w:bottom w:val="single" w:sz="8" w:color="auto"/>
            </w:tcBorders>
            <w:shd w:val="clear" w:color="auto" w:fill="CFF0FC"/>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978,035</w:t>
            </w:r>
          </w:p>
        </w:tc>
        <w:tc>
          <w:tcPr>
            <w:tcW w:w="2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ind w:right="2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575,759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-3119755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-2545080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-231140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Statement of Operations: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47,072</w:t>
            </w:r>
          </w:p>
        </w:tc>
        <w:tc>
          <w:tcPr>
            <w:tcW w:w="100" w:type="dxa"/>
            <w:vAlign w:val="bottom"/>
          </w:tcPr>
          <w:p>
            <w:pPr>
              <w:spacing w:after="0"/>
              <w:rPr>
                <w:sz w:val="18"/>
                <w:szCs w:val="18"/>
                <w:color w:val="auto"/>
              </w:rPr>
            </w:pP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240,248</w:t>
            </w:r>
          </w:p>
        </w:tc>
        <w:tc>
          <w:tcPr>
            <w:tcW w:w="100" w:type="dxa"/>
            <w:vAlign w:val="bottom"/>
          </w:tcPr>
          <w:p>
            <w:pPr>
              <w:spacing w:after="0"/>
              <w:rPr>
                <w:sz w:val="18"/>
                <w:szCs w:val="18"/>
                <w:color w:val="auto"/>
              </w:rPr>
            </w:pP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189,081</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55,041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308,707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244,122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(261,635 )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(165,530 )</w:t>
            </w:r>
          </w:p>
        </w:tc>
        <w:tc>
          <w:tcPr>
            <w:tcW w:w="3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(161,256 )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expense</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(196 )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09"/>
        </w:trPr>
        <w:tc>
          <w:tcPr>
            <w:tcW w:w="66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37,777</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18,568</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(223,858 )</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(146,962 )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(154,808 )</w:t>
            </w:r>
          </w:p>
        </w:tc>
        <w:tc>
          <w:tcPr>
            <w:tcW w:w="0" w:type="dxa"/>
            <w:vAlign w:val="bottom"/>
          </w:tcPr>
          <w:p>
            <w:pPr>
              <w:spacing w:after="0"/>
              <w:rPr>
                <w:sz w:val="1"/>
                <w:szCs w:val="1"/>
                <w:color w:val="auto"/>
              </w:rPr>
            </w:pPr>
          </w:p>
        </w:tc>
      </w:tr>
      <w:tr>
        <w:trPr>
          <w:trHeight w:val="197"/>
        </w:trPr>
        <w:tc>
          <w:tcPr>
            <w:tcW w:w="66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(4,289 )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(224,791 )</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(142,565 )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(159,097 )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4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Reconciliation of net loss to net loss attributable to common</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(223,858 )</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(146,962 )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(154,808 )</w:t>
            </w:r>
          </w:p>
        </w:tc>
        <w:tc>
          <w:tcPr>
            <w:tcW w:w="0" w:type="dxa"/>
            <w:vAlign w:val="bottom"/>
          </w:tcPr>
          <w:p>
            <w:pPr>
              <w:spacing w:after="0"/>
              <w:rPr>
                <w:sz w:val="1"/>
                <w:szCs w:val="1"/>
                <w:color w:val="auto"/>
              </w:rPr>
            </w:pPr>
          </w:p>
        </w:tc>
      </w:tr>
      <w:tr>
        <w:trPr>
          <w:trHeight w:val="249"/>
        </w:trPr>
        <w:tc>
          <w:tcPr>
            <w:tcW w:w="66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(223,858</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(146,962</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(154,808</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8"/>
        </w:trPr>
        <w:tc>
          <w:tcPr>
            <w:tcW w:w="664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4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8"/>
                <w:szCs w:val="18"/>
                <w:color w:val="auto"/>
              </w:rPr>
              <w:t>(2.52 )</w:t>
            </w: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194"/>
        </w:trPr>
        <w:tc>
          <w:tcPr>
            <w:tcW w:w="66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300" w:type="dxa"/>
            <w:vAlign w:val="bottom"/>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64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Weighted average common stocks outstanding, basic and</w:t>
            </w:r>
          </w:p>
        </w:tc>
        <w:tc>
          <w:tcPr>
            <w:tcW w:w="30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75,043,991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58,365,499</w:t>
            </w:r>
          </w:p>
        </w:tc>
        <w:tc>
          <w:tcPr>
            <w:tcW w:w="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53,933,229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64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-2451100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-2451100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-1893570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-1893570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-1602740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-1584960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-1602740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-1584960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-1302385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-1302385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-574040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-556895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-719455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-574040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-556895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-719455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5" w:name="page106"/>
    <w:bookmarkEnd w:id="10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6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900" w:type="dxa"/>
            <w:vAlign w:val="bottom"/>
          </w:tcPr>
          <w:p>
            <w:pPr>
              <w:spacing w:after="0"/>
              <w:rPr>
                <w:sz w:val="13"/>
                <w:szCs w:val="13"/>
                <w:color w:val="auto"/>
              </w:rPr>
            </w:pPr>
          </w:p>
        </w:tc>
        <w:tc>
          <w:tcPr>
            <w:tcW w:w="146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88"/>
              <w:spacing w:after="0" w:line="160" w:lineRule="exact"/>
              <w:rPr>
                <w:sz w:val="20"/>
                <w:szCs w:val="20"/>
                <w:color w:val="auto"/>
              </w:rPr>
            </w:pPr>
            <w:r>
              <w:rPr>
                <w:rFonts w:ascii="Times New Roman" w:cs="Times New Roman" w:eastAsia="Times New Roman" w:hAnsi="Times New Roman"/>
                <w:sz w:val="14"/>
                <w:szCs w:val="14"/>
                <w:b w:val="1"/>
                <w:bCs w:val="1"/>
                <w:color w:val="auto"/>
                <w:w w:val="98"/>
              </w:rPr>
              <w:t>Paid in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20" w:type="dxa"/>
            <w:vAlign w:val="bottom"/>
            <w:gridSpan w:val="4"/>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82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114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Gain/(Loss)</w:t>
            </w:r>
          </w:p>
        </w:tc>
        <w:tc>
          <w:tcPr>
            <w:tcW w:w="10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Balance at December 31, 2021</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51,536,181</w:t>
            </w:r>
          </w:p>
        </w:tc>
        <w:tc>
          <w:tcPr>
            <w:tcW w:w="640" w:type="dxa"/>
            <w:vAlign w:val="bottom"/>
            <w:gridSpan w:val="2"/>
            <w:shd w:val="clear" w:color="auto" w:fill="CFF0FC"/>
          </w:tcPr>
          <w:p>
            <w:pPr>
              <w:jc w:val="right"/>
              <w:ind w:right="3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689,275</w:t>
            </w:r>
          </w:p>
        </w:tc>
        <w:tc>
          <w:tcPr>
            <w:tcW w:w="1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(228,982 ) $</w:t>
            </w:r>
          </w:p>
        </w:tc>
        <w:tc>
          <w:tcPr>
            <w:tcW w:w="10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(660 )</w:t>
            </w: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459,638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accompanying pre-funded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2,769,228</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149,825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149,826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warrants at Private Placement, net of issuance cost of $174</w:t>
            </w: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601,594</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3,154</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3"/>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36,866</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ESPP</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95,511</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3"/>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(4,289 )</w:t>
            </w:r>
          </w:p>
        </w:tc>
        <w:tc>
          <w:tcPr>
            <w:tcW w:w="8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(4,289 )</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(154,808 )</w:t>
            </w:r>
          </w:p>
        </w:tc>
        <w:tc>
          <w:tcPr>
            <w:tcW w:w="80" w:type="dxa"/>
            <w:vAlign w:val="bottom"/>
          </w:tcPr>
          <w:p>
            <w:pPr>
              <w:spacing w:after="0"/>
              <w:rPr>
                <w:sz w:val="12"/>
                <w:szCs w:val="12"/>
                <w:color w:val="auto"/>
              </w:rPr>
            </w:pPr>
          </w:p>
        </w:tc>
        <w:tc>
          <w:tcPr>
            <w:tcW w:w="11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(154,808 )</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55,039,380</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3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878,884</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(383,790 ) $</w:t>
            </w:r>
          </w:p>
        </w:tc>
        <w:tc>
          <w:tcPr>
            <w:tcW w:w="11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(4,949 ) $</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490,151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90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color w:val="auto"/>
              </w:rPr>
              <w:t>Exercise of Stock Options</w:t>
            </w: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441,759</w:t>
            </w:r>
          </w:p>
        </w:tc>
        <w:tc>
          <w:tcPr>
            <w:tcW w:w="100" w:type="dxa"/>
            <w:vAlign w:val="bottom"/>
            <w:tcBorders>
              <w:top w:val="single" w:sz="8" w:color="CFF0FC"/>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2,860</w:t>
            </w: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2,860</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39,511</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3"/>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ESPP</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64,655</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43,118</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3"/>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43,118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gain on marketable securities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(146,962 )</w:t>
            </w:r>
          </w:p>
        </w:tc>
        <w:tc>
          <w:tcPr>
            <w:tcW w:w="80" w:type="dxa"/>
            <w:vAlign w:val="bottom"/>
            <w:shd w:val="clear" w:color="auto" w:fill="CFF0FC"/>
          </w:tcPr>
          <w:p>
            <w:pPr>
              <w:spacing w:after="0"/>
              <w:rPr>
                <w:sz w:val="12"/>
                <w:szCs w:val="12"/>
                <w:color w:val="auto"/>
              </w:rPr>
            </w:pPr>
          </w:p>
        </w:tc>
        <w:tc>
          <w:tcPr>
            <w:tcW w:w="1140" w:type="dxa"/>
            <w:vAlign w:val="bottom"/>
            <w:gridSpan w:val="3"/>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(146,962 )</w:t>
            </w:r>
          </w:p>
        </w:tc>
        <w:tc>
          <w:tcPr>
            <w:tcW w:w="0" w:type="dxa"/>
            <w:vAlign w:val="bottom"/>
          </w:tcPr>
          <w:p>
            <w:pPr>
              <w:spacing w:after="0"/>
              <w:rPr>
                <w:sz w:val="1"/>
                <w:szCs w:val="1"/>
                <w:color w:val="auto"/>
              </w:rPr>
            </w:pPr>
          </w:p>
        </w:tc>
      </w:tr>
      <w:tr>
        <w:trPr>
          <w:trHeight w:val="20"/>
        </w:trPr>
        <w:tc>
          <w:tcPr>
            <w:tcW w:w="39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55,585,305</w:t>
            </w:r>
          </w:p>
        </w:tc>
        <w:tc>
          <w:tcPr>
            <w:tcW w:w="100" w:type="dxa"/>
            <w:vAlign w:val="bottom"/>
          </w:tcPr>
          <w:p>
            <w:pPr>
              <w:spacing w:after="0"/>
              <w:rPr>
                <w:sz w:val="12"/>
                <w:szCs w:val="12"/>
                <w:color w:val="auto"/>
              </w:rPr>
            </w:pPr>
          </w:p>
        </w:tc>
        <w:tc>
          <w:tcPr>
            <w:tcW w:w="540" w:type="dxa"/>
            <w:vAlign w:val="bottom"/>
          </w:tcPr>
          <w:p>
            <w:pPr>
              <w:jc w:val="right"/>
              <w:ind w:right="3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926,269</w:t>
            </w: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(530,752 ) $</w:t>
            </w:r>
          </w:p>
        </w:tc>
        <w:tc>
          <w:tcPr>
            <w:tcW w:w="11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(552 ) $</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394,971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900" w:type="dxa"/>
            <w:vAlign w:val="bottom"/>
            <w:shd w:val="clear" w:color="auto" w:fill="CFF0FC"/>
          </w:tcPr>
          <w:p>
            <w:pPr>
              <w:spacing w:after="0" w:line="106" w:lineRule="exact"/>
              <w:rPr>
                <w:sz w:val="20"/>
                <w:szCs w:val="20"/>
                <w:color w:val="auto"/>
              </w:rPr>
            </w:pPr>
            <w:r>
              <w:rPr>
                <w:rFonts w:ascii="Times New Roman" w:cs="Times New Roman" w:eastAsia="Times New Roman" w:hAnsi="Times New Roman"/>
                <w:sz w:val="12"/>
                <w:szCs w:val="12"/>
                <w:color w:val="auto"/>
              </w:rPr>
              <w:t>Issuance of common stock and accompanying pre-funded warrants</w:t>
            </w: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from January 2024 public offering, net of issuance costs of</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3,884,158</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301,373</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301,373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$14,877</w:t>
            </w:r>
          </w:p>
        </w:tc>
        <w:tc>
          <w:tcPr>
            <w:tcW w:w="8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3"/>
            <w:vMerge w:val="continue"/>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At-The Market Sales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1,519,453</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48,740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Agreement, net of issuance costs of $1,249</w:t>
            </w: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9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accompanying pre-funded warrants</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2,830,533</w:t>
            </w: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40" w:type="dxa"/>
            <w:vAlign w:val="bottom"/>
            <w:gridSpan w:val="3"/>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9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from August 2024 public offering, net of issuance costs of $12,237</w:t>
            </w:r>
          </w:p>
        </w:tc>
        <w:tc>
          <w:tcPr>
            <w:tcW w:w="82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246,505</w:t>
            </w: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9"/>
                <w:szCs w:val="9"/>
                <w:color w:val="auto"/>
              </w:rPr>
            </w:pPr>
          </w:p>
        </w:tc>
        <w:tc>
          <w:tcPr>
            <w:tcW w:w="1140" w:type="dxa"/>
            <w:vAlign w:val="bottom"/>
            <w:gridSpan w:val="3"/>
            <w:vMerge w:val="continue"/>
            <w:shd w:val="clear" w:color="auto" w:fill="CFF0FC"/>
          </w:tcPr>
          <w:p>
            <w:pPr>
              <w:spacing w:after="0"/>
              <w:rPr>
                <w:sz w:val="9"/>
                <w:szCs w:val="9"/>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246,506</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900" w:type="dxa"/>
            <w:vAlign w:val="bottom"/>
            <w:vMerge w:val="continue"/>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18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940" w:type="dxa"/>
            <w:vAlign w:val="bottom"/>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60" w:type="dxa"/>
            <w:vAlign w:val="bottom"/>
            <w:gridSpan w:val="2"/>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9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94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799,117</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Vesting Restricted Stock</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174,463</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3"/>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under ESPP</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97,164</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55,012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3"/>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55,012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marketable securities</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(933 )</w:t>
            </w:r>
          </w:p>
        </w:tc>
        <w:tc>
          <w:tcPr>
            <w:tcW w:w="8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(933 )</w:t>
            </w: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(223,858 )</w:t>
            </w:r>
          </w:p>
        </w:tc>
        <w:tc>
          <w:tcPr>
            <w:tcW w:w="80" w:type="dxa"/>
            <w:vAlign w:val="bottom"/>
            <w:shd w:val="clear" w:color="auto" w:fill="CFF0FC"/>
          </w:tcPr>
          <w:p>
            <w:pPr>
              <w:spacing w:after="0"/>
              <w:rPr>
                <w:sz w:val="12"/>
                <w:szCs w:val="12"/>
                <w:color w:val="auto"/>
              </w:rPr>
            </w:pPr>
          </w:p>
        </w:tc>
        <w:tc>
          <w:tcPr>
            <w:tcW w:w="1140" w:type="dxa"/>
            <w:vAlign w:val="bottom"/>
            <w:gridSpan w:val="3"/>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(223,858 )</w:t>
            </w:r>
          </w:p>
        </w:tc>
        <w:tc>
          <w:tcPr>
            <w:tcW w:w="0" w:type="dxa"/>
            <w:vAlign w:val="bottom"/>
          </w:tcPr>
          <w:p>
            <w:pPr>
              <w:spacing w:after="0"/>
              <w:rPr>
                <w:sz w:val="1"/>
                <w:szCs w:val="1"/>
                <w:color w:val="auto"/>
              </w:rPr>
            </w:pPr>
          </w:p>
        </w:tc>
      </w:tr>
      <w:tr>
        <w:trPr>
          <w:trHeight w:val="20"/>
        </w:trPr>
        <w:tc>
          <w:tcPr>
            <w:tcW w:w="39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64,890,193</w:t>
            </w:r>
          </w:p>
        </w:tc>
        <w:tc>
          <w:tcPr>
            <w:tcW w:w="100" w:type="dxa"/>
            <w:vAlign w:val="bottom"/>
          </w:tcPr>
          <w:p>
            <w:pPr>
              <w:spacing w:after="0"/>
              <w:rPr>
                <w:sz w:val="12"/>
                <w:szCs w:val="12"/>
                <w:color w:val="auto"/>
              </w:rPr>
            </w:pPr>
          </w:p>
        </w:tc>
        <w:tc>
          <w:tcPr>
            <w:tcW w:w="540" w:type="dxa"/>
            <w:vAlign w:val="bottom"/>
          </w:tcPr>
          <w:p>
            <w:pPr>
              <w:jc w:val="right"/>
              <w:ind w:right="3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1,591,707</w:t>
            </w: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(754,610 ) $</w:t>
            </w:r>
          </w:p>
        </w:tc>
        <w:tc>
          <w:tcPr>
            <w:tcW w:w="11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(1,485 ) $</w:t>
            </w: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835,619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-2073910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-2056765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-2073910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-2056765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-2073910</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-2056765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-2073910</wp:posOffset>
            </wp:positionV>
            <wp:extent cx="596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-2056765</wp:posOffset>
            </wp:positionV>
            <wp:extent cx="596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-2073910</wp:posOffset>
            </wp:positionV>
            <wp:extent cx="603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-2056765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-2073910</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-2056765</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-1482090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-1482090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-1482090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-1482090</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-1482090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-1482090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-128270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3515360</wp:posOffset>
            </wp:positionH>
            <wp:positionV relativeFrom="paragraph">
              <wp:posOffset>-128270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-128270</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-128270</wp:posOffset>
            </wp:positionV>
            <wp:extent cx="59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5718175</wp:posOffset>
            </wp:positionH>
            <wp:positionV relativeFrom="paragraph">
              <wp:posOffset>-128270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-128270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840" w:top="1089" w:right="8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6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9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(223,858 )</w:t>
            </w: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(146,962 )</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(154,808 )</w:t>
            </w:r>
          </w:p>
        </w:tc>
      </w:tr>
      <w:tr>
        <w:trPr>
          <w:trHeight w:val="20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43,118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35,480</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Lease impairment charge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Premiums and discounts on available for sale marketable securities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(13,983 )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(5,229 )</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(8,903 )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(1,961 )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(992 )</w:t>
            </w:r>
          </w:p>
        </w:tc>
      </w:tr>
      <w:tr>
        <w:trPr>
          <w:trHeight w:val="203"/>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(15,000 )</w:t>
            </w:r>
          </w:p>
        </w:tc>
        <w:tc>
          <w:tcPr>
            <w:tcW w:w="3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Contract asset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(1,226 )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(2,401 )</w:t>
            </w:r>
          </w:p>
        </w:tc>
      </w:tr>
      <w:tr>
        <w:trPr>
          <w:trHeight w:val="203"/>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(307 )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(41,075 )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(8,609 )</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(37,774 )</w:t>
            </w:r>
          </w:p>
        </w:tc>
      </w:tr>
      <w:tr>
        <w:trPr>
          <w:trHeight w:val="203"/>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(1,004 )</w:t>
            </w:r>
          </w:p>
        </w:tc>
      </w:tr>
      <w:tr>
        <w:trPr>
          <w:trHeight w:val="203"/>
        </w:trPr>
        <w:tc>
          <w:tcPr>
            <w:tcW w:w="6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non-current assets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(998 )</w:t>
            </w:r>
          </w:p>
        </w:tc>
      </w:tr>
      <w:tr>
        <w:trPr>
          <w:trHeight w:val="203"/>
        </w:trPr>
        <w:tc>
          <w:tcPr>
            <w:tcW w:w="6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(310 )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(28 )</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(194,501 )</w:t>
            </w:r>
          </w:p>
        </w:tc>
        <w:tc>
          <w:tcPr>
            <w:tcW w:w="4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(102,826 )</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(153,085 )</w:t>
            </w:r>
          </w:p>
        </w:tc>
      </w:tr>
      <w:tr>
        <w:trPr>
          <w:trHeight w:val="196"/>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 net</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(12,838 )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(34,480 )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(2,836 )</w:t>
            </w: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30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(901,226 )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(189,151 )</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(445,972 )</w:t>
            </w:r>
          </w:p>
        </w:tc>
      </w:tr>
      <w:tr>
        <w:trPr>
          <w:trHeight w:val="20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509,987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363,517</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469,327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(404,077 )</w:t>
            </w: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139,886</w:t>
            </w:r>
          </w:p>
        </w:tc>
        <w:tc>
          <w:tcPr>
            <w:tcW w:w="26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20,519</w:t>
            </w:r>
          </w:p>
        </w:tc>
        <w:tc>
          <w:tcPr>
            <w:tcW w:w="120" w:type="dxa"/>
            <w:vAlign w:val="bottom"/>
          </w:tcPr>
          <w:p>
            <w:pPr>
              <w:spacing w:after="0"/>
              <w:rPr>
                <w:sz w:val="17"/>
                <w:szCs w:val="17"/>
                <w:color w:val="auto"/>
              </w:rPr>
            </w:pPr>
          </w:p>
        </w:tc>
      </w:tr>
      <w:tr>
        <w:trPr>
          <w:trHeight w:val="19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8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and accompanying pre-funded warrants from January 2024 public</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offering, net of issuance costs of $14.9 million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through At-The Market Sales Agreement, net of</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costs of $1.2 million</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48,740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and accompanying pre-funded warrants from August 2024 public</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offering, net of issuance costs of $12.2 million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2022 issuance of common stock and accompanying pre-funded warrants from</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private placement, net of issuance costs of $0.2 million</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149,825</w:t>
            </w:r>
          </w:p>
        </w:tc>
        <w:tc>
          <w:tcPr>
            <w:tcW w:w="120" w:type="dxa"/>
            <w:vAlign w:val="bottom"/>
            <w:shd w:val="clear" w:color="auto" w:fill="CFF0FC"/>
          </w:tcPr>
          <w:p>
            <w:pPr>
              <w:spacing w:after="0"/>
              <w:rPr>
                <w:sz w:val="18"/>
                <w:szCs w:val="18"/>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1,408</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financing leases</w:t>
            </w:r>
          </w:p>
        </w:tc>
        <w:tc>
          <w:tcPr>
            <w:tcW w:w="30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(1,576 )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(76 )</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(1,130 )</w:t>
            </w:r>
          </w:p>
        </w:tc>
      </w:tr>
      <w:tr>
        <w:trPr>
          <w:trHeight w:val="196"/>
        </w:trPr>
        <w:tc>
          <w:tcPr>
            <w:tcW w:w="66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608,851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4,192</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152,999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20,433</w:t>
            </w:r>
          </w:p>
        </w:tc>
        <w:tc>
          <w:tcPr>
            <w:tcW w:w="120" w:type="dxa"/>
            <w:vAlign w:val="bottom"/>
          </w:tcPr>
          <w:p>
            <w:pPr>
              <w:spacing w:after="0"/>
              <w:rPr>
                <w:sz w:val="17"/>
                <w:szCs w:val="17"/>
                <w:color w:val="auto"/>
              </w:rPr>
            </w:pPr>
          </w:p>
        </w:tc>
      </w:tr>
      <w:tr>
        <w:trPr>
          <w:trHeight w:val="203"/>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115,777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74,525</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54,092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126,050</w:t>
            </w:r>
          </w:p>
        </w:tc>
        <w:tc>
          <w:tcPr>
            <w:tcW w:w="100" w:type="dxa"/>
            <w:vAlign w:val="bottom"/>
          </w:tcPr>
          <w:p>
            <w:pPr>
              <w:spacing w:after="0"/>
              <w:rPr>
                <w:sz w:val="17"/>
                <w:szCs w:val="17"/>
                <w:color w:val="auto"/>
              </w:rPr>
            </w:pP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115,777</w:t>
            </w:r>
          </w:p>
        </w:tc>
        <w:tc>
          <w:tcPr>
            <w:tcW w:w="26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74,525</w:t>
            </w:r>
          </w:p>
        </w:tc>
        <w:tc>
          <w:tcPr>
            <w:tcW w:w="120" w:type="dxa"/>
            <w:vAlign w:val="bottom"/>
          </w:tcPr>
          <w:p>
            <w:pPr>
              <w:spacing w:after="0"/>
              <w:rPr>
                <w:sz w:val="17"/>
                <w:szCs w:val="17"/>
                <w:color w:val="auto"/>
              </w:rPr>
            </w:pPr>
          </w:p>
        </w:tc>
      </w:tr>
      <w:tr>
        <w:trPr>
          <w:trHeight w:val="19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activities</w:t>
            </w: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48,833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through finance and lease liabilities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120" w:type="dxa"/>
            <w:vAlign w:val="bottom"/>
            <w:shd w:val="clear" w:color="auto" w:fill="CFF0FC"/>
          </w:tcPr>
          <w:p>
            <w:pPr>
              <w:spacing w:after="0"/>
              <w:rPr>
                <w:sz w:val="17"/>
                <w:szCs w:val="17"/>
                <w:color w:val="auto"/>
              </w:rPr>
            </w:pPr>
          </w:p>
        </w:tc>
      </w:tr>
      <w:tr>
        <w:trPr>
          <w:trHeight w:val="18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 and</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4,016</w:t>
            </w:r>
          </w:p>
        </w:tc>
        <w:tc>
          <w:tcPr>
            <w:tcW w:w="26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-3655695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-3655695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-3655695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-3133090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-3133090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-3133090</wp:posOffset>
            </wp:positionV>
            <wp:extent cx="774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5033010</wp:posOffset>
            </wp:positionH>
            <wp:positionV relativeFrom="paragraph">
              <wp:posOffset>-1456690</wp:posOffset>
            </wp:positionV>
            <wp:extent cx="93980" cy="1708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-1456690</wp:posOffset>
            </wp:positionV>
            <wp:extent cx="93980" cy="1708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-1456690</wp:posOffset>
            </wp:positionV>
            <wp:extent cx="102870" cy="1708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-1041400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-1041400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-1041400</wp:posOffset>
            </wp:positionV>
            <wp:extent cx="774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7" w:name="page108"/>
    <w:bookmarkEnd w:id="107"/>
    <w:p>
      <w:pPr>
        <w:ind w:left="520"/>
        <w:spacing w:after="0"/>
        <w:rPr>
          <w:sz w:val="20"/>
          <w:szCs w:val="20"/>
          <w:color w:val="auto"/>
        </w:rPr>
      </w:pPr>
      <w:r>
        <w:rPr>
          <w:rFonts w:ascii="Times New Roman" w:cs="Times New Roman" w:eastAsia="Times New Roman" w:hAnsi="Times New Roman"/>
          <w:sz w:val="17"/>
          <w:szCs w:val="17"/>
          <w:color w:val="auto"/>
        </w:rPr>
        <w:t>The following table provides a reconciliation of the cash, cash equivalents, and restricted cash balances as of each of the periods shown above:</w:t>
      </w:r>
    </w:p>
    <w:p>
      <w:pPr>
        <w:sectPr>
          <w:pgSz w:w="11900" w:h="16838" w:orient="portrait"/>
          <w:cols w:equalWidth="0" w:num="1">
            <w:col w:w="11240"/>
          </w:cols>
          <w:pgMar w:left="320" w:top="1201" w:right="339" w:bottom="1440" w:gutter="0" w:footer="0" w:header="0"/>
        </w:sectPr>
      </w:pP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120,256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109,966</w:t>
            </w:r>
          </w:p>
        </w:tc>
        <w:tc>
          <w:tcPr>
            <w:tcW w:w="4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68,395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126,050</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115,777</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74,525</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521"/>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F-8</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-864870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-847725</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-864870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-847725</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-864870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-847725</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KYMERA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Summary of Significant Accounting Policies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Kymera Therapeutics, Inc., together with its subsidiary Kymera Securities Corporation, is referred to on a consolidated basis as the “Company”. The Company is a biopharmaceutical company focused on discovering and developing small molecule therapeutics that selectively degrade disease-causing proteins by harnessing the body’s own natural cellular process, a method known as targeted protein degradation. The Company has devoted its efforts principally to research and development since formation. The Company has not yet completed product development, filed for or obtained regulatory approvals for any products, nor verified the market acceptance and demand for such products. As a result, the Company is subject to a number of risks common to emerging companies in the biotech industry. Principal among these risks are the uncertainties of the product discovery and development process, dependence on key individuals, development of the same or similar technological innovations by the Company’s competitors, protection of proprietary technology, compliance with government regulations and approval requirements, the Company’s ability to access capital and uncertainty of market acceptance of products.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historical net losses and anticipates that it will continue to incur losses for the foreseeable future and had an accumulated deficit of $754.6 million as of December 31, 2024. The Company has funded these losses principally through the issuance and sale of its convertible preferred stock to outside investors and collaborators in private equity financings, its initial public offering, or IPO, follow-on offerings, Private Investment in Public Equity, or PIPE offering and at-the market sales program as well as from cash proceeds received in connection with the Company’s corporate collaboration agreements (see Note 5). The Company expects to continue to incur operating losses and negative operating cash flows until such time as it generates a level of revenue that is sufficient to support its cost structure.</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cash, cash equivalents and marketable securities of $850.9 million. The Company believes these cash, cash equivalents and marketable securities will be sufficient to fund its operations and capital expenditure requirements through at least twelve months from the issuance of these consolidated financial statements.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expects to finance the future research and development costs of its product portfolio with its existing cash, cash equivalents and marketable securities, or through strategic financing opportunities that could include, but are not limited to future offerings of its equity, collaboration agreements, or the incurrence of debt. However, there is no guarantee that any of these strategic or financing opportunities will be executed or realized on favorable terms, if at all, and some could be dilutive to existing stockholders. If the Company fails to obtain additional future capital, it may be unable to complete its planned preclinical studies and clinical trials.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Private Investment in Public Equity “PIPE” offering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August 18, 2022, the Company and certain accredited investors entered into a securities purchase agreement pursuant to which the Company agreed to sell and issue to such investors in a private placement (i) an aggregate of 2,769,228 shares of the Company’s common stock at a purchase price of $26.00 per share, and (ii) 3,000,000 pre-funded warrants to purchase common stock, at a purchase price of $25.9999 per Pre-Funded Warrant. The Pre-Funded Warrants have an exercise price of $0.0001 per share of common stock. The offering closed on August 22, 2022, resulting in net proceeds of $149.8 million after offering expenses.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2024 Follow-on Public Offerings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9, 2024, the Company completed a follow-on offering of its common stock and, in lieu of common stock to certain investors, pre-funded warrants to purchase shares of its common stock. The Company issued and sold 3,884,158 shares of common stock, including full exercise of the underwriters’ over-allotment option to purchase an additional 1,633,663 shares, at a public offering price of $25.25 per share. Additionally, in lieu of common stock to certain investors, the Company issued and sold pre-funded warrants to purchase 8,640,594 shares of its common stock at a public offering price of $25.2499 per pre-funded warrant, which represents the per share public offering price of each share of common stock less the $0.0001 per share exercise price for each pre-funded warrant. The aggregate gross proceeds before deducting underwriting discounts and commissions, and other estimated offering expenses payable by the Company were approximately $316.2 million.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9" w:name="page110"/>
    <w:bookmarkEnd w:id="109"/>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August 21, 2024, the Company completed a follow-on offering of its common stock and, in lieu of common stock to certain investors, pre-funded warrants to purchase shares of its common stock. The Company issued and sold 2,830,533 shares of common stock, including full exercise of the underwriters’ over-allotment option to purchase an additional 828,220 shares, at a public offering price of $40.75 per share. Additionally, in lieu of common stock to certain investors, the Company issued and sold pre-funded warrants to purchase 3,519,159 shares of its common stock at a public offering price of $40.7499 per pre-funded warrant, which represents the per share public offering price of each share of common stock less the $0.0001 per share exercise price for each pre-funded warrant. The aggregate gross proceeds before deducting underwriting discounts and commissions, and other estimated offering expenses payable by the Company were approximately $258.7 million.</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certain offerings mentioned above the Company has issued pre-funded warrants to purchase common stock in lieu of common stock. 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sheets. The pre-funded warrants are exercisable at any time. The holders of Pre-Funded Warrants may not exercise the warrant if the holder, together with its affiliates, would beneficially own more than 4.99% (or, at the election of the holder, 9.99%) of the number of shares of the Common Stock outstanding immediately after giving effect to such exercise. The holders of Pre-Funded Warrants may increase or decrease such percentages not in excess of 19.99% by providing at least 61 days’ prior notice to the Company. During the twelve months ended December 31, 2024, no pre-funded warrants were exercised. As of December 31, 2024, there were 15,159,753 pre-funded warrants outstanding.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application of certain significant accounting policies as described in this note, and elsewhere in the accompanying consolidated financial statements and notes.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Kymera Securities Corporation. All intercompany transactions and balances have been eliminated in consolidation.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or GAAP. Any reference in these notes to applicable guidance is meant to refer to the authoritative United States generally accepted accounting principles as found in the Accounting Standards Codification, or ASC and Accounting Standards Update, or ASU, of the Financial Accounting Standards Board, or FASB.</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judgments that affect the reported amounts of assets and liabilities and disclosure of contingencies at the date of the financial statements and the reported amounts of expenses during the reporting period. Management’s estimates and judgments are derived and continually evaluated based on available information, historical experience and various other assumptions that are believed to be reasonable under the circumstances. Because the use of estimates is inherent in the financial reporting process, actual results could differ from those estimates. In recording transactions and balances resulting from business operations, management makes estimates based on the best information available at the time the estimate is made. Significant estimates relied upon in preparing these financial statements include revenue recognized under our collaboration agreements, accrual for research and development expenses, and equity-based compensation expense. As better information becomes available or actual amounts are determinable, the recorded estimates are revised. Consequently, operating results can be affected by revisions to prior estimates.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0" w:name="page111"/>
    <w:bookmarkEnd w:id="11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about which separate discrete information is available for evaluation by the chief operating decision maker, or CODM, in deciding how to allocate resources and in assessing performance. The CODM is the Company's Chief Executive Officer. The Company views its operations as and manages its business in one operating segment, which is the business of development of innovative, highly differentiated medicines that address significant health problems and that meaningfully improve patients’ lives. Segment information is further described in Note 14 to the consolidated financial statements included in this Annual Report on Form 10-K.</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equivalents are highly liquid investments that are readily convertible into cash with original maturities of three months or less when purchased. These assets include investments in money market funds, U.S Treasury securities, U.S Government Agency securities, and corporate securities including commercial paper. The Company maintains its bank accounts at major financial institutions.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Restricted cash represents the cash held to secure letters of credit associated with the Company’s facility leases.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classifies marketable securities with a remaining maturity of greater than three months when purchased as available-for-sale. The Company classifies investments available to fund current operations as current assets on its balance sheets. Marketable securities with a remaining maturity date greater than one year are classified as non-current. Available-for-sale securities are maintained by investment managers and consist of U.S. Treasury securities, U.S Government Agency securities, and corporate bonds. Available-for-sale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(expense) income, net.</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w:t>
      </w:r>
    </w:p>
    <w:p>
      <w:pPr>
        <w:spacing w:after="0" w:line="225"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quoted prices), such as quoted prices in active markets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for identical or similar asset, or other inputs that are observable or can be corroborated by observable market data.</w:t>
      </w:r>
    </w:p>
    <w:p>
      <w:pPr>
        <w:spacing w:after="0" w:line="15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determining the fair value of the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pricing models, discounted cash flow methodologies and similar techniques.</w:t>
      </w:r>
    </w:p>
    <w:p>
      <w:pPr>
        <w:spacing w:after="0" w:line="16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carrying values of the Company’s cash equivalents, prepaid expenses, accounts payable, and certain accruals approximate their fair value due to their short-term nature.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586"/>
        <w:spacing w:after="0" w:line="253"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Leases that are economically similar to the purchase of assets are generally classified as finance leases; otherwise the leases are classified as operating leases. The Company has elected not to recognize leases with an original term of one year or less on the balance sheet. Options to renew a lease are not included in the Company’s assessment unless there is reasonable certainty that the Company will renew. Leases with a term greater than one year are recognized on the balance sheet as right-of-use assets, lease liabilities and, if applicable, long-term lease liabilities. Lease liabilities and their corresponding right-of-use assets are recorded based on the present value of lease payments over the expected remaining lease term. However, certain adjustments to the right-of-use asset may be required for items such as incentives received. The Company has elected as an accounting policy to combine lease and non- lease components, such as common area maintenance, for all classes of underlying assets. The interest rate implicit in lease contracts has not historically been readily determinable. As a result, the Company utilizes its incremental borrowing rates, which are the rates incurred to borrow on a collateralized basis over a similar term an amount equal to the lease payments in a similar economic environment. To estimate its incremental borrowing rate, a credit rating applicable to the Company is estimated using synthetic credit rating analysis since the Company does not currently have a rating agency-based credit rating.</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Major additions and betterments are capitalized; maintenance and repairs, which do not improve or extend the life of the respective assets, are charged to operations as incurred. Depreciation expense is recorded using the straight-line method over the estimated useful life of the related asset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73"/>
        </w:trPr>
        <w:tc>
          <w:tcPr>
            <w:tcW w:w="8560" w:type="dxa"/>
            <w:vAlign w:val="bottom"/>
          </w:tcPr>
          <w:p>
            <w:pPr>
              <w:spacing w:after="0"/>
              <w:rPr>
                <w:sz w:val="15"/>
                <w:szCs w:val="15"/>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10"/>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2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2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198"/>
        </w:trPr>
        <w:tc>
          <w:tcPr>
            <w:tcW w:w="85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268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Shorter of life of lease or remaining</w:t>
            </w:r>
          </w:p>
        </w:tc>
      </w:tr>
      <w:tr>
        <w:trPr>
          <w:trHeight w:val="234"/>
        </w:trPr>
        <w:tc>
          <w:tcPr>
            <w:tcW w:w="8560" w:type="dxa"/>
            <w:vAlign w:val="bottom"/>
            <w:shd w:val="clear" w:color="auto" w:fill="CFF0FC"/>
          </w:tcPr>
          <w:p>
            <w:pPr>
              <w:spacing w:after="0"/>
              <w:rPr>
                <w:sz w:val="20"/>
                <w:szCs w:val="20"/>
                <w:color w:val="auto"/>
              </w:rPr>
            </w:pPr>
          </w:p>
        </w:tc>
        <w:tc>
          <w:tcPr>
            <w:tcW w:w="2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lease term</w:t>
            </w:r>
          </w:p>
        </w:tc>
      </w:tr>
    </w:tbl>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Upon retirement or sale, the cost and related accumulated depreciation of assets disposed of are removed from the accounts and any resulting gain or loss is included in loss from operations.</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Construction-in-progress is stated at cost, which includes direct costs attributable to the setup or construction of the related asset. Depreciation expense is not recorded on construction-in-progress until the relevant assets are completed and put into use.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Long-lived assets (including right-of-use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During the year ended December 31, 2024, the Company recorded an impairment loss of $4.9 million related to its move into its new corporate headquarters and its subsequent effort to sublease the previous space. The Company did not record any impairment losses on long-lived assets during the years ended December 31, 2023 and 2022.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determines the accounting classification of warrants that are issued, as either liability or equity, by first assessing whether the warrants meet liability classification in accordance with ASC 480-10, </w:t>
      </w:r>
      <w:r>
        <w:rPr>
          <w:rFonts w:ascii="Times New Roman" w:cs="Times New Roman" w:eastAsia="Times New Roman" w:hAnsi="Times New Roman"/>
          <w:sz w:val="18"/>
          <w:szCs w:val="18"/>
          <w:i w:val="1"/>
          <w:iCs w:val="1"/>
          <w:color w:val="auto"/>
        </w:rPr>
        <w:t>Accounting for Certain Financial Instruments with Characteristics of Both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Equity</w:t>
      </w:r>
      <w:r>
        <w:rPr>
          <w:rFonts w:ascii="Times New Roman" w:cs="Times New Roman" w:eastAsia="Times New Roman" w:hAnsi="Times New Roman"/>
          <w:sz w:val="18"/>
          <w:szCs w:val="18"/>
          <w:color w:val="auto"/>
        </w:rPr>
        <w:t>, and then in accordance with ASC 815-40,</w:t>
      </w:r>
      <w:r>
        <w:rPr>
          <w:rFonts w:ascii="Times New Roman" w:cs="Times New Roman" w:eastAsia="Times New Roman" w:hAnsi="Times New Roman"/>
          <w:sz w:val="18"/>
          <w:szCs w:val="18"/>
          <w:i w:val="1"/>
          <w:iCs w:val="1"/>
          <w:color w:val="auto"/>
        </w:rPr>
        <w:t xml:space="preserve"> Accounting for Derivative Financial Instruments Indexed to, and Potentially Settled in, a Company’s Own Stock</w:t>
      </w:r>
      <w:r>
        <w:rPr>
          <w:rFonts w:ascii="Times New Roman" w:cs="Times New Roman" w:eastAsia="Times New Roman" w:hAnsi="Times New Roman"/>
          <w:sz w:val="18"/>
          <w:szCs w:val="18"/>
          <w:color w:val="auto"/>
        </w:rPr>
        <w:t>. Under ASC 480-10, warrants are considered liability classified if the warrants are mandatorily redeemable, obligate the issuer to settle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or the underlying shares by paying cash or other assets, or must or may require settlement by issuing variable number of shares.</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U.S.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operations as a gain or loss. Equity classified warrants are accounted for at fair value on the issuance date with no changes in fair value recognized after the issuance date.</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consist primarily of costs incurred in connection with the discovery and development of targeted protein degradation therapeutics, including those in the Company’s most advanced clinical stage programs. These research efforts and costs, include external research costs, personnel costs, supplies, license fees and facility related expenses. The Company expenses research and development costs as incurred.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recoverability of the expenditure. Amounts incurred are classified as general and administrative expenses.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Costs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Costs incurred in connection with the issuance of equity units and shares are recorded as a reduction of proceeds to the equity carrying value. The Company capitalizes certain legal, professional accounting and other third-party fees that are directly associated with in-process financings as deferred offering costs until such financings are consummated. After consummation of the financing, these costs are recorded as a reduction of the proceeds received from the financing. If a planned financing is abandoned, the deferred offering costs are expensed immediately as a charge to operating expenses in the consolidated statement of operations and comprehensive loss. There was no deferred offering costs on the Company’s consolidated balance sheet at December 31, 2024 and December 31, 2023.</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3" w:name="page114"/>
    <w:bookmarkEnd w:id="11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Under ASC 606, Topic 606, </w:t>
      </w:r>
      <w:r>
        <w:rPr>
          <w:rFonts w:ascii="Times New Roman" w:cs="Times New Roman" w:eastAsia="Times New Roman" w:hAnsi="Times New Roman"/>
          <w:sz w:val="18"/>
          <w:szCs w:val="18"/>
          <w:i w:val="1"/>
          <w:iCs w:val="1"/>
          <w:color w:val="auto"/>
        </w:rPr>
        <w:t>Revenue from Contracts with Customers, or ASC 606</w:t>
      </w:r>
      <w:r>
        <w:rPr>
          <w:rFonts w:ascii="Times New Roman" w:cs="Times New Roman" w:eastAsia="Times New Roman" w:hAnsi="Times New Roman"/>
          <w:sz w:val="18"/>
          <w:szCs w:val="18"/>
          <w:color w:val="auto"/>
        </w:rPr>
        <w:t>, the Company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the Company performs the following five steps: (i) identification of the contract(s) with the customer; (ii) 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part of the accounting for these arrangements, the Company must use significant judgment to determine: a) the number of performance obligations based on the determination under step (ii) above and whether those performance obligations are distinct from other performance obligations in the contract;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 In determining the stand-alone selling price of a license to the Company’s proprietary technology or a material right provided by a customer option, the Company considers market conditions as well as entity-specific factors, including those factors contemplated in negotiating the agreements as well as internally developed estimates that include assumptions related to the market opportunity, estimated development costs, probability of success and the time needed to commercialize a product candidate pursuant to the license. In validating its estimated stand-alone selling prices, the Company evaluates whether changes in the key assumptions used to determine its estimated stand-alone selling prices will have a significant effect on the allocation of arrangement consideration between performance obligations.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estimates the transaction price based on the amount of consideration the Company expects to be received for transferring the promised goods or services in the contract. The consideration may include both fixed consideration and variable consideration. At the inception of each arrangement that includes variable consideration, the Company evaluates the amount of the potential payments and the likelihood that the payments will be received. The Company utilizes either the most likely amount method or expected value method to estimate the transaction price based on which method better predicts the amount of consideration expected to be received. If it is probable that a significant revenue reversal would not occur, the variable consideration is included in the transaction price.</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Performance obligations are promised goods or services in a contract to transfer a distinct good or service to the customer.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their own and whether the required expertise is readily available.</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performance obligations which consist of licenses and other promises, the Company utilizes judgment to assess the nature of the combined performance obligation in order to determine whether the combined performance obligation is satisfied over time or at a point in time. The Company receives payments from customers based on billing schedules established in each contract. Up-front payments and fees are recorded as deferred revenue upon receipt or when due until the Company performs its obligations under these arrangements.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 Amounts are recorded as accounts receivable when the Company’s right to consideration is unconditional. Amounts recognized as revenue, but not yet received or invoiced are generally recognized as contract assets.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jc w:val="both"/>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Exclusive Licenses</w:t>
      </w:r>
      <w:r>
        <w:rPr>
          <w:rFonts w:ascii="Times New Roman" w:cs="Times New Roman" w:eastAsia="Times New Roman" w:hAnsi="Times New Roman"/>
          <w:sz w:val="18"/>
          <w:szCs w:val="18"/>
          <w:color w:val="auto"/>
        </w:rPr>
        <w:t>—If the license granted in the arrangement is determined to be distinct from the other promises or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 whether the value of the license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based on estimated remaining research and development costs. The calculation of the total remaining estimated research and development costs includes forecasted costs associated with internal employee efforts, materials costs, and third-party contract costs, as well as the assumed timing and duration of these activities. The recognition of revenue pursuant to collaboration arrangements is subject to these judgments made and estimates developed by management and is sensitive to changes in these assumptions. Therefore, the measure of progress, and thereby periods over which revenue should be recognized, are subject to estimates by management and may change over the course of the arrangement.</w:t>
      </w:r>
    </w:p>
    <w:p>
      <w:pPr>
        <w:spacing w:after="0" w:line="19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Research and Development Services</w:t>
      </w:r>
      <w:r>
        <w:rPr>
          <w:rFonts w:ascii="Times New Roman" w:cs="Times New Roman" w:eastAsia="Times New Roman" w:hAnsi="Times New Roman"/>
          <w:sz w:val="18"/>
          <w:szCs w:val="18"/>
          <w:color w:val="auto"/>
        </w:rPr>
        <w:t>—The promises under the Company’s collaboration and license agreements generally include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services to be performed by the Company on behalf of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as described under Exclusive Licenses above. Reimbursements from the partner that are the result of a collaborative relationship with the partner, instead of a customer relationship, such as co-development activities, are generally recorded as a reduction to research and development expense.</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Customer Options</w:t>
      </w:r>
      <w:r>
        <w:rPr>
          <w:rFonts w:ascii="Times New Roman" w:cs="Times New Roman" w:eastAsia="Times New Roman" w:hAnsi="Times New Roman"/>
          <w:sz w:val="18"/>
          <w:szCs w:val="18"/>
          <w:color w:val="auto"/>
        </w:rPr>
        <w:t>—The Company’s arrangements may provide a collaborator with the right to certain optional purchases, such as the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a target either at the inception of the arrangement or within a pre-defined option period. Under these agreements, fees may be due to the Company at the inception of the arrangement as an upfront fee or payment or upon the exercise of an option to acquire a license. 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8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—At the inception of each arrangement that includes milestone payments based on certain events, the Company evaluates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15" w:name="page116"/>
    <w:bookmarkEnd w:id="115"/>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Royalties</w:t>
      </w:r>
      <w:r>
        <w:rPr>
          <w:rFonts w:ascii="Times New Roman" w:cs="Times New Roman" w:eastAsia="Times New Roman" w:hAnsi="Times New Roman"/>
          <w:sz w:val="18"/>
          <w:szCs w:val="18"/>
          <w:color w:val="auto"/>
        </w:rPr>
        <w:t>—For arrangements that include sales-based royalties, including milestone payments based on a level of sales, and the license is deemed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Collaboration revenue—</w:t>
      </w:r>
      <w:r>
        <w:rPr>
          <w:rFonts w:ascii="Times New Roman" w:cs="Times New Roman" w:eastAsia="Times New Roman" w:hAnsi="Times New Roman"/>
          <w:sz w:val="18"/>
          <w:szCs w:val="18"/>
          <w:color w:val="auto"/>
        </w:rPr>
        <w:t>The Company analyzes its collaboration arrangements to assess whether they are within the scope of ASC 808,</w:t>
      </w:r>
      <w:r>
        <w:rPr>
          <w:rFonts w:ascii="Times New Roman" w:cs="Times New Roman" w:eastAsia="Times New Roman" w:hAnsi="Times New Roman"/>
          <w:sz w:val="18"/>
          <w:szCs w:val="18"/>
          <w:i w:val="1"/>
          <w:iCs w:val="1"/>
          <w:color w:val="auto"/>
        </w:rPr>
        <w:t xml:space="preserve"> Collaborative Arrangements, or </w:t>
      </w:r>
      <w:r>
        <w:rPr>
          <w:rFonts w:ascii="Times New Roman" w:cs="Times New Roman" w:eastAsia="Times New Roman" w:hAnsi="Times New Roman"/>
          <w:sz w:val="18"/>
          <w:szCs w:val="18"/>
          <w:color w:val="auto"/>
        </w:rPr>
        <w:t>ASC 808, to determine whether such arrangements involve joint operating activities performed by parties that are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within the scope of Topic 606. For elements of collaboration arrangements that are accounted for pursuant to ASC 808, an appropriate recognition method is determined and applied consistently, generally by analogy to Topic 606. For those elements of the arrangement that are accounted for pursuant to Topic 606, the Company applies the five-step model described above.</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Costs associated with License and Collaborative Arrangements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Costs associated with licenses of technology acquired as part of collaborative arrangements are expensed as incurred and are generally included in research and development expense in the consolidated statements of operations.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extends credit to customers based on its evaluation of the customer’s financial condition. The Company records receivables for all billings when amounts are due under standard terms. Accounts receivable are stated at amounts due net of applicable prompt pay discounts and other contractual adjustments as well as an allowance for doubtful accounts. The Company assesses the need for an allowance for doubtful accounts by considering a number of factors, including the length of time trade accounts receivable are past due, the customer’s ability to pay its obligation and the condition of the general economy and the industry as a whole. The Company will write off accounts receivable when the Company determines that they are uncollectible. In general, the Company has experienced no significant collection issues with its customers</w:t>
      </w:r>
      <w:r>
        <w:rPr>
          <w:rFonts w:ascii="Arial" w:cs="Arial" w:eastAsia="Arial" w:hAnsi="Arial"/>
          <w:sz w:val="16"/>
          <w:szCs w:val="16"/>
          <w:color w:val="auto"/>
        </w:rPr>
        <w:t>.</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all stock-based awards granted to employees, directors, and nonemployees based on their fair value on the date of the grant and recognizes compensation expense for those awards over the requisite service period, which is generally the vesting period of the respective award. Stock-based payments include stock options and grants of common stock, including common stock subject to vesting. The measurement date for stock awards is the date of grant, and stock-based compensation costs are recognized as expense over the requisite service period, which is the vesting period, on a straight-line basis. The Company has issued stock options and restricted stock with performance-based vesting conditions and records the expense for these awards if the Company concludes that it is probable that the performance condition will be achieved. Stock-based compensation is classified in the accompanying consolidated statements of operations and comprehensive loss based on the function to which the related services are provided. The Company recognizes stock-based compensation expense for the portion of awards that have vested. Forfeitures are accounted for as they occur.</w:t>
      </w:r>
    </w:p>
    <w:p>
      <w:pPr>
        <w:spacing w:after="0" w:line="29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options-pricing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The fair value of the underlying common shares equals the closing price of the Company’s stock on the date of grant. As the Company’s IPO was in 2020, the Company lacks a sufficient period of company-specific historical and implied volatility information. Therefore, it estimates its expected stock volatility based on the historical volatility of a publicly traded set of guideline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16" w:name="page117"/>
    <w:bookmarkEnd w:id="1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expect to pay any cash dividends in the foreseeable future. The fair value of each restricted common stock award is estimated on the date of grant based on the fair value of the Company’s common stock on that same date.</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Compensation expense for discounted purchases under the employee stock purchase plan is measured using the Black-Scholes model to compute the fair value of the lookback provision plus the purchase discount and is recognized as compensation expense over the offering period.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records income taxes in accordance with FASB Accounting Standards Codification Topic 740, </w:t>
      </w:r>
      <w:r>
        <w:rPr>
          <w:rFonts w:ascii="Times New Roman" w:cs="Times New Roman" w:eastAsia="Times New Roman" w:hAnsi="Times New Roman"/>
          <w:sz w:val="18"/>
          <w:szCs w:val="18"/>
          <w:i w:val="1"/>
          <w:iCs w:val="1"/>
          <w:color w:val="auto"/>
        </w:rPr>
        <w:t>Income Taxes, or</w:t>
      </w:r>
      <w:r>
        <w:rPr>
          <w:rFonts w:ascii="Times New Roman" w:cs="Times New Roman" w:eastAsia="Times New Roman" w:hAnsi="Times New Roman"/>
          <w:sz w:val="18"/>
          <w:szCs w:val="18"/>
          <w:color w:val="auto"/>
        </w:rPr>
        <w:t xml:space="preserve"> ASC 740, which provides for deferred taxes using an asset and liability approach. Under this method, deferred income tax assets and liabilities are recognized based on future income tax consequences attributable to differences between the financial statement carrying amount of existing assets and liabilities, and their respective income tax basis. Deferred income tax assets and liabilities are measured using enacted income tax rates expected to apply to taxable income in the years in which those temporary differences are expected to be recovered or settled. The effect of changes in income tax rates on deferred income tax assets and liabilities is recognized as income or expense in the period that a valuation allowance for any income tax benefits of which future realization is not more likely than not.</w:t>
      </w:r>
    </w:p>
    <w:p>
      <w:pPr>
        <w:spacing w:after="0" w:line="1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related to uncertain tax positions. The tax benefits recorded are based on a determination of whether and how much of a tax benefit taken by the Company in its tax filings or positions is “more likely than not” to be realized following resolution of any uncertainty related to the tax benefit, assuming that the matter in question will be raised by the tax authorities.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 Balance Sheet Risk and Concentration of Credit Risk</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a portion of its cash equivalents in money market funds that invest in U.S. Treasury securities and U.S. Agency obligations. Cash equivalents are also invested in individual U.S Treasury securities, U.S Government Agency securities, and corporate securities including commercial paper. The Company’s marketable securities primarily consist of corporate bonds, U.S. Agency bonds, U.S. Treasury securities,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as well as unrealized gains and losses on marketable securities and other changes in stockholders’ equity (deficit) that result from transactions and economic events other than those with stockholders.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7" w:name="page118"/>
    <w:bookmarkEnd w:id="11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applies the two-class method to compute basic and diluted net income (loss) per share attributable to common stockholders when it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earnings as if all income (loss) for the period had been distributed. The Company’s convertible preferred stock participates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the net income (loss) attributable to common stockholders by the weighted average number of shares of common stock outstanding for the period, including the pre-funded warrants given their nominal exercise price. Diluted net income (loss) attributable to common stockholders is computed by adjusting net income (loss) per share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shares of common stock outstanding for the period, including potential dilutive common shares. For purpose of this calculation, outstanding options to purchase common stock, unvested restricted stock awards, and shares of convertible preferred stock are considered potential dilutive common shares. The Company has generated a net loss in all periods presented, and therefore the basic and diluted net loss per share attributable to common stockholders are the same as the inclusion of the potentially dilutive securities would be anti-dilutive.</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We are currently evaluating the disclosure requirements related to this new standard.</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is intended to improve disclosures by requiring additional information about specific expense categories in the notes to the financial statements on an annual and interim basis. The standard will be effective for annual reporting periods beginning after December 15, 2026, and interim reporting periods beginning after December 15, 2027, with early adoption permitted. The standard updates may be applied on either a prospective or retrospective basis. We are currently evaluating the disclosure requirements related to this new standard.</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November 2023, the FASB issued ASU 2023-07, Improvements to Reportable Segment Disclosures, which is intended to improve reportable segment disclosure requirements, primarily through additional disclosures about significant segment expenses. The standard became effective for us in the fourth quarter of 2024. Please refer to Note 14, Segment Information, for additional disclosures related to this new standard.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and indicates the level of the fair value hierarchy utilized to determine such fair values as of December 31, 2024 and 2023 (in thousands):</w:t>
      </w:r>
    </w:p>
    <w:p>
      <w:pPr>
        <w:spacing w:after="0" w:line="155"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jc w:val="center"/>
        <w:ind w:left="4880"/>
        <w:spacing w:after="0"/>
        <w:rPr>
          <w:sz w:val="20"/>
          <w:szCs w:val="20"/>
          <w:color w:val="auto"/>
        </w:rPr>
      </w:pPr>
      <w:r>
        <w:rPr>
          <w:rFonts w:ascii="Times New Roman" w:cs="Times New Roman" w:eastAsia="Times New Roman" w:hAnsi="Times New Roman"/>
          <w:sz w:val="14"/>
          <w:szCs w:val="14"/>
          <w:b w:val="1"/>
          <w:bCs w:val="1"/>
          <w:color w:val="auto"/>
        </w:rPr>
        <w:t>December 31, 2024:</w:t>
      </w:r>
    </w:p>
    <w:tbl>
      <w:tblPr>
        <w:tblLayout w:type="fixed"/>
        <w:tblInd w:w="680" w:type="dxa"/>
        <w:tblCellMar>
          <w:top w:w="0" w:type="dxa"/>
          <w:left w:w="0" w:type="dxa"/>
          <w:bottom w:w="0" w:type="dxa"/>
          <w:right w:w="0" w:type="dxa"/>
        </w:tblCellMar>
      </w:tblPr>
      <w:tr>
        <w:trPr>
          <w:trHeight w:val="142"/>
        </w:trPr>
        <w:tc>
          <w:tcPr>
            <w:tcW w:w="49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20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106,234</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106,234</w:t>
            </w:r>
          </w:p>
        </w:tc>
        <w:tc>
          <w:tcPr>
            <w:tcW w:w="80" w:type="dxa"/>
            <w:vAlign w:val="bottom"/>
            <w:shd w:val="clear" w:color="auto" w:fill="CFF0FC"/>
          </w:tcPr>
          <w:p>
            <w:pPr>
              <w:spacing w:after="0"/>
              <w:rPr>
                <w:sz w:val="18"/>
                <w:szCs w:val="18"/>
                <w:color w:val="auto"/>
              </w:rPr>
            </w:pP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tcPr>
          <w:p>
            <w:pPr>
              <w:spacing w:after="0"/>
              <w:rPr>
                <w:sz w:val="18"/>
                <w:szCs w:val="18"/>
                <w:color w:val="auto"/>
              </w:rPr>
            </w:pPr>
          </w:p>
        </w:tc>
      </w:tr>
      <w:tr>
        <w:trPr>
          <w:trHeight w:val="21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80" w:type="dxa"/>
            <w:vAlign w:val="bottom"/>
            <w:shd w:val="clear" w:color="auto" w:fill="CFF0FC"/>
          </w:tcPr>
          <w:p>
            <w:pPr>
              <w:spacing w:after="0"/>
              <w:rPr>
                <w:sz w:val="18"/>
                <w:szCs w:val="18"/>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96,442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96,442</w:t>
            </w:r>
          </w:p>
        </w:tc>
        <w:tc>
          <w:tcPr>
            <w:tcW w:w="80" w:type="dxa"/>
            <w:vAlign w:val="bottom"/>
            <w:shd w:val="clear" w:color="auto" w:fill="CFF0FC"/>
          </w:tcPr>
          <w:p>
            <w:pPr>
              <w:spacing w:after="0"/>
              <w:rPr>
                <w:sz w:val="18"/>
                <w:szCs w:val="18"/>
                <w:color w:val="auto"/>
              </w:rPr>
            </w:pP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42,068</w:t>
            </w:r>
          </w:p>
        </w:tc>
        <w:tc>
          <w:tcPr>
            <w:tcW w:w="80" w:type="dxa"/>
            <w:vAlign w:val="bottom"/>
          </w:tcPr>
          <w:p>
            <w:pPr>
              <w:spacing w:after="0"/>
              <w:rPr>
                <w:sz w:val="18"/>
                <w:szCs w:val="18"/>
                <w:color w:val="auto"/>
              </w:rPr>
            </w:pPr>
          </w:p>
        </w:tc>
      </w:tr>
      <w:tr>
        <w:trPr>
          <w:trHeight w:val="21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15,851</w:t>
            </w:r>
          </w:p>
        </w:tc>
        <w:tc>
          <w:tcPr>
            <w:tcW w:w="80" w:type="dxa"/>
            <w:vAlign w:val="bottom"/>
            <w:shd w:val="clear" w:color="auto" w:fill="CFF0FC"/>
          </w:tcPr>
          <w:p>
            <w:pPr>
              <w:spacing w:after="0"/>
              <w:rPr>
                <w:sz w:val="18"/>
                <w:szCs w:val="18"/>
                <w:color w:val="auto"/>
              </w:rPr>
            </w:pP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214,127</w:t>
            </w:r>
          </w:p>
        </w:tc>
        <w:tc>
          <w:tcPr>
            <w:tcW w:w="80" w:type="dxa"/>
            <w:vAlign w:val="bottom"/>
          </w:tcPr>
          <w:p>
            <w:pPr>
              <w:spacing w:after="0"/>
              <w:rPr>
                <w:sz w:val="18"/>
                <w:szCs w:val="18"/>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62,022</w:t>
            </w:r>
          </w:p>
        </w:tc>
        <w:tc>
          <w:tcPr>
            <w:tcW w:w="80" w:type="dxa"/>
            <w:vAlign w:val="bottom"/>
          </w:tcPr>
          <w:p>
            <w:pPr>
              <w:spacing w:after="0"/>
              <w:rPr>
                <w:sz w:val="18"/>
                <w:szCs w:val="18"/>
                <w:color w:val="auto"/>
              </w:rPr>
            </w:pPr>
          </w:p>
        </w:tc>
      </w:tr>
      <w:tr>
        <w:trPr>
          <w:trHeight w:val="21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135,749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135,749</w:t>
            </w:r>
          </w:p>
        </w:tc>
        <w:tc>
          <w:tcPr>
            <w:tcW w:w="80" w:type="dxa"/>
            <w:vAlign w:val="bottom"/>
            <w:shd w:val="clear" w:color="auto" w:fill="CFF0FC"/>
          </w:tcPr>
          <w:p>
            <w:pPr>
              <w:spacing w:after="0"/>
              <w:rPr>
                <w:sz w:val="18"/>
                <w:szCs w:val="18"/>
                <w:color w:val="auto"/>
              </w:rPr>
            </w:pP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164,388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164,388</w:t>
            </w:r>
          </w:p>
        </w:tc>
        <w:tc>
          <w:tcPr>
            <w:tcW w:w="80" w:type="dxa"/>
            <w:vAlign w:val="bottom"/>
          </w:tcPr>
          <w:p>
            <w:pPr>
              <w:spacing w:after="0"/>
              <w:rPr>
                <w:sz w:val="18"/>
                <w:szCs w:val="18"/>
                <w:color w:val="auto"/>
              </w:rPr>
            </w:pPr>
          </w:p>
        </w:tc>
      </w:tr>
      <w:tr>
        <w:trPr>
          <w:trHeight w:val="216"/>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271,989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582,108</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854,097</w:t>
            </w:r>
          </w:p>
        </w:tc>
        <w:tc>
          <w:tcPr>
            <w:tcW w:w="8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-170815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-170815</wp:posOffset>
            </wp:positionV>
            <wp:extent cx="59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7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Money market fund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78,010</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114,384</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114,384</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127,278</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127,278</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treasuries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28,307</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28,307</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33,127</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33,127</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tcPr>
          <w:p>
            <w:pPr>
              <w:spacing w:after="0"/>
              <w:rPr>
                <w:sz w:val="18"/>
                <w:szCs w:val="18"/>
                <w:color w:val="auto"/>
              </w:rPr>
            </w:pPr>
          </w:p>
        </w:tc>
      </w:tr>
      <w:tr>
        <w:trPr>
          <w:trHeight w:val="250"/>
        </w:trPr>
        <w:tc>
          <w:tcPr>
            <w:tcW w:w="52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136,056</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303,096</w:t>
            </w:r>
          </w:p>
        </w:tc>
        <w:tc>
          <w:tcPr>
            <w:tcW w:w="2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439,152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-24765</wp:posOffset>
            </wp:positionV>
            <wp:extent cx="603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03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years ended December 31, 2024 and 2023, there were no transfers in or out of Level 3.</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Note 4.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available-for-sale debt securities held at December 31, 2024 and 2023 (in thousands):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158,518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158,464</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179,030</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(1,248 )</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177,815</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378,736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(644 )</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378,516</w:t>
            </w:r>
          </w:p>
        </w:tc>
        <w:tc>
          <w:tcPr>
            <w:tcW w:w="100" w:type="dxa"/>
            <w:vAlign w:val="bottom"/>
            <w:shd w:val="clear" w:color="auto" w:fill="CFF0FC"/>
          </w:tcPr>
          <w:p>
            <w:pPr>
              <w:spacing w:after="0"/>
              <w:rPr>
                <w:sz w:val="18"/>
                <w:szCs w:val="18"/>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732,131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(2,136 )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730,647</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9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100" w:type="dxa"/>
            <w:vAlign w:val="bottom"/>
          </w:tcPr>
          <w:p>
            <w:pPr>
              <w:spacing w:after="0"/>
              <w:rPr>
                <w:sz w:val="18"/>
                <w:szCs w:val="18"/>
                <w:color w:val="auto"/>
              </w:rPr>
            </w:pPr>
          </w:p>
        </w:tc>
      </w:tr>
      <w:tr>
        <w:trPr>
          <w:trHeight w:val="216"/>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142,948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(305 )</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142,691</w:t>
            </w:r>
          </w:p>
        </w:tc>
        <w:tc>
          <w:tcPr>
            <w:tcW w:w="100" w:type="dxa"/>
            <w:vAlign w:val="bottom"/>
            <w:shd w:val="clear" w:color="auto" w:fill="CFF0FC"/>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160,598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(306 )</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160,405</w:t>
            </w:r>
          </w:p>
        </w:tc>
        <w:tc>
          <w:tcPr>
            <w:tcW w:w="10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326,907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(724 )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326,349</w:t>
            </w:r>
          </w:p>
        </w:tc>
        <w:tc>
          <w:tcPr>
            <w:tcW w:w="100" w:type="dxa"/>
            <w:vAlign w:val="bottom"/>
            <w:shd w:val="clear" w:color="auto" w:fill="CFF0FC"/>
          </w:tcPr>
          <w:p>
            <w:pPr>
              <w:spacing w:after="0"/>
              <w:rPr>
                <w:sz w:val="19"/>
                <w:szCs w:val="19"/>
                <w:color w:val="auto"/>
              </w:rPr>
            </w:pP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-1242695</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-1242695</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-1242695</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-1242695</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-25400</wp:posOffset>
            </wp:positionV>
            <wp:extent cx="603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-7620</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03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held 121 securities that had been in an unrealized loss position for less than 12 months with an aggregate fair value of $342.1 million. As of December 31, 2023, the Company held 109 securities that had been in an unrealized loss position for less than 12 months with an aggregate fair value of $229.7 million. As of December 31, 2024, the Company held 4 securities that had been in an unrealized loss position for greater than 12 months with an aggregate fair value of $7.6 million. As of December 31, 2023, the Company held 16 securities that had been in an unrealized loss position for greater than 12 months with an aggregate fair value of $36.6 million.</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129 securities with a fair value of $368.5 million with a contractual maturity of less than 12 months and 116 securities with a fair value of $362.2 million with a contractual maturity of greater than 12 months. As of December 31, 2023, the Company had 124 securities with a fair value of $264.9 million with a contractual maturity of less than 12 months and 27 securities with a fair value of $61.4 million with a contractual maturity of greater than 12 months.</w:t>
      </w:r>
    </w:p>
    <w:p>
      <w:pPr>
        <w:spacing w:after="0" w:line="24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required to determine whether a decline in the fair value below the amortized cost basis of available-for-sale securities is due to credit-related factors. 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2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Unrealized losses on available-for-sale securities presented in the previous table have not been recognized in the consolidated statements of operations because the securities are high credit quality, investment grade securities that the Company does not intend to sell and will not be required to sell prior to their anticipated recovery, and the decline in fair value is attributable to factors other than credit losses. Based on its evaluation, the Company determined it does not have any credit losses related to its available-for-sale securities as of December 31, 2024 and 2023.</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Note 5. 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Collaboration Arrangement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Agreement Terms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July 7, 2020, the Company entered into a collaboration agreement, or the Sanofi Agreement, with Sanofi, to co-develop drug candidates directed to two biological targets. Under the Sanofi Agreement, the Company granted to Sanofi a worldwide exclusive license to develop, manufacture and commercialize certain lead compounds generated during the collaboration directed against IRAK4, or Collaboration Target 1, and one additional undisclosed target in an undisclosed field of use, or Collaboration Target 2. Such license is exercisable on a collaboration target-by-collaboration target basis only after specified milestones. For compounds directed against IRAK4, the field of use includes diagnosis, treatment, cure, mitigation or prevention of any diseases, disorders or conditions, excluding oncology and immuno-oncology.</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Sanofi Agreement, the Company is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pursuant to the Sanofi Agreement, Sanofi will grant to the Company an exclusive option, or Opt-In Right, exercisable on a collaboration target-by-collaboration target basis that will include the right to (i)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the Company exercises the Opt-In Right, Sanofi will grant to the Company an exclusive option, applicable to each collaboration target, which upon exercise will allow the Company to conduct certain co-promotion activities in the field in the United States.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Sanofi Agreement, unless earlier terminated, will expire on a product-by-product basis on the date of expiration of all payment obligations under the Sanofi Agreement with respect to such product. The Company or Sanofi may terminate the agreement upon the other party’s material breach or insolvency or for certain patent challenges. In addition, Sanofi may terminate the Sanofi Agreement for convenience or for a material safety event upon advance prior written notice, and the Company may terminate the Sanofi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consideration for the exclusive licenses granted to Sanofi under the Sanofi Agreement, Sanofi paid to us an upfront payment of $150.0 million. In addition to the upfront payment, under the agreement we were eligible to receive certain development milestone payments of up to $1.48 billion, and commercial milestone payments of up to $700.0 million, in the aggregate. Of these milestones, we remain eligible to receive up to $1.0 billion in development milestones upon the achievement of certain developmental or regulatory events, and up to $400 million in commercial milestones which are payable upon the achievement of certain net sales thresholds, all of which are related to the IRAK4 program. We will further be eligible to receive tiered royalties on net sales ranging from the high single digits to high teens, subject to low-single digits upward adjustments in certain circumstances.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with respect to Sanofi, on December 2, 2022, Sanofi provided the Company with written notice of its intention to advance the collaboration target 1 candidate, KT-474, into Phase 2 clinical trials. In the fourth quarter of 2023, the Company achieved two milestones of $40.0 million and $15.0 million relating to the dosing of the first patient in the Phase 2 clinical trial for the first and second indications, respectively. Further, in July 2024, the Company announced that Sanofi intends to expand the ongoing Phase 2 trials to more rapidly progress towards pivotal studies with the intention of accelerating overall timelines.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2023, the Company and Sanofi mutually agreed to cease activities related to Collaboration Target 2.</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1" w:name="page122"/>
    <w:bookmarkEnd w:id="121"/>
    <w:p>
      <w:pPr>
        <w:ind w:left="520"/>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discovery and preclinical research activities as well as the exclusive license grants under the Sanofi Agreement and concluded that the arrangement was indicative of a vendor-customer relationship and would be accounted for under ASC 606.</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research services for Collaboration Target 1, (2) research license for Collaboration Target 1, (3) exclusive license for Collaboration Target 1, (4) research services for Collaboration Target 2, (5) research license for Collaboration Target 2, (6) exclusive license for Collaboration Target 2, (7) option to extend the research term, and (8) optional research services during the development period.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that Collaboration Targets 1 and 2 are distinct from each other. The research associated with degraders directed to each target is at different stages and the licensed field, should development activities be successful, are different from each other. As such, all promises associated with each target are considered distinct from promises associated with the other target.</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research and development services for each collaboration target were determined not to be distinct from the research license and the exclusive license and have been combined into a single performance obligation for each collaboration target. That is, two performance obligations were identified, the combined research services, research license and exclusive license for Collaboration Target 1 and the combined research services, research license and exclusive license for Collaboration Target 2. The exclusive license for each target is not distinct from the preclinical and clinical research and development services under the Sanofi Agreement, primarily due to the highly specialized nature of the research and novel technology involved with developing protein degraders – the preclinical activities and studies and first phase 1 clinical trial could not be conducted by another party in the manner required.</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option to extend the research term and optional research services during the development period were evaluated as material rights. The fees associated with each option are at or above the standalone selling price. As such, the underlying options are not performance obligations and fees associated with each option are excluded from the transaction price until the underlying option is exercised.</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the total transaction price to be $150.0 million, which consists solely of the upfront payment. All milestone payments and option payments were constrained as the achievement of such milestones are contingent upon the success of the underlying research and development activities and are generally outside the control of the Company. The reimbursement of costs for the IRAK4 backup degrader is also treated as constrained variable consideration as the criteria for reimbursement may not always be met, under which circumstances the Company would be responsible for the costs related to the backup degrader. Upon becoming unconstrained, the reimbursement consideration will be added to the transaction price and allocated to Collaboration Target 1.</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allocated the upfront payment to each performance obligation based on the relative standalone selling price, as follows:</w:t>
      </w:r>
    </w:p>
    <w:p>
      <w:pPr>
        <w:spacing w:after="0" w:line="117"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1: $120.0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Target 2: $30.0 million</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determined the allocation of the $150.0 million transaction price between Collaboration Target 1 and Collaboration Target 2 based on the value of the research and development for the programs from projected research and development costs for each collaboration target plus a developer’s profit and the total potential milestones for each collaboration target.</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revenue associated with each performance obligation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transfer of control occurs over this time period and, in management’s judgment, is the best measure of progress towards satisfying each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 Milestone and reimbursement consideration added to the transaction price will be recognized as revenue with a cumulative catch-up upon becoming unconstrained. The performance obligation associated with Collaboration Target 1 has not been fully satisfied as of December 31, 2024. The performance obligation associated with Collaboration Target 2 has been fully satisfied. During the year ended December 31, 2024, the Company recognized $47.1 million in revenue under the Sanofi Agreement all of which was associated with Collaboration</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22" w:name="page123"/>
    <w:bookmarkEnd w:id="122"/>
    <w:p>
      <w:pPr>
        <w:jc w:val="both"/>
        <w:spacing w:after="0" w:line="252" w:lineRule="auto"/>
        <w:rPr>
          <w:sz w:val="20"/>
          <w:szCs w:val="20"/>
          <w:color w:val="auto"/>
        </w:rPr>
      </w:pPr>
      <w:r>
        <w:rPr>
          <w:rFonts w:ascii="Times New Roman" w:cs="Times New Roman" w:eastAsia="Times New Roman" w:hAnsi="Times New Roman"/>
          <w:sz w:val="18"/>
          <w:szCs w:val="18"/>
          <w:color w:val="auto"/>
        </w:rPr>
        <w:t>Target 1. Of the $47.1 million of revenue recognized in the year ended December 31, 2024, $41.5 million was recognized from amounts that were recorded in deferred revenue as of December 31, 2023. The aggregate amount of the transaction price allocated to the Company’s unsatisfied performance obligations and recorded in deferred revenue at December 31, 2024 is $13.6 million. During the year ended December 31, 2023, the Company recognized $70.2 million in revenue under the Sanofi Agreement, of which $67.7 million was associated with Collaboration Target 1 and $2.5 million was associated with Collaboration Target 2. The aggregate amount of the transaction price allocated to the Company’s unsatisfied performance obligations and recorded in deferred revenue at December 31, 2023 is $54.7 million. The decrease in deferred revenue between December 31, 2024 and December 31, 2023 is the result of on-going activity under the collaboration agreement as well as a $19.4 million cumulative catch-up to revenue related to the change in expected future costs to satisfy the Company’s performance obligation under Collaboration Target 1. During the year ended December 31, 2022, the Company recognized $36.0 million in revenue under the Sanofi Agreement, of which $19.4 million was associated with Collaboration Target 1 and $16.6 million was associated with Collaboration Target 2. During the years ended December 31, 2024 and 2023, the Company received $8.8 million and $13.8 million, respectively, in cost reimbursement payments under the Sanofi Agreement. The Company recorded $0.9 million and $3.8 million of unbilled accounts receivable related to reimbursable research and development costs under the Sanofi Agreement as of December 31, 2024 and December 31, 2023, respectively. The Company will recognize the deferred revenue related to the performance obligations based on a cost input method, as described, over the remaining research term, which as a result of the amended agreement, is a maximum of approximately 0.5 years as of December 31, 2024.</w:t>
      </w:r>
    </w:p>
    <w:p>
      <w:pPr>
        <w:spacing w:after="0" w:line="19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additional consideration related to performance-based milestones will be recognized when the risk of probable reversal is resolved, at which point the Company shall adjust the transaction price determined for the agreement accordingly and recognize revenue on a cumulative-catch up basis, reallocating the revised arrangement consideration to the performance obligations. Any consideration related to sales milestone payments and royalties will be recognized when the related milestone events or sales occur and therefore are recognized at the later of when the related sales occur or the relevant performance obligation is satisfied. As part of its evaluation of constraining the milestones, the Company considered numerous factors, including the fact that the achievement of the research and development milestones are contingent upon the results of the underlying research and development activities and are thus outside of the control of the Company. In the fourth quarter of 2023, the Company achieved two development milestones relating to the dosing of the first patient in the KT-474 Phase 2 clinical trials for the first and second indications, respectively. In connection with these milestones the Company unconstrained $55.0 million of consideration resulting in a $40.3 million cumulative catch up recorded to revenue with the remaining $14.7 million recorded as deferred revenue as of December 31, 2023. As of December 31, 2024, $51.4 million of the $55.0 million of consideration has been recorded as revenue, with the remaining $3.6 million recorded as deferred revenue.</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Vertex Agreement</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May 9, 2019 (the “Effective Date”), the Company entered into a collaboration agreement (the “Vertex Agreement”) with Vertex to advance small molecule protein degraders against up to six targets. Under the Vertex Agreement, Vertex had the exclusive option to license the rights to the product candidates developed for the designated targets at which point Vertex would control development and commercialization. Pursuant to the Vertex Agreement, the Company was only responsible for discovery and preclinical research on the targets, and Vertex was responsible for development, manufacturing, and commercialization of the product candidates after it exercises its option to license. The initial research term of the collaboration was four (4) years, extendable for an additional one (1) year period upon mutual agreement by the parties and payment by Vertex of certain per-target fees.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was eligible to receive up to $170.0 million in payments per target, including development, regulatory and commercial milestones as well as option exercise payments. In addition, Vertex was obligated to pay the Company tiered royalties on future net sales on any products that may result from the Vertex Agreement. None of the payments under the Vertex Agreement are refundable.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term of the Vertex Agreement began on the Effective Date and expired upon the completion of the initial research term on May 9, 2023.</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analyzed the joint research activities required under the Vertex Agreement and concluded that the arrangement was indicative of a vendor-customer relationship and would be accounted for under ASC 606.</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identified the following material promises under the arrangement: (1) the non-exclusive, royalty-free research license; (2) the research and development services to be performed on up to six targets; and (3) the option to license each of the targets for development, manufacturing, and commercialization efforts. The research and development services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3" w:name="page124"/>
    <w:bookmarkEnd w:id="123"/>
    <w:p>
      <w:pPr>
        <w:jc w:val="both"/>
        <w:spacing w:after="0" w:line="261" w:lineRule="auto"/>
        <w:rPr>
          <w:sz w:val="20"/>
          <w:szCs w:val="20"/>
          <w:color w:val="auto"/>
        </w:rPr>
      </w:pPr>
      <w:r>
        <w:rPr>
          <w:rFonts w:ascii="Times New Roman" w:cs="Times New Roman" w:eastAsia="Times New Roman" w:hAnsi="Times New Roman"/>
          <w:sz w:val="18"/>
          <w:szCs w:val="18"/>
          <w:color w:val="auto"/>
        </w:rPr>
        <w:t>were determined not to be distinct from the research and development license and have been combined into a single performance obligation. The Company determined that the option to license the targets in the future was not priced at a discount, and that the option exercise fee for each target is at or above the standalone selling price for research at this stage of development; as such, the options and the underlying licenses are excluded from the performance obligation and the option exercise fees are excluded from the transaction price until the underlying option is exercised.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part of its evaluation of constraining the research and development milestones, the Company considered numerous factors, including the fact that the achievement of the research and development milestones are contingent upon the results of the underlying research and development activities and are thus outside of the control of the Company.</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 the commencement of the arrangement, two units of accounting were identified, the issuance of 3,059,695 shares of the Company’s Series B-1 and the research activities the Company will perform over the Research Term. The Company determined the total transaction price to be $55.9 million, which consists of $5.9 million attributed to the premium from the Series B-1 shares sold to Vertex and the $50.0 million upfront payment. To determine the fair value of the Series B-1 issued to Vertex, the Company performed a valuation of the shares of the Company’s common and preferred stock, which took into consideration recent financings, and the Company’s recent development and future exit strategies, as well as a discount for lack of marketability.</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Vertex collaboration agreement expired upon completion of the initial research term in May of 2023. Accordingly, the Company fully satisfied its performance obligation and recognized all remaining deferred revenue associated with the Vertex collaboration in May 2023. The Company did not recognize any revenue under the Vertex agreement during the year ended December 31, 2024. During the years ended December 31, 2023 and 2022, the Company recognized $8.4 million, $10.8 million, respectively, in revenue under the Vertex Agreement.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accounts receivable, contract assets and liabilities for the year ended December 31, 2024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8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and contract assets:</w:t>
            </w:r>
          </w:p>
        </w:tc>
        <w:tc>
          <w:tcPr>
            <w:tcW w:w="9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Billed receivables – Sanofi</w:t>
            </w:r>
          </w:p>
        </w:tc>
        <w:tc>
          <w:tcPr>
            <w:tcW w:w="11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(23,812 )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Unbilled receivables – Sanofi</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(8,812 )</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and contract assets</w:t>
            </w:r>
          </w:p>
        </w:tc>
        <w:tc>
          <w:tcPr>
            <w:tcW w:w="9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(32,624 )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Contract Liabilities:</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Sanofi</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(47,072 )</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54,651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(47,072 )</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w w:val="99"/>
              </w:rPr>
              <w:t>F-24</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-1456690</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-1456690</wp:posOffset>
            </wp:positionV>
            <wp:extent cx="596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-1456690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-1456690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-865505</wp:posOffset>
            </wp:positionV>
            <wp:extent cx="603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-848360</wp:posOffset>
            </wp:positionV>
            <wp:extent cx="603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-865505</wp:posOffset>
            </wp:positionV>
            <wp:extent cx="596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-848360</wp:posOffset>
            </wp:positionV>
            <wp:extent cx="596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-865505</wp:posOffset>
            </wp:positionV>
            <wp:extent cx="603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-848360</wp:posOffset>
            </wp:positionV>
            <wp:extent cx="603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-865505</wp:posOffset>
            </wp:positionV>
            <wp:extent cx="603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-848360</wp:posOffset>
            </wp:positionV>
            <wp:extent cx="603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consists of the following as of December 31, 2024 and 2023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and office equipment under finance right-of-use asset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Furniture &amp; fixtures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44,010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Assets not yet in service</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37,303</w:t>
            </w:r>
          </w:p>
        </w:tc>
        <w:tc>
          <w:tcPr>
            <w:tcW w:w="100" w:type="dxa"/>
            <w:vAlign w:val="bottom"/>
          </w:tcPr>
          <w:p>
            <w:pPr>
              <w:spacing w:after="0"/>
              <w:rPr>
                <w:sz w:val="18"/>
                <w:szCs w:val="18"/>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66,530</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58,574</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(16,073 )</w:t>
            </w: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(10,440 )</w:t>
            </w:r>
          </w:p>
        </w:tc>
      </w:tr>
      <w:tr>
        <w:trPr>
          <w:trHeight w:val="249"/>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50,457</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-25400</wp:posOffset>
            </wp:positionV>
            <wp:extent cx="596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596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03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was $7.4 million, $3.6 million and $3.0 million, respectively.</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Included in property and equipment is lab and office equipment right-of-use assets under financing leases with a cost basis of $7.8 million and $6.7 million and accumulated amortization expense of $4.1 million and $4.1 million as of December 31, 2024 and 2023,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related to right-of-use assets was $1.4 million, $1.5 million and $1.2 million the years ended December 31, 2024, 2023 and 2022 and is included in depreciation expense.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00" w:lineRule="exact"/>
        <w:rPr>
          <w:sz w:val="20"/>
          <w:szCs w:val="20"/>
          <w:color w:val="auto"/>
        </w:rPr>
      </w:pPr>
    </w:p>
    <w:p>
      <w:pPr>
        <w:spacing w:after="0" w:line="24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October 2019, the Company entered into a noncancelable facility lease agreement (the “2019 Lease”) for 34,522 square feet of research and development and office space in Watertown, Massachusetts. The term of the 2019 Lease is 120 months and expires on March 31, 2030. The 2019 Lease has an option to be extended for an additional five years. The lease is not reasonably certain to be extended and as such the additional term is not included in the measurement of the lease. The 2019 Lease includes a rent escalation clause, and rent expense is being recorded on a straight-line basis. In accordance with the lease agreement, the Company is required to maintain a security deposit and provided a letter of credit to the landlord, which is recorded in restricted cash as of December 31, 2024 and December 31, 2023. The letter of credit totaled $1.3 million and $1.3 million as of December 31, 2024 and December 31, 2023, respectively.</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December 2021, the Company entered into a noncancelable lease (the “2021 Lease”) for 100,624 square feet of office and laboratory space in Watertown, Massachusetts, which the Company began occupying in February 2024. The 2021 Lease is subject to base rent of $0.8 million per month beginning two months after the commencement date, plus the Company’s ratable share of taxes, maintenance and other operating expenses. Base rent is subject to a 3% annual increase over the lease term of approximately 134 months following the commencement date. The Company also has two consecutive options to extend the term of the lease for five years each at then-market rates. The 2021 Lease also includes a tenant improvement allowance of approximately $20.1 million. In connection with the signing of the 2021 Lease, the Company issued a letter of credit for $4.5 million which is classified as restricted cash as of December 31, 2024 and December 31, 2023.</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2021 Lease required the landlord to build-out the base building prior to the construction of the Company’s premises. The Company concluded the accounting commencement date occurred when the landlord completed the build-out of the base building and control passed to the Company, which occurred in early January 2023. The Company assessed the classification of the 2021 Lease at the accounting commencement date and concluded the lease should be accounted for as an operating lease. The Company recorded an operating lease liability of $48.9 million, measured as the present value of the remaining lease payments discounted using the incremental borrowing rate as of the accounting commencement date. The Company recorded an operating lease right-of-use asset of $48.9 million, measured as the present value of the remaining lease payments, net of the tenant incentives.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5" w:name="page126"/>
    <w:bookmarkEnd w:id="125"/>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the improvements paid for by the landlord in connection with the tenant improvement allowance represent lessee assets and therefore recorded $20.1 million of leasehold improvements in property and equipment. The Company recorded an additional $17.9 million of leasehold improvements in excess of the tenant improvement allowance, all of which were placed in service as of December 31, 2024.</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Upon occupancy of the 2021 Lease facility in February of 2024, the Company exited the 2019 Lease facility and is actively looking to sublease the entire facility for the remaining noncancellable lease term through March 31, 2030. These actions resulted in an impairment charge of $4.9 million in the year ended December 31, 2024. The Company continues to evaluate the potential recovery of the ROU asset under sublease scenarios, and thus it is possible that additional impairments could be identified in future periods, and such amounts could be material.</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impairment charge reduces the carrying value of the associated ROU asset, leasehold improvements and certain furniture and fixture assets that remained in the facility to their estimated fair values. The fair values were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finance lease obligations consist of certain property and equipment financed through finance leases. .</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lease costs for the years ended December 31, 2024 and 2023 (in thousands):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56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88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9,967</w:t>
            </w:r>
          </w:p>
        </w:tc>
        <w:tc>
          <w:tcPr>
            <w:tcW w:w="11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costs: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900" w:type="dxa"/>
            <w:vAlign w:val="bottom"/>
            <w:shd w:val="clear" w:color="auto" w:fill="CFF0FC"/>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right-to-use assets, financing</w:t>
            </w:r>
          </w:p>
        </w:tc>
        <w:tc>
          <w:tcPr>
            <w:tcW w:w="8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leases</w:t>
            </w:r>
          </w:p>
        </w:tc>
        <w:tc>
          <w:tcPr>
            <w:tcW w:w="8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shd w:val="clear" w:color="auto" w:fill="CFF0FC"/>
          </w:tcPr>
          <w:p>
            <w:pPr>
              <w:spacing w:after="0"/>
              <w:rPr>
                <w:sz w:val="20"/>
                <w:szCs w:val="20"/>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for financing lease liabilities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8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2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16,683</w:t>
            </w:r>
          </w:p>
        </w:tc>
        <w:tc>
          <w:tcPr>
            <w:tcW w:w="114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-170815</wp:posOffset>
            </wp:positionV>
            <wp:extent cx="603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Variable lease cost includes payments for variable common area maintenance charges and real estate taxes. Such amounts are not included in the measurement of lease liabilities.</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relating to the Company’s leases for the years ended December 31, 2024 and 2023 were as follows (in thousands):</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3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191"/>
        </w:trPr>
        <w:tc>
          <w:tcPr>
            <w:tcW w:w="53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w:t>
            </w: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4"/>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 lease liabilities:</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9,524</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80" w:type="dxa"/>
            <w:vAlign w:val="bottom"/>
            <w:shd w:val="clear" w:color="auto" w:fill="CFF0FC"/>
          </w:tcPr>
          <w:p>
            <w:pPr>
              <w:spacing w:after="0"/>
              <w:rPr>
                <w:sz w:val="18"/>
                <w:szCs w:val="18"/>
                <w:color w:val="auto"/>
              </w:rPr>
            </w:pPr>
          </w:p>
        </w:tc>
      </w:tr>
      <w:tr>
        <w:trPr>
          <w:trHeight w:val="234"/>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0"/>
                <w:szCs w:val="20"/>
                <w:color w:val="auto"/>
              </w:rPr>
            </w:pPr>
          </w:p>
        </w:tc>
      </w:tr>
    </w:tbl>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Weighted average remaining lease terms and discount rates as of December 31, 2024 and 2023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68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9"/>
        </w:trPr>
        <w:tc>
          <w:tcPr>
            <w:tcW w:w="1700" w:type="dxa"/>
            <w:vAlign w:val="bottom"/>
          </w:tcPr>
          <w:p>
            <w:pPr>
              <w:spacing w:after="0"/>
              <w:rPr>
                <w:sz w:val="18"/>
                <w:szCs w:val="18"/>
                <w:color w:val="auto"/>
              </w:rPr>
            </w:pPr>
          </w:p>
        </w:tc>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lease term:</w:t>
            </w:r>
          </w:p>
        </w:tc>
        <w:tc>
          <w:tcPr>
            <w:tcW w:w="2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w:t>
            </w:r>
          </w:p>
        </w:tc>
        <w:tc>
          <w:tcPr>
            <w:tcW w:w="2480" w:type="dxa"/>
            <w:vAlign w:val="bottom"/>
          </w:tcPr>
          <w:p>
            <w:pPr>
              <w:spacing w:after="0"/>
              <w:rPr>
                <w:sz w:val="18"/>
                <w:szCs w:val="18"/>
                <w:color w:val="auto"/>
              </w:rPr>
            </w:pP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9.5 years</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 years</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Financing lease</w:t>
            </w:r>
          </w:p>
        </w:tc>
        <w:tc>
          <w:tcPr>
            <w:tcW w:w="24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2.8 years</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 Years</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w:t>
            </w:r>
          </w:p>
        </w:tc>
        <w:tc>
          <w:tcPr>
            <w:tcW w:w="38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8.8 %</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w:t>
            </w:r>
          </w:p>
        </w:tc>
        <w:tc>
          <w:tcPr>
            <w:tcW w:w="3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8.7 %</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8.2 %</w:t>
            </w:r>
          </w:p>
        </w:tc>
        <w:tc>
          <w:tcPr>
            <w:tcW w:w="1680" w:type="dxa"/>
            <w:vAlign w:val="bottom"/>
          </w:tcPr>
          <w:p>
            <w:pPr>
              <w:spacing w:after="0"/>
              <w:rPr>
                <w:sz w:val="20"/>
                <w:szCs w:val="20"/>
                <w:color w:val="auto"/>
              </w:rPr>
            </w:pPr>
          </w:p>
        </w:tc>
      </w:tr>
      <w:tr>
        <w:trPr>
          <w:trHeight w:val="522"/>
        </w:trPr>
        <w:tc>
          <w:tcPr>
            <w:tcW w:w="1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860" w:type="dxa"/>
            <w:vAlign w:val="bottom"/>
            <w:gridSpan w:val="3"/>
          </w:tcPr>
          <w:p>
            <w:pPr>
              <w:jc w:val="right"/>
              <w:ind w:right="2460"/>
              <w:spacing w:after="0"/>
              <w:rPr>
                <w:sz w:val="20"/>
                <w:szCs w:val="20"/>
                <w:color w:val="auto"/>
              </w:rPr>
            </w:pPr>
            <w:r>
              <w:rPr>
                <w:rFonts w:ascii="Times New Roman" w:cs="Times New Roman" w:eastAsia="Times New Roman" w:hAnsi="Times New Roman"/>
                <w:sz w:val="18"/>
                <w:szCs w:val="18"/>
                <w:color w:val="auto"/>
              </w:rPr>
              <w:t>F-26</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6" w:name="page127"/>
    <w:bookmarkEnd w:id="126"/>
    <w:p>
      <w:pPr>
        <w:ind w:left="520"/>
        <w:spacing w:after="0"/>
        <w:rPr>
          <w:sz w:val="20"/>
          <w:szCs w:val="20"/>
          <w:color w:val="auto"/>
        </w:rPr>
      </w:pPr>
      <w:r>
        <w:rPr>
          <w:rFonts w:ascii="Times New Roman" w:cs="Times New Roman" w:eastAsia="Times New Roman" w:hAnsi="Times New Roman"/>
          <w:sz w:val="18"/>
          <w:szCs w:val="18"/>
          <w:color w:val="auto"/>
        </w:rPr>
        <w:t>The undiscounted future lease payments for operating and finance leases as of December 31, 2024, were as follows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Financing</w:t>
            </w:r>
          </w:p>
        </w:tc>
      </w:tr>
      <w:tr>
        <w:trPr>
          <w:trHeight w:val="173"/>
        </w:trPr>
        <w:tc>
          <w:tcPr>
            <w:tcW w:w="5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80" w:type="dxa"/>
            <w:vAlign w:val="bottom"/>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tcPr>
          <w:p>
            <w:pPr>
              <w:spacing w:after="0"/>
              <w:rPr>
                <w:sz w:val="15"/>
                <w:szCs w:val="15"/>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0"/>
        </w:trPr>
        <w:tc>
          <w:tcPr>
            <w:tcW w:w="7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FF0FC"/>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18"/>
                <w:szCs w:val="18"/>
                <w:color w:val="auto"/>
              </w:rPr>
            </w:pPr>
          </w:p>
        </w:tc>
      </w:tr>
      <w:tr>
        <w:trPr>
          <w:trHeight w:val="216"/>
        </w:trPr>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FF0FC"/>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r>
      <w:tr>
        <w:trPr>
          <w:trHeight w:val="216"/>
        </w:trPr>
        <w:tc>
          <w:tcPr>
            <w:tcW w:w="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4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124,936</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amounts representing interest or imputed interest</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(40,919 )</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(480 )</w:t>
            </w:r>
          </w:p>
        </w:tc>
      </w:tr>
      <w:tr>
        <w:trPr>
          <w:trHeight w:val="249"/>
        </w:trPr>
        <w:tc>
          <w:tcPr>
            <w:tcW w:w="53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84,017</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-25400</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 as of December 31, 2024 and 2023 (in thousands):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3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Payroll and payroll-related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80" w:type="dxa"/>
            <w:vAlign w:val="bottom"/>
          </w:tcPr>
          <w:p>
            <w:pPr>
              <w:spacing w:after="0"/>
              <w:rPr>
                <w:sz w:val="18"/>
                <w:szCs w:val="18"/>
                <w:color w:val="auto"/>
              </w:rPr>
            </w:pPr>
          </w:p>
        </w:tc>
      </w:tr>
      <w:tr>
        <w:trPr>
          <w:trHeight w:val="21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34,867</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33,864</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-7620</wp:posOffset>
            </wp:positionV>
            <wp:extent cx="51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Other Commitments and Contingencies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legal proceedings.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Arrangements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permitted under Delaware law, the Company has agreements whereby it indemnifies its investors, employees, officers, and directors (collectively, the “Indemnified Parties”) for certain events or occurrences while the Indemnified Parties are, or were serving, at its request in such capacity. The term of the indemnification period is for the Indemnified Parties’ lifetime. The Company believes the estimated fair value of these indemnification agreements is minimal. The Company enters into standard indemnification agreements in the ordinary course of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maximum potential amount of future payments the Company could be required to make under these indemnification agreements is unlimited. The Company is not aware of any claims under indemnification arrangements, and it has not accrued any liabilities related to such obligations as of December 31, 2024, 2023 or 2022.</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t>Note 10. Equity-Based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2018 Stock Option and Grant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2018, the Company adopted, and its stockholders approved, the 2018 Stock Option and Grant Plan (the “2018 Plan”), which provides for the granting of stock options and other equity-based awards at the discretion of the Board of Directors or any subcommittee of the Board of Directors to the Company’s employees, officers, directors, and independent contractors. No further grants will be made under the 2018 Plan. However, the 2018 Plan will continue to govern outstanding equity awards granted thereunder. To the extent outstanding options granted under the 2018 Plan are cancelled, forfeited or otherwise terminated without being exercised and would otherwise have been returned to the share reserve under the 2018 Plan, the number of shares underlying such awards will be available for future grant under the 2020 Stock Option and Incentive Plan.</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Stock Option and Incentive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Stock Option and Incentive Plan (the “2020 Plan”), which became effective on August 20, 2020. The 2020 Plan replaced the 2018 Plan as the Company’s Board of Directors has determined not to make additional awards under the 2018 Plan following the closing of the Company’s IPO. The 2020 Plan allows the Company to make equity-based and cash-based incentive awards to its officers, employees, directors and consultants. The Company has initially reserved 4,457,370 shares of its common stock for the issuance of awards under the 2020 Plan, which includes the shares of common stock remaining available for issuance under its 2018 Plan as of the business day immediately prior to the effective date of the registration statement. In June 2024, in connection with the Company’s 2024 annual shareholder meeting, shareholders approved an amendment to the 2020 stock option plan that redefined the definition of common stock outstanding for the purposes of calculating the annual increase to the shares available for issuance. After the amendment, outstanding equity includes all outstanding common shares as well as outstanding pre-funded warrants. The 2020 Plan provides that the number of shares reserved and available for issuance will automatically increase on January 1, 2021, and each January 1 thereafter, by 4% of the Company’s outstanding number of shares of common stock, inclusive of outstanding pre-funded warrants, on the immediately preceding December 31, or such lesser number of shares as determined by the Company’s compensation committee. These limits are subject to adjustment in the event of a stock split, stock dividend or other change in the Company’s capitalization. As of December 31, 2024, there were an aggregate of 3,556,290 shares remaining available for future grants.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August 2020, the Company and its stockholders approved the 2020 Employee Stock Purchase Plan (the “2020 ESPP”), which became effective August 20, 2020. The 2020 ESPP initially reserves and authorizes the issuance of up to a total of 445,653 shares of common stock to participating employees. The 2020 ESPP provides that the number of shares reserved and available for issuance will automatically increase on January 1, 2021 and each January 1 thereafter through January 1, 2030, by the lessor of (i) 438,898 shares of common stock, (ii) 1% of the Company’s outstanding number of shares of common stock on the immediately preceding December 31 or (iii) such lesser number of shares of common stock as determined by the administrator of the 2020 ESPP. The number of shares reserved under the 2020 ESPP is subject to adjustment in the event of a stock split, stock dividend or other change in the Company’s capitalization. As of December 31, 2024, there were an aggregate of 1,924,229 shares remaining available for future grants.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under the 2020 Plan during the year ended December 31, 2024, is as follows (in thousands except share and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8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Strike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86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8,113,164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2,513,259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7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(844,917 )</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(333,716 )</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9,447,790</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97,715</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6,197,359</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76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F-28</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8" w:name="page129"/>
    <w:bookmarkEnd w:id="128"/>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intrinsic value of stock options exercised during the years ended December 31, 2024, 2023 and 2022 was $21.8 million, $9.1 million and $15.8 million,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fair value of options granted during the years ended December 31, 2024, 2023 and 2022 was $26.10, $17.91 and $20.18 per share,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unrecognized stock-based compensation expense for unvested stock options was $68.4 million, which is expected to be recognized over 2.0 years.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outlines equity-based compensation expense for stock options for the years ended December 31, 2024, 2023 and 2022:</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r>
      <w:tr>
        <w:trPr>
          <w:trHeight w:val="142"/>
        </w:trPr>
        <w:tc>
          <w:tcPr>
            <w:tcW w:w="58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r>
      <w:tr>
        <w:trPr>
          <w:trHeight w:val="20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21,965</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18,525</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16,388</w:t>
            </w:r>
          </w:p>
        </w:tc>
        <w:tc>
          <w:tcPr>
            <w:tcW w:w="24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24,166</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240" w:type="dxa"/>
            <w:vAlign w:val="bottom"/>
          </w:tcPr>
          <w:p>
            <w:pPr>
              <w:spacing w:after="0"/>
              <w:rPr>
                <w:sz w:val="18"/>
                <w:szCs w:val="18"/>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46,131</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38,550</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33,329</w:t>
            </w:r>
          </w:p>
        </w:tc>
        <w:tc>
          <w:tcPr>
            <w:tcW w:w="24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-7620</wp:posOffset>
            </wp:positionV>
            <wp:extent cx="603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596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-7620</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assumptions that the Company used in the Black-Scholes option pricing model to determine the grant date fair value of stock options granted to employees and non-employees for the years ended December 31, 2024, 2023 and 2022:</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266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650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65 %</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62 %</w:t>
            </w: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62 %</w:t>
            </w: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4.1 %</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4.1 %</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0.0 %</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0.0 %</w:t>
            </w:r>
          </w:p>
        </w:tc>
        <w:tc>
          <w:tcPr>
            <w:tcW w:w="1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r>
    </w:tbl>
    <w:p>
      <w:pPr>
        <w:spacing w:after="0" w:line="3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shares of restricted stock units with service-based and performance-based vesting conditions. A summary of restricted stock activity during the year ended December 31, 2024, is as follows:</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48"/>
        </w:trPr>
        <w:tc>
          <w:tcPr>
            <w:tcW w:w="53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3"/>
        </w:trPr>
        <w:tc>
          <w:tcPr>
            <w:tcW w:w="53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593,140</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(174,463 )</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(69,990 )</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80" w:type="dxa"/>
            <w:vAlign w:val="bottom"/>
          </w:tcPr>
          <w:p>
            <w:pPr>
              <w:spacing w:after="0"/>
              <w:rPr>
                <w:sz w:val="18"/>
                <w:szCs w:val="18"/>
                <w:color w:val="auto"/>
              </w:rPr>
            </w:pPr>
          </w:p>
        </w:tc>
      </w:tr>
      <w:tr>
        <w:trPr>
          <w:trHeight w:val="210"/>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749,604</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-7620</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granted 400,917, 404,844, and 295,892 shares of restricted stock during the years ended December 31, 2023, December 31, 2022, and December 31 2021, respectively.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total unrecognized stock-based compensation expense for unvested restricted stock was $17.1 million, which is expected to be recognized over 2.1 years.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recorded stock-based compensation expense for restricted stock of $7.7 million, $3.8 million and $1.4 million, respectively. During the years ended December 31, 2024, 2023 and 2022, the Company recorded stock-based compensation expense related to restricted stock of $4.8 million, $2.5 million and $1.1 million, respectively, within research and development. During the years ended December 31, 2024,</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29" w:name="page130"/>
    <w:bookmarkEnd w:id="129"/>
    <w:p>
      <w:pPr>
        <w:jc w:val="both"/>
        <w:spacing w:after="0" w:line="282" w:lineRule="auto"/>
        <w:rPr>
          <w:sz w:val="20"/>
          <w:szCs w:val="20"/>
          <w:color w:val="auto"/>
        </w:rPr>
      </w:pPr>
      <w:r>
        <w:rPr>
          <w:rFonts w:ascii="Times New Roman" w:cs="Times New Roman" w:eastAsia="Times New Roman" w:hAnsi="Times New Roman"/>
          <w:sz w:val="18"/>
          <w:szCs w:val="18"/>
          <w:color w:val="auto"/>
        </w:rPr>
        <w:t>2023 and 2022, the Company recorded stock-based compensation expense related to restricted stock of $2.9 million, $1.3 million, and $0.3 million, respectively, within general and administrative.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Total equity-based compensation expense recorded as research and development and general and administrative expenses for employees, directors, and non-employees during the years ended December 31, 2024, 2023 and 2022 is as follows (in thousands):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21,555</w:t>
            </w:r>
          </w:p>
        </w:tc>
        <w:tc>
          <w:tcPr>
            <w:tcW w:w="5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24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27,246</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240" w:type="dxa"/>
            <w:vAlign w:val="bottom"/>
          </w:tcPr>
          <w:p>
            <w:pPr>
              <w:spacing w:after="0"/>
              <w:rPr>
                <w:sz w:val="18"/>
                <w:szCs w:val="18"/>
                <w:color w:val="auto"/>
              </w:rPr>
            </w:pPr>
          </w:p>
        </w:tc>
      </w:tr>
      <w:tr>
        <w:trPr>
          <w:trHeight w:val="20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55,012</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43,118</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35,480</w:t>
            </w:r>
          </w:p>
        </w:tc>
        <w:tc>
          <w:tcPr>
            <w:tcW w:w="24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-7620</wp:posOffset>
            </wp:positionV>
            <wp:extent cx="596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596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-7620</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Related-Party Transactions</w:t>
      </w:r>
    </w:p>
    <w:p>
      <w:pPr>
        <w:spacing w:after="0" w:line="121"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John Maraganore is a member of the Company’s Board of Directors, and is affiliated with Jefferies LLC (“Jefferies”). On October 31, 2024, prior to Dr. Maraganore joining Jefferies,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(the “Jefferies Sales Agreement”) with Jefferies, pursuant to which the Company may offer and sell shares of its common stock having aggregate gross proceeds of up to $300.0 million from time to time in “at-the-market” offerings through Jefferies, as its sales agent. The Company agreed to pay Jefferies a commission of up to 3.0% of the gross proceeds of any shares sold by Jefferies under the Jefferies Sales Agreement. As of December 31, 2024, the Company has not sold any shares of its common stock under the Jefferies Sales Agreement.</w:t>
      </w:r>
    </w:p>
    <w:p>
      <w:pPr>
        <w:spacing w:after="0" w:line="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than the aforementioned agreement and the collaborations discussed in Note 5, the Company had no related party transactions for the periods presented in the accompanying consolidated financial statements, which have not otherwise been discussed in these notes to the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records income tax expense related to profits realized by its U.S. operating subsidiaries. For the years ended December 31, 2024, 2023 and 2022, immaterial income tax expense was recorded due the group’s net operating loss (“NOL”) and full valuation allowance.</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rate reconciliation of the U.S. statutory income tax rate to the Company’s effective tax rate for the years ended December 31, 2024, 2023 and 2022 are as follows:</w:t>
      </w:r>
    </w:p>
    <w:tbl>
      <w:tblPr>
        <w:tblLayout w:type="fixed"/>
        <w:tblInd w:w="96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r>
      <w:tr>
        <w:trPr>
          <w:trHeight w:val="169"/>
        </w:trPr>
        <w:tc>
          <w:tcPr>
            <w:tcW w:w="5320" w:type="dxa"/>
            <w:vAlign w:val="bottom"/>
          </w:tcPr>
          <w:p>
            <w:pPr>
              <w:spacing w:after="0"/>
              <w:rPr>
                <w:sz w:val="14"/>
                <w:szCs w:val="14"/>
                <w:color w:val="auto"/>
              </w:rPr>
            </w:pPr>
          </w:p>
        </w:tc>
        <w:tc>
          <w:tcPr>
            <w:tcW w:w="11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4"/>
                <w:szCs w:val="14"/>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r>
      <w:tr>
        <w:trPr>
          <w:trHeight w:val="210"/>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effect at statutory rate</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21.0 %</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research and development credits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8"/>
                <w:szCs w:val="18"/>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Disallowed Expenditures</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tcPr>
          <w:p>
            <w:pPr>
              <w:spacing w:after="0"/>
              <w:rPr>
                <w:sz w:val="18"/>
                <w:szCs w:val="18"/>
                <w:color w:val="auto"/>
              </w:rPr>
            </w:pPr>
          </w:p>
        </w:tc>
      </w:tr>
      <w:tr>
        <w:trPr>
          <w:trHeight w:val="230"/>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0.0 %</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-24765</wp:posOffset>
            </wp:positionV>
            <wp:extent cx="14605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14605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1200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1200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12890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12890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1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used for income tax purposes. Significant components of the Company’s net deferred income taxes are as follows (in thousands):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0" w:name="page131"/>
    <w:bookmarkEnd w:id="130"/>
    <w:tbl>
      <w:tblPr>
        <w:tblLayout w:type="fixed"/>
        <w:tblInd w:w="170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Deferred Tax Assets: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33,708</w:t>
            </w:r>
          </w:p>
        </w:tc>
        <w:tc>
          <w:tcPr>
            <w:tcW w:w="22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22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25,975</w:t>
            </w:r>
          </w:p>
        </w:tc>
        <w:tc>
          <w:tcPr>
            <w:tcW w:w="22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22,443</w:t>
            </w:r>
          </w:p>
        </w:tc>
        <w:tc>
          <w:tcPr>
            <w:tcW w:w="22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22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Accruals and reserves, stock and other</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18,794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22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110,333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68,340</w:t>
            </w:r>
          </w:p>
        </w:tc>
        <w:tc>
          <w:tcPr>
            <w:tcW w:w="220" w:type="dxa"/>
            <w:vAlign w:val="bottom"/>
          </w:tcPr>
          <w:p>
            <w:pPr>
              <w:spacing w:after="0"/>
              <w:rPr>
                <w:sz w:val="18"/>
                <w:szCs w:val="18"/>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259,790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184,103</w:t>
            </w:r>
          </w:p>
        </w:tc>
        <w:tc>
          <w:tcPr>
            <w:tcW w:w="22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(236,206 )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(162,375 )</w:t>
            </w: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23,584</w:t>
            </w: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21,728</w:t>
            </w:r>
          </w:p>
        </w:tc>
        <w:tc>
          <w:tcPr>
            <w:tcW w:w="22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Deferred Tax Liabilities: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and intangible assets</w:t>
            </w: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(10,632 )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(1,884 )</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(12,952 )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(19,844 )</w:t>
            </w:r>
          </w:p>
        </w:tc>
      </w:tr>
      <w:tr>
        <w:trPr>
          <w:trHeight w:val="249"/>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-25400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has had immaterial income tax expense due to operating losses incurred since inception and no deferred tax provision in the current period. ASC 740 requires a valuation allowance to reduce the deferred tax assets reported if, based on the weight of the evidence, it is more-likely-than-not that some portion or all the deferred tax assets will not be realized. The Company has evaluated the positive and negative evidence bearing upon the realizability of its deferred tax assets. Based on this, the Company has provided a valuation allowance for the full amount of the net deferred tax assets as the realization of the deferred tax assets is not determined to be more likely than not. During 2024, the valuation allowance increased by approximately $74 million primarily due to the increase in the Company’s book loss reported in the period and the generation of additional research and development credits.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Beginning in 2022, Tax Cuts and Jobs Act (TCJA) amended Section 174 and now requires U.S.-based and non-U.S-based research and experimental (R&amp;E) expenditures to be capitalized and amortized over a period of five or 15 years, respectively, for amounts paid in tax years starting after December 31, 2021. Prior to the TCJA amendment, Section 174 allowed taxpayers to immediately deduct R&amp;E expenditures in the year paid or incurred. The Company has applied this required change in accounting method beginning in 2022 and the computation may be adjusted pending future IRS guidance.</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approximately $221.3 million and $238.3 million of Federal &amp; State operating loss carryforwards respectively. Of the Federal net operating loss carryovers, $211.5 million are not subject to expiration and the remaining Federal and state NOLs begin to expire in 2037. These loss carryforwards are available to reduce future federal taxable income, if any.</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also has federal and state research and development credit carryforwards and orphan drug credit carryforwards of approximately $33.1 million and $12.0 million respectively, which can be used to offset future income taxes. These credits will begin to expire beginning in December 2032. These loss carryforwards are subject to review and possible adjustment by the appropriate taxing authorities. The amount of loss carryforwards that may be utilized in any future period may be limited based upon changes in the ownership of the Company’s ultimate parent.</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follows the provisions of ASC 740-10, Accounting for Uncertainty in Income Taxes, which specifies how tax benefits for uncertain tax positions are to be recognized, measured, and recorded in financial statements; requires certain disclosures of uncertain tax matters; specifies how reserves for uncertain tax positions should be classified on the balance sheet; and provides transition and interim period guidance, among other provisions. As of December 31, 2024, and 2023, the Company has not recorded tax reserves associated with any unrecognized tax benefits. The Company’s policy is to recognize interest and penalties accrued on any uncertain tax positions as a component of income tax expense, if any, in its statements of income. As of December 31, 2024, and 2023, the Company had no reserves for uncertain tax positions. For the years ended December 31, 2024, 2023 and 2022, no estimated interest or penalties were recognized on uncertain tax positions.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Company’s federal and Massachusetts income tax returns for the years ended December 31, 2021 to December 31, 2024 remain open and are subject to examination by the Internal Revenue Service and state taxing authorities. In addition, the Company’s tax carryover attributes such as net operating losses or credits from earlier period are also subject to examination.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31" w:name="page132"/>
    <w:bookmarkEnd w:id="13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Basic and diluted loss per share is computed by dividing net loss by the weighted-average common shares outstanding for the period, including the pre-funded warrants given their nominal exercise price (in thousands, except for share and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(223,858 )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(146,962 )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(154,808 )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75,043,991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58,365,499</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53,933,229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(2.52 )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restricted stock units,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from the computation of diluted net loss per share attributable to common stockholders at December 31, 2024, 2023 and 2022 because including them would have had an anti-dilutive effect: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0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6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3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380" w:type="dxa"/>
            <w:vAlign w:val="bottom"/>
            <w:tcBorders>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3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749,604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593,140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281,843</w:t>
            </w:r>
          </w:p>
        </w:tc>
        <w:tc>
          <w:tcPr>
            <w:tcW w:w="100" w:type="dxa"/>
            <w:vAlign w:val="bottom"/>
            <w:shd w:val="clear" w:color="auto" w:fill="CFF0FC"/>
          </w:tcPr>
          <w:p>
            <w:pPr>
              <w:spacing w:after="0"/>
              <w:rPr>
                <w:sz w:val="18"/>
                <w:szCs w:val="18"/>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56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9,447,790</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8,113,164</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6,757,289</w:t>
            </w:r>
          </w:p>
        </w:tc>
        <w:tc>
          <w:tcPr>
            <w:tcW w:w="100" w:type="dxa"/>
            <w:vAlign w:val="bottom"/>
          </w:tcPr>
          <w:p>
            <w:pPr>
              <w:spacing w:after="0"/>
              <w:rPr>
                <w:sz w:val="18"/>
                <w:szCs w:val="18"/>
                <w:color w:val="auto"/>
              </w:rPr>
            </w:pPr>
          </w:p>
        </w:tc>
      </w:tr>
      <w:tr>
        <w:trPr>
          <w:trHeight w:val="209"/>
        </w:trPr>
        <w:tc>
          <w:tcPr>
            <w:tcW w:w="4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10,197,394</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8,706,304</w:t>
            </w:r>
          </w:p>
        </w:tc>
        <w:tc>
          <w:tcPr>
            <w:tcW w:w="2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7,039,132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534"/>
        </w:trPr>
        <w:tc>
          <w:tcPr>
            <w:tcW w:w="4040" w:type="dxa"/>
            <w:vAlign w:val="bottom"/>
          </w:tcPr>
          <w:p>
            <w:pPr>
              <w:spacing w:after="0"/>
              <w:rPr>
                <w:sz w:val="24"/>
                <w:szCs w:val="24"/>
                <w:color w:val="auto"/>
              </w:rPr>
            </w:pPr>
          </w:p>
        </w:tc>
        <w:tc>
          <w:tcPr>
            <w:tcW w:w="3920" w:type="dxa"/>
            <w:vAlign w:val="bottom"/>
            <w:gridSpan w:val="2"/>
          </w:tcPr>
          <w:p>
            <w:pPr>
              <w:jc w:val="right"/>
              <w:ind w:right="2076"/>
              <w:spacing w:after="0"/>
              <w:rPr>
                <w:sz w:val="20"/>
                <w:szCs w:val="20"/>
                <w:color w:val="auto"/>
              </w:rPr>
            </w:pPr>
            <w:r>
              <w:rPr>
                <w:rFonts w:ascii="Times New Roman" w:cs="Times New Roman" w:eastAsia="Times New Roman" w:hAnsi="Times New Roman"/>
                <w:sz w:val="18"/>
                <w:szCs w:val="18"/>
                <w:color w:val="auto"/>
              </w:rPr>
              <w:t>F-32</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-848360</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-848360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segment and one operating segment, which is dedicated to reinventing the treatment of human disease through the development of innovative, highly differentiated medicines that address significant health problems and that meaningfully improve patients’ lives. The Company’s chief operating decision maker, or CODM, is the chief executive officer. The CODM assesses performance for the segment and decides how to allocate resources based on consolidated net loss that is also reported on the consolidated statements of operations.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sheets as total consolidated assets. All material long-lived assets are located in the United States. Long-lived assets consist of property and equipment, net, and operating lease right-of-use assets.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uses net loss to monitor budget versus actual results and to analyze cash flows in assessing performance of the segment and allocating resources.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Factors used in determining the reportable segment include the nature of the Company’s operating activities, the organizational and reporting structure and the type of information reviewed by the CODM to allocate resources and evaluate financial performance. The accounting policies of the segment are the same as those described in Note 2 of the notes to the consolidated financial statements included in this Annual Report on Form 10-K.</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reportable segment profit and loss, including significant expense categories, attributable to the Company’s reportable segment for the periods presented: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4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47,072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78,592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46,826</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STAT6</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TYK2</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IRAK4</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13,762</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MDM2</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11,823</w:t>
            </w: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STAT3</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external research and development expense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51,388</w:t>
            </w: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ind w:left="340"/>
              <w:spacing w:after="0" w:line="216" w:lineRule="exact"/>
              <w:rPr>
                <w:sz w:val="20"/>
                <w:szCs w:val="20"/>
                <w:color w:val="auto"/>
              </w:rPr>
            </w:pPr>
            <w:r>
              <w:rPr>
                <w:rFonts w:ascii="Times New Roman" w:cs="Times New Roman" w:eastAsia="Times New Roman" w:hAnsi="Times New Roman"/>
                <w:sz w:val="18"/>
                <w:szCs w:val="18"/>
                <w:color w:val="auto"/>
              </w:rPr>
              <w:t xml:space="preserve">Research and development compensation and related personnel expense </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75,975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65,039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55,751</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overhead and administrative costs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19,104</w:t>
            </w: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General &amp; administrative </w:t>
            </w:r>
            <w:r>
              <w:rPr>
                <w:rFonts w:ascii="Times New Roman" w:cs="Times New Roman" w:eastAsia="Times New Roman" w:hAnsi="Times New Roman"/>
                <w:sz w:val="24"/>
                <w:szCs w:val="24"/>
                <w:color w:val="auto"/>
                <w:vertAlign w:val="superscript"/>
              </w:rPr>
              <w:t>(2)</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63,534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55,041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43,834</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Interest and other expense </w:t>
            </w:r>
            <w:r>
              <w:rPr>
                <w:rFonts w:ascii="Times New Roman" w:cs="Times New Roman" w:eastAsia="Times New Roman" w:hAnsi="Times New Roman"/>
                <w:sz w:val="24"/>
                <w:szCs w:val="24"/>
                <w:color w:val="auto"/>
                <w:vertAlign w:val="superscript"/>
              </w:rPr>
              <w:t>(3)</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Plus: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tcPr>
          <w:p>
            <w:pPr>
              <w:spacing w:after="0"/>
              <w:rPr>
                <w:sz w:val="18"/>
                <w:szCs w:val="18"/>
                <w:color w:val="auto"/>
              </w:rPr>
            </w:pPr>
          </w:p>
        </w:tc>
      </w:tr>
      <w:tr>
        <w:trPr>
          <w:trHeight w:val="229"/>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(223,858 ) $</w:t>
            </w:r>
          </w:p>
        </w:tc>
        <w:tc>
          <w:tcPr>
            <w:tcW w:w="12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(146,962 ) $</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(154,808 )</w:t>
            </w:r>
          </w:p>
        </w:tc>
      </w:tr>
      <w:tr>
        <w:trPr>
          <w:trHeight w:val="20"/>
        </w:trPr>
        <w:tc>
          <w:tcPr>
            <w:tcW w:w="74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-25400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-25400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-8255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0" w:lineRule="exact"/>
        <w:rPr>
          <w:sz w:val="20"/>
          <w:szCs w:val="20"/>
          <w:color w:val="auto"/>
        </w:rPr>
      </w:pPr>
    </w:p>
    <w:p>
      <w:pPr>
        <w:ind w:firstLine="8"/>
        <w:spacing w:after="0" w:line="269" w:lineRule="auto"/>
        <w:tabs>
          <w:tab w:leader="none" w:pos="24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Research and development compensation and related personnel expense for the years ended December 31, 2024, 2023 and 2022 is inclusive of $27.8 million, $21.6 million, and $18.0 million of stock-based compensation expense, respectively.</w:t>
      </w:r>
    </w:p>
    <w:p>
      <w:pPr>
        <w:ind w:right="20" w:firstLine="8"/>
        <w:spacing w:after="0" w:line="264" w:lineRule="auto"/>
        <w:tabs>
          <w:tab w:leader="none" w:pos="229"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 for the years ended December 31, 2024, 2023 and 2022 is inclusive of $27.2 million, $21.6 million, and $17.5 million of stock-based compensation expense, respectively.</w:t>
      </w:r>
    </w:p>
    <w:p>
      <w:pPr>
        <w:ind w:left="240" w:hanging="232"/>
        <w:spacing w:after="0"/>
        <w:tabs>
          <w:tab w:leader="none" w:pos="24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expense for the year ended December 31, 2024 is inclusive of a $4.9 million impairment of long-lived assets.</w:t>
      </w:r>
    </w:p>
    <w:p>
      <w:pPr>
        <w:spacing w:after="0" w:line="2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was $7.4 million, $3.6 million and $3.0 million, respectively. Amortization expense related to right-of-use assets was $1.4 million, $1.5 million and $1.2 million the years ended December 31, 2024, 2023 and 2022 and is included in depreciation expense.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who serves as our principal executive officer, and our Chief Financial Officer, who serves as our principal financial officer, has evaluated the effectiveness of our disclosure controls and procedures as of December 31, 2024, the end of the period covered by this Annual Report on Form 10-K. Based upon such evaluation, our chief executive officer and chief financial officer have concluded that our disclosure controls and procedures were effective at the reasonable assurance level as of such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10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 company’s assets;</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1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principal executive officer and principal financial officer, our management assessed the effectiveness of our internal control over financial reporting as of December 31, 2024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2024.</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an attestation report of our internal control over financial reporting. This report appears below.</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4" w:name="page135"/>
    <w:bookmarkEnd w:id="134"/>
    <w:p>
      <w:pPr>
        <w:ind w:left="34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Kymera Therapeutics,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audited Kymera Therapeutics, Inc. internal control over financial reporting as of December 31, 2024, based on criteria established in Internal Control—Integrated Framework issued by the Committee of Sponsoring Organizations of the Treadway Commission (2013 framework) (the COSO criteria). In our opinion, Kymera Therapeutics, Inc (the Company) maintained, in all material respects, effective internal control over financial reporting as of December 31, 2024, based on the COSO criteria.</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and comprehensive loss, stockholders’ equity and cash flows for each of the three years in the period ended December 31, 2024, and the related notes and our report dated February 27, 2025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54"/>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twelve months ended December 31, 2024 that has materially affected, or is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discloses any officer (as defined in Rule 16a-1(f) under the Securities Exchange Act of 1934, as amended) or director who entered into, modified or terminated a Rule 10b5-1 trading arrangement or non-Rule 10b5-1 trading arrangement (as such terms are defined in Item 408 of Regulation S-K) during the three months ended December 31, 2024:</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900" w:type="dxa"/>
            <w:vAlign w:val="bottom"/>
            <w:tcBorders>
              <w:top w:val="single" w:sz="8" w:color="auto"/>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84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Type of Trading</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Action Taken (Date</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Duration or End</w:t>
            </w: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2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Description of Trading</w:t>
            </w:r>
          </w:p>
        </w:tc>
      </w:tr>
      <w:tr>
        <w:trPr>
          <w:trHeight w:val="265"/>
        </w:trPr>
        <w:tc>
          <w:tcPr>
            <w:tcW w:w="1900" w:type="dxa"/>
            <w:vAlign w:val="bottom"/>
            <w:tcBorders>
              <w:left w:val="single" w:sz="8" w:color="auto"/>
              <w:bottom w:val="single" w:sz="8" w:color="auto"/>
              <w:right w:val="single" w:sz="8" w:color="auto"/>
            </w:tcBorders>
          </w:tcPr>
          <w:p>
            <w:pPr>
              <w:spacing w:after="0"/>
              <w:rPr>
                <w:sz w:val="23"/>
                <w:szCs w:val="23"/>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Action)</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to be Sold</w:t>
            </w:r>
          </w:p>
        </w:tc>
        <w:tc>
          <w:tcPr>
            <w:tcW w:w="2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r>
      <w:tr>
        <w:trPr>
          <w:trHeight w:val="176"/>
        </w:trPr>
        <w:tc>
          <w:tcPr>
            <w:tcW w:w="190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Elena Ridloff</w:t>
            </w:r>
          </w:p>
        </w:tc>
        <w:tc>
          <w:tcPr>
            <w:tcW w:w="18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Trading plan intended to</w:t>
            </w:r>
          </w:p>
        </w:tc>
        <w:tc>
          <w:tcPr>
            <w:tcW w:w="16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Adoption</w:t>
            </w:r>
          </w:p>
        </w:tc>
        <w:tc>
          <w:tcPr>
            <w:tcW w:w="13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December 31,</w:t>
            </w:r>
          </w:p>
        </w:tc>
        <w:tc>
          <w:tcPr>
            <w:tcW w:w="21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16,500</w:t>
            </w:r>
          </w:p>
        </w:tc>
        <w:tc>
          <w:tcPr>
            <w:tcW w:w="23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Exercises of vested stock</w:t>
            </w:r>
          </w:p>
        </w:tc>
      </w:tr>
      <w:tr>
        <w:trPr>
          <w:trHeight w:val="218"/>
        </w:trPr>
        <w:tc>
          <w:tcPr>
            <w:tcW w:w="19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8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satisfy the affirmative</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(November 25, 2024)</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1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options and sales of shares of</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defense conditions of</w:t>
            </w: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our common stock pursuant to</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Securities Exchange Act</w:t>
            </w:r>
          </w:p>
        </w:tc>
        <w:tc>
          <w:tcPr>
            <w:tcW w:w="16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terms of the trading plan</w:t>
            </w:r>
          </w:p>
        </w:tc>
      </w:tr>
      <w:tr>
        <w:trPr>
          <w:trHeight w:val="234"/>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 10b5- 1(c)</w:t>
            </w:r>
          </w:p>
        </w:tc>
        <w:tc>
          <w:tcPr>
            <w:tcW w:w="16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2340" w:type="dxa"/>
            <w:vAlign w:val="bottom"/>
            <w:tcBorders>
              <w:bottom w:val="single" w:sz="8" w:color="auto"/>
              <w:right w:val="single" w:sz="8" w:color="auto"/>
            </w:tcBorders>
          </w:tcPr>
          <w:p>
            <w:pPr>
              <w:spacing w:after="0"/>
              <w:rPr>
                <w:sz w:val="20"/>
                <w:szCs w:val="20"/>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2025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(excluding the information under the heading “Pay Versus Performance”) will be included in our definitive proxy statement to be filed with the SEC with respect to our 2025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2025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2025 Annual Meeting of Stockholders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2025 Annual Meeting of Stockholders and is incorporated herein by reference.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19"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a list of the consolidated financial statements included herein, see Index to the Consolidated Financial Statements on page F-1 of this Annual Report on Form 10-K, which is incorporated into this Item by reference.</w:t>
      </w:r>
    </w:p>
    <w:p>
      <w:pPr>
        <w:spacing w:after="0" w:line="268"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20" w:type="dxa"/>
            <w:vAlign w:val="bottom"/>
            <w:gridSpan w:val="2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20" w:type="dxa"/>
            <w:vAlign w:val="bottom"/>
            <w:tcBorders>
              <w:bottom w:val="single" w:sz="8" w:color="auto"/>
            </w:tcBorders>
            <w:gridSpan w:val="2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Fourth Amended and Restated Certificate of Incorporation of Kymera Therapeutics, Inc. (Incorporated by reference to Exhibit 3.1 to the</w:t>
              </w:r>
            </w:hyperlink>
          </w:p>
        </w:tc>
        <w:tc>
          <w:tcPr>
            <w:tcW w:w="26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347">
              <w:r>
                <w:rPr>
                  <w:rFonts w:ascii="Times New Roman" w:cs="Times New Roman" w:eastAsia="Times New Roman" w:hAnsi="Times New Roman"/>
                  <w:sz w:val="18"/>
                  <w:szCs w:val="18"/>
                  <w:color w:val="0000FF"/>
                  <w:w w:val="99"/>
                </w:rPr>
                <w:t>Registrant’s Current Report on Form 8-K (File No, 001-39460) filed with the Securities and Exchange Commission on August 25, 2020).</w:t>
              </w:r>
            </w:hyperlink>
          </w:p>
        </w:tc>
        <w:tc>
          <w:tcPr>
            <w:tcW w:w="20" w:type="dxa"/>
            <w:vAlign w:val="bottom"/>
            <w:tcBorders>
              <w:bottom w:val="single" w:sz="8" w:color="0000EE"/>
            </w:tcBorders>
          </w:tcPr>
          <w:p>
            <w:pPr>
              <w:spacing w:after="0"/>
              <w:rPr>
                <w:sz w:val="17"/>
                <w:szCs w:val="17"/>
                <w:color w:val="auto"/>
              </w:rPr>
            </w:pPr>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Second Amended and Restated Bylaws of Kymera Therapeutics, Inc. (Incorporated by reference to Exhibit 3.2 to the Registrant’s Current</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48">
              <w:r>
                <w:rPr>
                  <w:rFonts w:ascii="Times New Roman" w:cs="Times New Roman" w:eastAsia="Times New Roman" w:hAnsi="Times New Roman"/>
                  <w:sz w:val="18"/>
                  <w:szCs w:val="18"/>
                  <w:color w:val="0000FF"/>
                  <w:w w:val="99"/>
                </w:rPr>
                <w:t>Report on Form 8-K (File No. 001-39460) filed with the Securities and Exchange Commission on August 25, 2020).</w:t>
              </w:r>
            </w:hyperlink>
          </w:p>
        </w:tc>
        <w:tc>
          <w:tcPr>
            <w:tcW w:w="20" w:type="dxa"/>
            <w:vAlign w:val="bottom"/>
            <w:tcBorders>
              <w:bottom w:val="single" w:sz="8" w:color="0000EE"/>
            </w:tcBorders>
          </w:tcPr>
          <w:p>
            <w:pPr>
              <w:spacing w:after="0"/>
              <w:rPr>
                <w:sz w:val="17"/>
                <w:szCs w:val="17"/>
                <w:color w:val="auto"/>
              </w:rPr>
            </w:pPr>
          </w:p>
        </w:tc>
        <w:tc>
          <w:tcPr>
            <w:tcW w:w="17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Specimen Common Stock Certificate (Incorporated by reference to Exhibit 4.1 to the Registrant’s Registration Statement on Form S-1/A</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8"/>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(File No. 333-240264) filed with the Securities and Exchange Commission on August 17, 2020).</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Second Amended and Restated Investors’ Rights Agreement among the Registrant and certain of its stockholders, effective as of March 11,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2020 (Incorporated by reference to Exhibit 4.2 to the Registrant’s Registration Statement on Form S-1 (File No. 333-240264) filed with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8"/>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Securities and Exchange Commission on July 31, 2020).</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3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4.3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Description of Securities (Incorporated by reference to Exhibit 4.3 to the Registrant’s Annual Report on Form 10-K (File No. 001-39460)</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8"/>
          </w:tcPr>
          <w:p>
            <w:pPr>
              <w:spacing w:after="0" w:line="19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filed with the Securities and Exchange Commission on March 11, 2021).</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4.4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352">
              <w:r>
                <w:rPr>
                  <w:rFonts w:ascii="Times New Roman" w:cs="Times New Roman" w:eastAsia="Times New Roman" w:hAnsi="Times New Roman"/>
                  <w:sz w:val="18"/>
                  <w:szCs w:val="18"/>
                  <w:color w:val="0000FF"/>
                  <w:w w:val="99"/>
                </w:rPr>
                <w:t>Form of Pre-Funded Warrant (Incorporated by reference to Exhibit 4.1 to the Registrant’s Current Report on Form 8-K (File No. 001-</w:t>
              </w:r>
            </w:hyperlink>
          </w:p>
        </w:tc>
        <w:tc>
          <w:tcPr>
            <w:tcW w:w="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8"/>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39460) filed with the Securities and Exchange Commission on August 19, 2022).</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EE"/>
            </w:tcBorders>
            <w:gridSpan w:val="2"/>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4.5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Form of Pre-Funded Warrant (Incorporated by reference to Exhibit 4.1 to the Registrant’s Current Report on Form 8-K filed with the</w:t>
              </w:r>
            </w:hyperlink>
          </w:p>
        </w:tc>
        <w:tc>
          <w:tcPr>
            <w:tcW w:w="5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53">
              <w:r>
                <w:rPr>
                  <w:rFonts w:ascii="Times New Roman" w:cs="Times New Roman" w:eastAsia="Times New Roman" w:hAnsi="Times New Roman"/>
                  <w:sz w:val="18"/>
                  <w:szCs w:val="18"/>
                  <w:color w:val="0000FF"/>
                  <w:w w:val="99"/>
                </w:rPr>
                <w:t>Securities and Exchange Commission on January 5, 2024).</w:t>
              </w:r>
            </w:hyperlink>
          </w:p>
        </w:tc>
        <w:tc>
          <w:tcPr>
            <w:tcW w:w="20" w:type="dxa"/>
            <w:vAlign w:val="bottom"/>
            <w:tcBorders>
              <w:bottom w:val="single" w:sz="8" w:color="0000EE"/>
            </w:tcBorders>
          </w:tcPr>
          <w:p>
            <w:pPr>
              <w:spacing w:after="0"/>
              <w:rPr>
                <w:sz w:val="17"/>
                <w:szCs w:val="17"/>
                <w:color w:val="auto"/>
              </w:rPr>
            </w:pPr>
          </w:p>
        </w:tc>
        <w:tc>
          <w:tcPr>
            <w:tcW w:w="58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7"/>
              </w:rPr>
              <w:t>4.6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Form of Pre-Funded Warrant (Incorporated by reference to Exhibit 4.1 to the Registrant’s Current Report on Form 8-K filed with the</w:t>
              </w:r>
            </w:hyperlink>
          </w:p>
        </w:tc>
        <w:tc>
          <w:tcPr>
            <w:tcW w:w="5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8"/>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Securities and Exchange Commission on August 20, 2024).</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tcBorders>
              <w:right w:val="single" w:sz="8" w:color="0000EE"/>
            </w:tcBorders>
            <w:gridSpan w:val="4"/>
            <w:shd w:val="clear" w:color="auto" w:fill="0000FF"/>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8"/>
              </w:rPr>
              <w:t>10.1#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2018 Stock Option and Grant Plan, and form of award agreements thereunder (Incorporated by reference to Exhibit 10.1 to the Registrant’s</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8"/>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Registration Statement on Form S-1 (File No. 333-240264) filed with the Securities and Exchange Commission on July 31, 2020).</w:t>
              </w:r>
            </w:hyperlink>
          </w:p>
        </w:tc>
        <w:tc>
          <w:tcPr>
            <w:tcW w:w="0" w:type="dxa"/>
            <w:vAlign w:val="bottom"/>
          </w:tcPr>
          <w:p>
            <w:pPr>
              <w:spacing w:after="0"/>
              <w:rPr>
                <w:sz w:val="1"/>
                <w:szCs w:val="1"/>
                <w:color w:val="auto"/>
              </w:rPr>
            </w:pPr>
          </w:p>
        </w:tc>
      </w:tr>
      <w:tr>
        <w:trPr>
          <w:trHeight w:val="277"/>
        </w:trPr>
        <w:tc>
          <w:tcPr>
            <w:tcW w:w="9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8"/>
              </w:rPr>
              <w:t>10.2#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8"/>
                <w:szCs w:val="18"/>
                <w:color w:val="0000FF"/>
                <w:w w:val="99"/>
              </w:rPr>
            </w:pPr>
            <w:hyperlink r:id="rId356">
              <w:r>
                <w:rPr>
                  <w:rFonts w:ascii="Times New Roman" w:cs="Times New Roman" w:eastAsia="Times New Roman" w:hAnsi="Times New Roman"/>
                  <w:sz w:val="18"/>
                  <w:szCs w:val="18"/>
                  <w:color w:val="0000FF"/>
                  <w:w w:val="99"/>
                </w:rPr>
                <w:t>2020 Stock Option and Incentive Plan, and form of award agreements thereunder (Incorporated by reference to Exhibit 10.2 to the</w:t>
              </w:r>
            </w:hyperlink>
          </w:p>
        </w:tc>
        <w:tc>
          <w:tcPr>
            <w:tcW w:w="40" w:type="dxa"/>
            <w:vAlign w:val="bottom"/>
            <w:tcBorders>
              <w:bottom w:val="single" w:sz="8" w:color="0000FF"/>
            </w:tcBorders>
          </w:tcPr>
          <w:p>
            <w:pPr>
              <w:spacing w:after="0"/>
              <w:rPr>
                <w:sz w:val="24"/>
                <w:szCs w:val="24"/>
                <w:color w:val="auto"/>
              </w:rPr>
            </w:pPr>
          </w:p>
        </w:tc>
        <w:tc>
          <w:tcPr>
            <w:tcW w:w="7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Registrant’s Registration Statement on Form S-1/A (File No. 333-240264) filed with the Securities and Exchange Commission on August</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920" w:type="dxa"/>
            <w:vAlign w:val="bottom"/>
            <w:gridSpan w:val="4"/>
          </w:tcPr>
          <w:p>
            <w:pPr>
              <w:ind w:left="180"/>
              <w:spacing w:after="0" w:line="196" w:lineRule="exact"/>
              <w:rPr>
                <w:rFonts w:ascii="Times New Roman" w:cs="Times New Roman" w:eastAsia="Times New Roman" w:hAnsi="Times New Roman"/>
                <w:sz w:val="18"/>
                <w:szCs w:val="18"/>
                <w:color w:val="0000FF"/>
                <w:w w:val="95"/>
              </w:rPr>
            </w:pPr>
            <w:hyperlink r:id="rId356">
              <w:r>
                <w:rPr>
                  <w:rFonts w:ascii="Times New Roman" w:cs="Times New Roman" w:eastAsia="Times New Roman" w:hAnsi="Times New Roman"/>
                  <w:sz w:val="18"/>
                  <w:szCs w:val="18"/>
                  <w:color w:val="0000FF"/>
                  <w:w w:val="95"/>
                </w:rPr>
                <w:t>17, 2020).</w:t>
              </w:r>
            </w:hyperlink>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670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8"/>
              </w:rPr>
              <w:t>10.3#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357">
              <w:r>
                <w:rPr>
                  <w:rFonts w:ascii="Times New Roman" w:cs="Times New Roman" w:eastAsia="Times New Roman" w:hAnsi="Times New Roman"/>
                  <w:sz w:val="18"/>
                  <w:szCs w:val="18"/>
                  <w:color w:val="0000FF"/>
                  <w:w w:val="99"/>
                </w:rPr>
                <w:t>Amendment No.1 to the 2020 Stock Option and Incentive Plan (Incorporated by reference to Exhibit 10.1 to the Registrant’s Current Report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8"/>
          </w:tcPr>
          <w:p>
            <w:pPr>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on Form 8-K (File No. 001-39460) filed with the Securities and Exchange Commission on June 20, 2024).</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960" w:type="dxa"/>
            <w:vAlign w:val="bottom"/>
            <w:gridSpan w:val="9"/>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8"/>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Amended and Restated Non-Employee Director Compensation Policy dated March 27, 2024 (Incorporated by reference to Exhibit 10.1 to</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the Registrant’s Quarterly Report on Form 10-Q (File No. 001-39460) filed with the Securities and Exchange Commission on May 2,</w:t>
              </w:r>
            </w:hyperlink>
          </w:p>
        </w:tc>
        <w:tc>
          <w:tcPr>
            <w:tcW w:w="4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660" w:type="dxa"/>
            <w:vAlign w:val="bottom"/>
            <w:gridSpan w:val="3"/>
          </w:tcPr>
          <w:p>
            <w:pPr>
              <w:ind w:left="180"/>
              <w:spacing w:after="0" w:line="196" w:lineRule="exact"/>
              <w:rPr>
                <w:rFonts w:ascii="Times New Roman" w:cs="Times New Roman" w:eastAsia="Times New Roman" w:hAnsi="Times New Roman"/>
                <w:sz w:val="18"/>
                <w:szCs w:val="18"/>
                <w:color w:val="0000FF"/>
                <w:w w:val="94"/>
              </w:rPr>
            </w:pPr>
            <w:hyperlink r:id="rId358">
              <w:r>
                <w:rPr>
                  <w:rFonts w:ascii="Times New Roman" w:cs="Times New Roman" w:eastAsia="Times New Roman" w:hAnsi="Times New Roman"/>
                  <w:sz w:val="18"/>
                  <w:szCs w:val="18"/>
                  <w:color w:val="0000FF"/>
                  <w:w w:val="94"/>
                </w:rPr>
                <w:t>2024).</w:t>
              </w:r>
            </w:hyperlink>
          </w:p>
        </w:tc>
        <w:tc>
          <w:tcPr>
            <w:tcW w:w="2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6960" w:type="dxa"/>
            <w:vAlign w:val="bottom"/>
            <w:gridSpan w:val="9"/>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96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8"/>
              </w:rPr>
              <w:t>10.5#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Senior Executive Cash Incentive Bonus Plan (Incorporated by reference to Exhibit 10.4 to the Registrant’s Registration Statement on Form</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59">
              <w:r>
                <w:rPr>
                  <w:rFonts w:ascii="Times New Roman" w:cs="Times New Roman" w:eastAsia="Times New Roman" w:hAnsi="Times New Roman"/>
                  <w:sz w:val="18"/>
                  <w:szCs w:val="18"/>
                  <w:color w:val="0000FF"/>
                  <w:w w:val="99"/>
                </w:rPr>
                <w:t>S-1/A (File No. 333-240264) filed with the Securities and Exchange Commission on August 13, 2020).</w:t>
              </w:r>
            </w:hyperlink>
          </w:p>
        </w:tc>
        <w:tc>
          <w:tcPr>
            <w:tcW w:w="26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8"/>
              </w:rPr>
              <w:t>10.6#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360">
              <w:r>
                <w:rPr>
                  <w:rFonts w:ascii="Times New Roman" w:cs="Times New Roman" w:eastAsia="Times New Roman" w:hAnsi="Times New Roman"/>
                  <w:sz w:val="18"/>
                  <w:szCs w:val="18"/>
                  <w:color w:val="0000FF"/>
                  <w:w w:val="99"/>
                </w:rPr>
                <w:t>Amended and Restated 2020 Employee Stock Purchase Plan (Incorporated by reference to Exhibit 10.1 to the Registrant’s Quarterly Report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60">
              <w:r>
                <w:rPr>
                  <w:rFonts w:ascii="Times New Roman" w:cs="Times New Roman" w:eastAsia="Times New Roman" w:hAnsi="Times New Roman"/>
                  <w:sz w:val="18"/>
                  <w:szCs w:val="18"/>
                  <w:color w:val="0000FF"/>
                  <w:w w:val="99"/>
                </w:rPr>
                <w:t>on Form 10-Q (File No. 001-39460) filed with the Securities and Exchange Commission on November 5, 2020).</w:t>
              </w:r>
            </w:hyperlink>
          </w:p>
        </w:tc>
        <w:tc>
          <w:tcPr>
            <w:tcW w:w="20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5440" w:type="dxa"/>
            <w:vAlign w:val="bottom"/>
            <w:gridSpan w:val="9"/>
          </w:tcPr>
          <w:p>
            <w:pPr>
              <w:jc w:val="right"/>
              <w:ind w:right="548"/>
              <w:spacing w:after="0"/>
              <w:rPr>
                <w:sz w:val="20"/>
                <w:szCs w:val="20"/>
                <w:color w:val="auto"/>
              </w:rPr>
            </w:pPr>
            <w:r>
              <w:rPr>
                <w:rFonts w:ascii="Times New Roman" w:cs="Times New Roman" w:eastAsia="Times New Roman" w:hAnsi="Times New Roman"/>
                <w:sz w:val="18"/>
                <w:szCs w:val="18"/>
                <w:color w:val="auto"/>
              </w:rPr>
              <w:t>136</w:t>
            </w: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8" w:name="page139"/>
    <w:bookmarkEnd w:id="138"/>
    <w:tbl>
      <w:tblPr>
        <w:tblLayout w:type="fixed"/>
        <w:tblInd w:w="12"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9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Form of Indemnification Agreement between the Registrant and each of its directors and executive officers (Incorporated by reference to</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6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Exhibit 10.6 to the Registrant’s Registration Statement on Form S-1/A (File No. 333-240264) filed with the Securities and Exchange</w:t>
              </w:r>
            </w:hyperlink>
          </w:p>
        </w:tc>
        <w:tc>
          <w:tcPr>
            <w:tcW w:w="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4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63">
              <w:r>
                <w:rPr>
                  <w:rFonts w:ascii="Times New Roman" w:cs="Times New Roman" w:eastAsia="Times New Roman" w:hAnsi="Times New Roman"/>
                  <w:sz w:val="18"/>
                  <w:szCs w:val="18"/>
                  <w:color w:val="0000FF"/>
                  <w:w w:val="99"/>
                </w:rPr>
                <w:t>Commission on August 17, 2020).</w:t>
              </w:r>
            </w:hyperlink>
          </w:p>
        </w:tc>
        <w:tc>
          <w:tcPr>
            <w:tcW w:w="20" w:type="dxa"/>
            <w:vAlign w:val="bottom"/>
            <w:tcBorders>
              <w:bottom w:val="single" w:sz="8" w:color="0000EE"/>
            </w:tcBorders>
          </w:tcPr>
          <w:p>
            <w:pPr>
              <w:spacing w:after="0"/>
              <w:rPr>
                <w:sz w:val="17"/>
                <w:szCs w:val="17"/>
                <w:color w:val="auto"/>
              </w:rPr>
            </w:pPr>
          </w:p>
        </w:tc>
        <w:tc>
          <w:tcPr>
            <w:tcW w:w="76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94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Lease between the Registrant and Arsenal Yards Holding LLC, dated as of August 15, 2019 (Incorporated by reference to Exhibit 10.8 to</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0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the Registrant’s Registration Statement on Form S-1 (File No. 333-240264) filed with the Securities and Exchange Commission on July 31,</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364">
              <w:r>
                <w:rPr>
                  <w:rFonts w:ascii="Times New Roman" w:cs="Times New Roman" w:eastAsia="Times New Roman" w:hAnsi="Times New Roman"/>
                  <w:sz w:val="18"/>
                  <w:szCs w:val="18"/>
                  <w:color w:val="0000FF"/>
                  <w:w w:val="94"/>
                </w:rPr>
                <w:t>2020).</w:t>
              </w:r>
            </w:hyperlink>
          </w:p>
        </w:tc>
        <w:tc>
          <w:tcPr>
            <w:tcW w:w="20" w:type="dxa"/>
            <w:vAlign w:val="bottom"/>
            <w:tcBorders>
              <w:bottom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5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Form of Amended and Restated Employment Agreement (Incorporated by reference to Exhibit 10.9 to the Registrant’s Registration</w:t>
              </w:r>
            </w:hyperlink>
          </w:p>
        </w:tc>
        <w:tc>
          <w:tcPr>
            <w:tcW w:w="5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00" w:type="dxa"/>
            <w:vAlign w:val="bottom"/>
            <w:gridSpan w:val="39"/>
          </w:tcPr>
          <w:p>
            <w:pPr>
              <w:spacing w:after="0" w:line="196"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Statement on Form S-1/A (File No. 333-240264) filed with the Securities and Exchange Commission on August 13, 2020).</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7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08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Amended and Restated Collaboration and License Agreement between the Registrant and Genzyme Corporation, dated as of November 15,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4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2022. (Incorporated by reference to Exhibit 10.10 to Registrant’s Annual Report on Form 10-K (File No. 001-39460) filed with the</w:t>
              </w:r>
            </w:hyperlink>
          </w:p>
        </w:tc>
        <w:tc>
          <w:tcPr>
            <w:tcW w:w="6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4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Securities and Exchange Commission on February 23, 2023).</w:t>
              </w:r>
            </w:hyperlink>
          </w:p>
        </w:tc>
        <w:tc>
          <w:tcPr>
            <w:tcW w:w="56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00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Lease between the Registrant and ARE-MA REGION NO. 75, LLC dated as of December 20, 2021. (Incorporated by reference to Exhibit</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00" w:type="dxa"/>
            <w:vAlign w:val="bottom"/>
            <w:gridSpan w:val="39"/>
          </w:tcPr>
          <w:p>
            <w:pPr>
              <w:spacing w:after="0" w:line="196"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13</w:t>
              </w:r>
              <w:r>
                <w:rPr>
                  <w:rFonts w:ascii="Times New Roman" w:cs="Times New Roman" w:eastAsia="Times New Roman" w:hAnsi="Times New Roman"/>
                  <w:sz w:val="18"/>
                  <w:szCs w:val="18"/>
                  <w:color w:val="0000FF"/>
                </w:rPr>
                <w:t xml:space="preserve"> to Registrant’s Annual Report on Form 10-K (File No. 001-39460) filed with the Securities and Exchange Commission on February</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0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22, 2024).</w:t>
              </w:r>
            </w:hyperlink>
          </w:p>
        </w:tc>
        <w:tc>
          <w:tcPr>
            <w:tcW w:w="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7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5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Securities Purchase Agreement, dated August 18, 2022, by and among the Registrant and the persons party thereto (Incorporated by</w:t>
              </w:r>
            </w:hyperlink>
          </w:p>
        </w:tc>
        <w:tc>
          <w:tcPr>
            <w:tcW w:w="5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0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reference to Exhibit 10.1 to the Registrant’s Current Report on form 8-K filed with the Securities and Exchange Commission on August 19,</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368">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5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Registration Rights Agreement, dated August 18, 2022, by and among the Registrant and the persons party thereto (Incorporated by</w:t>
              </w:r>
            </w:hyperlink>
          </w:p>
        </w:tc>
        <w:tc>
          <w:tcPr>
            <w:tcW w:w="5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7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reference to Exhibit 10.2 to the Registrant’s Current Report on Form 8-K (File No. 001-39460) filed with the Securities and Exchange</w:t>
              </w:r>
            </w:hyperlink>
          </w:p>
        </w:tc>
        <w:tc>
          <w:tcPr>
            <w:tcW w:w="4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48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69">
              <w:r>
                <w:rPr>
                  <w:rFonts w:ascii="Times New Roman" w:cs="Times New Roman" w:eastAsia="Times New Roman" w:hAnsi="Times New Roman"/>
                  <w:sz w:val="18"/>
                  <w:szCs w:val="18"/>
                  <w:color w:val="0000FF"/>
                  <w:w w:val="99"/>
                </w:rPr>
                <w:t>Commission on August 19, 2022).</w:t>
              </w:r>
            </w:hyperlink>
          </w:p>
        </w:tc>
        <w:tc>
          <w:tcPr>
            <w:tcW w:w="20" w:type="dxa"/>
            <w:vAlign w:val="bottom"/>
            <w:tcBorders>
              <w:bottom w:val="single" w:sz="8" w:color="0000EE"/>
            </w:tcBorders>
          </w:tcPr>
          <w:p>
            <w:pPr>
              <w:spacing w:after="0"/>
              <w:rPr>
                <w:sz w:val="17"/>
                <w:szCs w:val="17"/>
                <w:color w:val="auto"/>
              </w:rPr>
            </w:pPr>
          </w:p>
        </w:tc>
        <w:tc>
          <w:tcPr>
            <w:tcW w:w="76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8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Letter between the Registrant and Genzyme Corporation, dated as of November 14, 2023. (Incorporated by reference to Exhibit 10.16 to</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6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w w:val="99"/>
              </w:rPr>
            </w:pPr>
            <w:hyperlink r:id="rId370">
              <w:r>
                <w:rPr>
                  <w:rFonts w:ascii="Times New Roman" w:cs="Times New Roman" w:eastAsia="Times New Roman" w:hAnsi="Times New Roman"/>
                  <w:sz w:val="18"/>
                  <w:szCs w:val="18"/>
                  <w:color w:val="0000FF"/>
                  <w:w w:val="99"/>
                </w:rPr>
                <w:t>Registrant’s Annual Report on Form 10-K (File No. 001-39460) filed with the Securities and Exchange Commission on February 22, 2024)</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5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Letter between the Registrant and Genzyme Corporation, dated as of July 31, 2024 (Incorporated by reference to Exhibit 10.1 to the</w:t>
              </w:r>
            </w:hyperlink>
          </w:p>
        </w:tc>
        <w:tc>
          <w:tcPr>
            <w:tcW w:w="5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100" w:type="dxa"/>
            <w:vAlign w:val="bottom"/>
            <w:gridSpan w:val="39"/>
          </w:tcPr>
          <w:p>
            <w:pPr>
              <w:spacing w:after="0" w:line="196"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Registrant’s Quarterly Report on Form 10-Q (File No. 001-39460) filed with the Securities and Exchange Commission on October 31,</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80" w:type="dxa"/>
            <w:vAlign w:val="bottom"/>
            <w:tcBorders>
              <w:top w:val="single" w:sz="8" w:color="0000FF"/>
              <w:bottom w:val="single" w:sz="8" w:color="0000EE"/>
            </w:tcBorders>
            <w:gridSpan w:val="2"/>
          </w:tcPr>
          <w:p>
            <w:pPr>
              <w:spacing w:after="0" w:line="196" w:lineRule="exact"/>
              <w:rPr>
                <w:rFonts w:ascii="Times New Roman" w:cs="Times New Roman" w:eastAsia="Times New Roman" w:hAnsi="Times New Roman"/>
                <w:sz w:val="18"/>
                <w:szCs w:val="18"/>
                <w:color w:val="0000FF"/>
                <w:w w:val="98"/>
              </w:rPr>
            </w:pPr>
            <w:hyperlink r:id="rId371">
              <w:r>
                <w:rPr>
                  <w:rFonts w:ascii="Times New Roman" w:cs="Times New Roman" w:eastAsia="Times New Roman" w:hAnsi="Times New Roman"/>
                  <w:sz w:val="18"/>
                  <w:szCs w:val="18"/>
                  <w:color w:val="0000FF"/>
                  <w:w w:val="98"/>
                </w:rPr>
                <w:t>2024).</w:t>
              </w:r>
            </w:hyperlink>
          </w:p>
        </w:tc>
        <w:tc>
          <w:tcPr>
            <w:tcW w:w="20" w:type="dxa"/>
            <w:vAlign w:val="bottom"/>
            <w:tcBorders>
              <w:top w:val="single" w:sz="8" w:color="0000FF"/>
              <w:bottom w:val="single" w:sz="8" w:color="0000EE"/>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7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10.16</w:t>
            </w:r>
          </w:p>
        </w:tc>
        <w:tc>
          <w:tcPr>
            <w:tcW w:w="2140" w:type="dxa"/>
            <w:vAlign w:val="bottom"/>
            <w:gridSpan w:val="8"/>
            <w:vMerge w:val="restart"/>
          </w:tcPr>
          <w:p>
            <w:pPr>
              <w:spacing w:after="0"/>
              <w:rPr>
                <w:rFonts w:ascii="Times New Roman" w:cs="Times New Roman" w:eastAsia="Times New Roman" w:hAnsi="Times New Roman"/>
                <w:sz w:val="18"/>
                <w:szCs w:val="18"/>
                <w:color w:val="0000FF"/>
                <w:w w:val="98"/>
              </w:rPr>
            </w:pPr>
            <w:hyperlink r:id="rId372">
              <w:r>
                <w:rPr>
                  <w:rFonts w:ascii="Times New Roman" w:cs="Times New Roman" w:eastAsia="Times New Roman" w:hAnsi="Times New Roman"/>
                  <w:sz w:val="18"/>
                  <w:szCs w:val="18"/>
                  <w:color w:val="0000FF"/>
                  <w:w w:val="98"/>
                </w:rPr>
                <w:t>Open Market Sale Agreement</w:t>
              </w:r>
            </w:hyperlink>
          </w:p>
        </w:tc>
        <w:tc>
          <w:tcPr>
            <w:tcW w:w="180" w:type="dxa"/>
            <w:vAlign w:val="bottom"/>
            <w:tcBorders>
              <w:bottom w:val="single" w:sz="8" w:color="0000FF"/>
            </w:tcBorders>
            <w:gridSpan w:val="2"/>
          </w:tcPr>
          <w:p>
            <w:pPr>
              <w:spacing w:after="0"/>
              <w:rPr>
                <w:rFonts w:ascii="Times New Roman" w:cs="Times New Roman" w:eastAsia="Times New Roman" w:hAnsi="Times New Roman"/>
                <w:sz w:val="12"/>
                <w:szCs w:val="12"/>
                <w:color w:val="0000FF"/>
                <w:w w:val="91"/>
              </w:rPr>
            </w:pPr>
            <w:hyperlink r:id="rId372">
              <w:r>
                <w:rPr>
                  <w:rFonts w:ascii="Times New Roman" w:cs="Times New Roman" w:eastAsia="Times New Roman" w:hAnsi="Times New Roman"/>
                  <w:sz w:val="12"/>
                  <w:szCs w:val="12"/>
                  <w:color w:val="0000FF"/>
                  <w:w w:val="91"/>
                </w:rPr>
                <w:t>SM</w:t>
              </w:r>
            </w:hyperlink>
          </w:p>
        </w:tc>
        <w:tc>
          <w:tcPr>
            <w:tcW w:w="7580" w:type="dxa"/>
            <w:vAlign w:val="bottom"/>
            <w:gridSpan w:val="22"/>
            <w:vMerge w:val="restart"/>
          </w:tcPr>
          <w:p>
            <w:pPr>
              <w:spacing w:after="0"/>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 by and between the Registrant and Jefferies LLC, dated October 31, 2024 (Incorporated by reference to</w:t>
              </w:r>
            </w:hyperlink>
          </w:p>
        </w:tc>
        <w:tc>
          <w:tcPr>
            <w:tcW w:w="200" w:type="dxa"/>
            <w:vAlign w:val="bottom"/>
            <w:gridSpan w:val="7"/>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100" w:type="dxa"/>
            <w:vAlign w:val="bottom"/>
            <w:vMerge w:val="continue"/>
          </w:tcPr>
          <w:p>
            <w:pPr>
              <w:spacing w:after="0"/>
              <w:rPr>
                <w:sz w:val="5"/>
                <w:szCs w:val="5"/>
                <w:color w:val="auto"/>
              </w:rPr>
            </w:pPr>
          </w:p>
        </w:tc>
        <w:tc>
          <w:tcPr>
            <w:tcW w:w="2140" w:type="dxa"/>
            <w:vAlign w:val="bottom"/>
            <w:tcBorders>
              <w:bottom w:val="single" w:sz="8" w:color="0000FF"/>
            </w:tcBorders>
            <w:gridSpan w:val="8"/>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7580" w:type="dxa"/>
            <w:vAlign w:val="bottom"/>
            <w:tcBorders>
              <w:bottom w:val="single" w:sz="8" w:color="0000FF"/>
            </w:tcBorders>
            <w:gridSpan w:val="22"/>
            <w:vMerge w:val="continue"/>
          </w:tcPr>
          <w:p>
            <w:pPr>
              <w:spacing w:after="0"/>
              <w:rPr>
                <w:sz w:val="5"/>
                <w:szCs w:val="5"/>
                <w:color w:val="auto"/>
              </w:rPr>
            </w:pPr>
          </w:p>
        </w:tc>
        <w:tc>
          <w:tcPr>
            <w:tcW w:w="20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9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Exhibit 10.2 to the Registrant’s Quarterly Report on Form 10-Q (File No. 001-39460) filed with the Securities and Exchange Commission</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6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on October 31, 2024).</w:t>
              </w:r>
            </w:hyperlink>
          </w:p>
        </w:tc>
        <w:tc>
          <w:tcPr>
            <w:tcW w:w="848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19.1</w:t>
            </w:r>
            <w:r>
              <w:rPr>
                <w:rFonts w:ascii="Times New Roman" w:cs="Times New Roman" w:eastAsia="Times New Roman" w:hAnsi="Times New Roman"/>
                <w:sz w:val="24"/>
                <w:szCs w:val="24"/>
                <w:color w:val="auto"/>
                <w:vertAlign w:val="superscript"/>
              </w:rPr>
              <w:t>+</w:t>
            </w:r>
          </w:p>
        </w:tc>
        <w:tc>
          <w:tcPr>
            <w:tcW w:w="101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Amended and Restated Insider Trading Policy</w:t>
            </w: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4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List of Subsidiaries of Registrant.</w:t>
            </w:r>
          </w:p>
        </w:tc>
        <w:tc>
          <w:tcPr>
            <w:tcW w:w="20" w:type="dxa"/>
            <w:vAlign w:val="bottom"/>
            <w:tcBorders>
              <w:top w:val="single" w:sz="8" w:color="0000FF"/>
              <w:bottom w:val="single" w:sz="8" w:color="0000EE"/>
            </w:tcBorders>
          </w:tcPr>
          <w:p>
            <w:pPr>
              <w:spacing w:after="0"/>
              <w:rPr>
                <w:sz w:val="24"/>
                <w:szCs w:val="24"/>
                <w:color w:val="auto"/>
              </w:rPr>
            </w:pPr>
          </w:p>
        </w:tc>
        <w:tc>
          <w:tcPr>
            <w:tcW w:w="880" w:type="dxa"/>
            <w:vAlign w:val="bottom"/>
            <w:tcBorders>
              <w:top w:val="single" w:sz="8" w:color="0000FF"/>
            </w:tcBorders>
            <w:gridSpan w:val="3"/>
          </w:tcPr>
          <w:p>
            <w:pPr>
              <w:spacing w:after="0"/>
              <w:rPr>
                <w:sz w:val="24"/>
                <w:szCs w:val="24"/>
                <w:color w:val="auto"/>
              </w:rPr>
            </w:pPr>
          </w:p>
        </w:tc>
        <w:tc>
          <w:tcPr>
            <w:tcW w:w="678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11"/>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1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signature page to this Annual Report on Form 10-K).</w:t>
            </w:r>
          </w:p>
        </w:tc>
        <w:tc>
          <w:tcPr>
            <w:tcW w:w="39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9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6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9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4"/>
                <w:szCs w:val="24"/>
                <w:color w:val="auto"/>
                <w:vertAlign w:val="superscript"/>
              </w:rPr>
              <w:t>+</w:t>
            </w:r>
          </w:p>
        </w:tc>
        <w:tc>
          <w:tcPr>
            <w:tcW w:w="1008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18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4"/>
                <w:szCs w:val="24"/>
                <w:color w:val="auto"/>
                <w:vertAlign w:val="superscript"/>
              </w:rPr>
              <w:t>+</w:t>
            </w:r>
          </w:p>
        </w:tc>
        <w:tc>
          <w:tcPr>
            <w:tcW w:w="10040" w:type="dxa"/>
            <w:vAlign w:val="bottom"/>
            <w:tcBorders>
              <w:bottom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18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1010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w w:val="99"/>
              </w:rPr>
            </w:pPr>
            <w:hyperlink r:id="rId373">
              <w:r>
                <w:rPr>
                  <w:rFonts w:ascii="Times New Roman" w:cs="Times New Roman" w:eastAsia="Times New Roman" w:hAnsi="Times New Roman"/>
                  <w:sz w:val="18"/>
                  <w:szCs w:val="18"/>
                  <w:color w:val="0000FF"/>
                  <w:w w:val="99"/>
                </w:rPr>
                <w:t>Compensation Recovery Policy (Incorporated by reference to Exhibit 97 to Registrant’s Annual Report on Form 10-K (File No. 001-39460)</w:t>
              </w:r>
            </w:hyperlink>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5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filed with the Securities and Exchange Commission on February 22, 2024).</w:t>
              </w:r>
            </w:hyperlink>
          </w:p>
        </w:tc>
        <w:tc>
          <w:tcPr>
            <w:tcW w:w="45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1112" w:hanging="1099"/>
        <w:spacing w:after="0"/>
        <w:tabs>
          <w:tab w:leader="none" w:pos="111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333" w:lineRule="exact"/>
        <w:rPr>
          <w:rFonts w:ascii="Times New Roman" w:cs="Times New Roman" w:eastAsia="Times New Roman" w:hAnsi="Times New Roman"/>
          <w:sz w:val="18"/>
          <w:szCs w:val="18"/>
          <w:color w:val="auto"/>
        </w:rPr>
      </w:pPr>
    </w:p>
    <w:p>
      <w:pPr>
        <w:ind w:left="-8" w:firstLine="8"/>
        <w:spacing w:after="0" w:line="234" w:lineRule="auto"/>
        <w:tabs>
          <w:tab w:leader="none" w:pos="90"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This certification will not be deemed “filed” for purposes of Section 18 of the Securities Exchange Act of 1934, as amended, or otherwise subject to the liability of that section. Such certification will not be deemed to be incorporated by reference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-315595</wp:posOffset>
            </wp:positionV>
            <wp:extent cx="190309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7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80"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t>any filing under the Securities Act of 1933, as amended, except to the extent specifically incorporated by reference into such filing.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any compensatory plan, contract or arrangement.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Portions of this exhibit (indicated by asterisks) were omitted in accordance with the rules of the Securities and Exchange Commission.</w:t>
      </w:r>
    </w:p>
    <w:p>
      <w:pPr>
        <w:spacing w:after="0" w:line="333"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All schedules to the consolidated financial statements are omitted as the required information is either inapplicable or presented in the consolidated financial statements.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134" w:right="117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40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Kymera Therapeutics, Inc.</w:t>
            </w:r>
          </w:p>
        </w:tc>
        <w:tc>
          <w:tcPr>
            <w:tcW w:w="3420" w:type="dxa"/>
            <w:vAlign w:val="bottom"/>
          </w:tcPr>
          <w:p>
            <w:pPr>
              <w:spacing w:after="0"/>
              <w:rPr>
                <w:sz w:val="20"/>
                <w:szCs w:val="20"/>
                <w:color w:val="auto"/>
              </w:rPr>
            </w:pP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40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/s/ Nello Mainolfi, Ph.D.</w:t>
            </w:r>
          </w:p>
        </w:tc>
      </w:tr>
      <w:tr>
        <w:trPr>
          <w:trHeight w:val="211"/>
        </w:trPr>
        <w:tc>
          <w:tcPr>
            <w:tcW w:w="37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420" w:type="dxa"/>
            <w:vAlign w:val="bottom"/>
            <w:tcBorders>
              <w:top w:val="single" w:sz="8" w:color="auto"/>
            </w:tcBorders>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9"/>
              </w:rPr>
              <w:t>Nello Mainolfi, Ph.D</w:t>
            </w:r>
            <w:r>
              <w:rPr>
                <w:rFonts w:ascii="Times New Roman" w:cs="Times New Roman" w:eastAsia="Times New Roman" w:hAnsi="Times New Roman"/>
                <w:sz w:val="18"/>
                <w:szCs w:val="18"/>
                <w:color w:val="auto"/>
                <w:w w:val="99"/>
              </w:rPr>
              <w:t>.</w:t>
            </w:r>
          </w:p>
        </w:tc>
      </w:tr>
    </w:tbl>
    <w:p>
      <w:pPr>
        <w:ind w:left="73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4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constitutes and appoints Nello Mainolfi, Ph.D. and Bruce Jacobs, CFA, MBA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5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89" w:right="339" w:bottom="1440" w:gutter="0" w:footer="0" w:header="0"/>
        </w:sectPr>
      </w:pP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48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291"/>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Nello Mainolfi, Ph.D.</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Nello Mainolfi, Ph.D.</w:t>
            </w:r>
          </w:p>
        </w:tc>
        <w:tc>
          <w:tcPr>
            <w:tcW w:w="120" w:type="dxa"/>
            <w:vAlign w:val="bottom"/>
          </w:tcPr>
          <w:p>
            <w:pPr>
              <w:spacing w:after="0"/>
              <w:rPr>
                <w:sz w:val="19"/>
                <w:szCs w:val="19"/>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9"/>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Bruce Jacobs, CFA, MBA</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Jacobs, CFA, MBA</w:t>
            </w:r>
          </w:p>
        </w:tc>
        <w:tc>
          <w:tcPr>
            <w:tcW w:w="120" w:type="dxa"/>
            <w:vAlign w:val="bottom"/>
          </w:tcPr>
          <w:p>
            <w:pPr>
              <w:spacing w:after="0"/>
              <w:rPr>
                <w:sz w:val="19"/>
                <w:szCs w:val="19"/>
                <w:color w:val="auto"/>
              </w:rPr>
            </w:pPr>
          </w:p>
        </w:tc>
        <w:tc>
          <w:tcPr>
            <w:tcW w:w="4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79"/>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Bruce Booth, DPhil</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Booth, DPhil</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Felix Baker, PhD</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Felix Baker, PhD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 Albers, MBA</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 Albers, MBA</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Pamela Esposito, PhD</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Pamela Esposito, PhD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Gorjan Hrustanovic, PhD</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Gorjan Hrustanovic, PhD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M. Maraganore, PhD</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M. Maraganore, PhD</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Leigh Morgan</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Leigh Morgan</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Elena, Ridloff, CFA</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Elena Ridloff, CFA</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r>
      <w:tr>
        <w:trPr>
          <w:trHeight w:val="279"/>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Victor Sandor</w:t>
            </w:r>
          </w:p>
        </w:tc>
        <w:tc>
          <w:tcPr>
            <w:tcW w:w="120" w:type="dxa"/>
            <w:vAlign w:val="bottom"/>
          </w:tcPr>
          <w:p>
            <w:pPr>
              <w:spacing w:after="0"/>
              <w:rPr>
                <w:sz w:val="24"/>
                <w:szCs w:val="24"/>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 Sandor</w:t>
            </w:r>
          </w:p>
        </w:tc>
        <w:tc>
          <w:tcPr>
            <w:tcW w:w="120" w:type="dxa"/>
            <w:vAlign w:val="bottom"/>
          </w:tcPr>
          <w:p>
            <w:pPr>
              <w:spacing w:after="0"/>
              <w:rPr>
                <w:sz w:val="19"/>
                <w:szCs w:val="19"/>
                <w:color w:val="auto"/>
              </w:rPr>
            </w:pPr>
          </w:p>
        </w:tc>
        <w:tc>
          <w:tcPr>
            <w:tcW w:w="48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wp:posOffset>
            </wp:positionV>
            <wp:extent cx="15341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461" w:lineRule="exact"/>
        <w:rPr>
          <w:sz w:val="20"/>
          <w:szCs w:val="20"/>
          <w:color w:val="auto"/>
        </w:rPr>
      </w:pPr>
    </w:p>
    <w:p>
      <w:pPr>
        <w:sectPr>
          <w:pgSz w:w="11900" w:h="16838" w:orient="portrait"/>
          <w:cols w:equalWidth="0" w:num="2">
            <w:col w:w="8720" w:space="120"/>
            <w:col w:w="2400"/>
          </w:cols>
          <w:pgMar w:left="320" w:top="1089" w:right="339" w:bottom="1440" w:gutter="0" w:footer="0" w:header="0"/>
          <w:type w:val="continuous"/>
        </w:sectPr>
      </w:pP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45"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22"/>
          <w:szCs w:val="22"/>
          <w:b w:val="1"/>
          <w:bCs w:val="1"/>
          <w:color w:val="auto"/>
        </w:rPr>
        <w:t>AMENDED AND RESTATED INSIDER TRADING POLICY</w:t>
      </w:r>
    </w:p>
    <w:p>
      <w:pPr>
        <w:spacing w:after="0" w:line="200" w:lineRule="exact"/>
        <w:rPr>
          <w:sz w:val="20"/>
          <w:szCs w:val="20"/>
          <w:color w:val="auto"/>
        </w:rPr>
      </w:pPr>
    </w:p>
    <w:p>
      <w:pPr>
        <w:spacing w:after="0" w:line="253" w:lineRule="exact"/>
        <w:rPr>
          <w:sz w:val="20"/>
          <w:szCs w:val="20"/>
          <w:color w:val="auto"/>
        </w:rPr>
      </w:pPr>
    </w:p>
    <w:p>
      <w:pPr>
        <w:ind w:left="8" w:right="220" w:firstLine="749"/>
        <w:spacing w:after="0" w:line="236" w:lineRule="auto"/>
        <w:rPr>
          <w:sz w:val="20"/>
          <w:szCs w:val="20"/>
          <w:color w:val="auto"/>
        </w:rPr>
      </w:pPr>
      <w:r>
        <w:rPr>
          <w:rFonts w:ascii="Times New Roman" w:cs="Times New Roman" w:eastAsia="Times New Roman" w:hAnsi="Times New Roman"/>
          <w:sz w:val="22"/>
          <w:szCs w:val="22"/>
          <w:color w:val="auto"/>
        </w:rPr>
        <w:t xml:space="preserve">This memorandum sets forth the policy of Kymera Therapeutics, Inc. and its subsidiaries (collectively, the “Company”) regarding trading in the Company’s securities as described below and the disclosure of information concerning the Company. This Insider Trading Policy (the “Policy”) is designed to prevent insider trading or the appearance of impropriety, to satisfy the Company’s obligation to reasonably supervise the activities of Company personnel, and to help Company personnel avoid the severe consequences associated with violations of insider trading laws. </w:t>
      </w:r>
      <w:r>
        <w:rPr>
          <w:rFonts w:ascii="Times New Roman" w:cs="Times New Roman" w:eastAsia="Times New Roman" w:hAnsi="Times New Roman"/>
          <w:sz w:val="22"/>
          <w:szCs w:val="22"/>
          <w:b w:val="1"/>
          <w:bCs w:val="1"/>
          <w:color w:val="auto"/>
        </w:rPr>
        <w:t>It is your obligation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to understand and comply with this Insider Trading Policy.</w:t>
      </w:r>
    </w:p>
    <w:p>
      <w:pPr>
        <w:spacing w:after="0" w:line="2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auto"/>
        </w:rPr>
        <w:t>PART I. OVERVIEW</w:t>
      </w:r>
    </w:p>
    <w:p>
      <w:pPr>
        <w:spacing w:after="0" w:line="312" w:lineRule="exact"/>
        <w:rPr>
          <w:sz w:val="20"/>
          <w:szCs w:val="20"/>
          <w:color w:val="auto"/>
        </w:rPr>
      </w:pPr>
    </w:p>
    <w:p>
      <w:pPr>
        <w:ind w:left="748" w:hanging="748"/>
        <w:spacing w:after="0"/>
        <w:tabs>
          <w:tab w:leader="none" w:pos="748" w:val="left"/>
        </w:tabs>
        <w:numPr>
          <w:ilvl w:val="0"/>
          <w:numId w:val="5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To Whom does this Insider Trading Policy Apply?</w:t>
      </w:r>
    </w:p>
    <w:p>
      <w:pPr>
        <w:spacing w:after="0" w:line="212" w:lineRule="exact"/>
        <w:rPr>
          <w:sz w:val="20"/>
          <w:szCs w:val="20"/>
          <w:color w:val="auto"/>
        </w:rPr>
      </w:pPr>
    </w:p>
    <w:p>
      <w:pPr>
        <w:ind w:left="8" w:right="300" w:firstLine="749"/>
        <w:spacing w:after="0" w:line="249" w:lineRule="auto"/>
        <w:rPr>
          <w:sz w:val="20"/>
          <w:szCs w:val="20"/>
          <w:color w:val="auto"/>
        </w:rPr>
      </w:pPr>
      <w:r>
        <w:rPr>
          <w:rFonts w:ascii="Times New Roman" w:cs="Times New Roman" w:eastAsia="Times New Roman" w:hAnsi="Times New Roman"/>
          <w:sz w:val="21"/>
          <w:szCs w:val="21"/>
          <w:color w:val="auto"/>
        </w:rPr>
        <w:t>This Policy is applicable to the Company’s directors, officers, employees, and designated advisors and consultants and contractors and applies to any and all transactions by such persons and their affiliates (as defined below) in the Company’s securities, including its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spacing w:after="0" w:line="171" w:lineRule="exact"/>
        <w:rPr>
          <w:sz w:val="20"/>
          <w:szCs w:val="20"/>
          <w:color w:val="auto"/>
        </w:rPr>
      </w:pPr>
    </w:p>
    <w:p>
      <w:pPr>
        <w:ind w:left="8" w:right="340" w:firstLine="749"/>
        <w:spacing w:after="0" w:line="235" w:lineRule="auto"/>
        <w:rPr>
          <w:sz w:val="20"/>
          <w:szCs w:val="20"/>
          <w:color w:val="auto"/>
        </w:rPr>
      </w:pPr>
      <w:r>
        <w:rPr>
          <w:rFonts w:ascii="Times New Roman" w:cs="Times New Roman" w:eastAsia="Times New Roman" w:hAnsi="Times New Roman"/>
          <w:sz w:val="22"/>
          <w:szCs w:val="22"/>
          <w:color w:val="auto"/>
        </w:rPr>
        <w:t>In addition, all directors, all executive officers (as defined by Section 16 of Securities Exchange Act of 1934, as amended (the “Exchange Act”)), officers and employees and designated consultants must comply with the Trading Procedures set forth in Part II of this Policy (the “Trading Procedures”) (collectively, and solely for the purposes of this Insider Trading Policy, these persons are referred to as “Insiders”). Generally, the Trading Procedures establish trading windows outside of which the persons covered by the Trading Procedures will be restricted from trading in the Company’s securities and also require the pre-clearance of all transactions in the Company’s securities by such persons. You will be notified if you are required to comply with the Trading Procedures.</w:t>
      </w:r>
    </w:p>
    <w:p>
      <w:pPr>
        <w:spacing w:after="0" w:line="183" w:lineRule="exact"/>
        <w:rPr>
          <w:sz w:val="20"/>
          <w:szCs w:val="20"/>
          <w:color w:val="auto"/>
        </w:rPr>
      </w:pPr>
    </w:p>
    <w:p>
      <w:pPr>
        <w:ind w:left="8" w:right="960" w:firstLine="749"/>
        <w:spacing w:after="0" w:line="258" w:lineRule="auto"/>
        <w:rPr>
          <w:sz w:val="20"/>
          <w:szCs w:val="20"/>
          <w:color w:val="auto"/>
        </w:rPr>
      </w:pPr>
      <w:r>
        <w:rPr>
          <w:rFonts w:ascii="Times New Roman" w:cs="Times New Roman" w:eastAsia="Times New Roman" w:hAnsi="Times New Roman"/>
          <w:sz w:val="22"/>
          <w:szCs w:val="22"/>
          <w:color w:val="auto"/>
        </w:rPr>
        <w:t>This Policy, including, if applicable, the Trading Procedures contained herein, also applies to the following persons (collectively, these persons and entities are referred to as “Affiliated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191135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8"/>
          </w:cols>
          <w:pgMar w:left="552" w:top="1197" w:right="379" w:bottom="1440" w:gutter="0" w:footer="0" w:header="0"/>
        </w:sectPr>
      </w:pPr>
    </w:p>
    <w:bookmarkStart w:id="142" w:name="page143"/>
    <w:bookmarkEnd w:id="142"/>
    <w:p>
      <w:pPr>
        <w:spacing w:after="0" w:line="252" w:lineRule="exact"/>
        <w:rPr>
          <w:sz w:val="20"/>
          <w:szCs w:val="20"/>
          <w:color w:val="auto"/>
        </w:rPr>
      </w:pPr>
    </w:p>
    <w:p>
      <w:pPr>
        <w:ind w:left="1460" w:right="540" w:hanging="719"/>
        <w:spacing w:after="0" w:line="258" w:lineRule="auto"/>
        <w:tabs>
          <w:tab w:leader="none" w:pos="14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spouse, child, parent, significant other or other family member, in each case, living in the same household;</w:t>
      </w:r>
    </w:p>
    <w:p>
      <w:pPr>
        <w:spacing w:after="0" w:line="158" w:lineRule="exact"/>
        <w:rPr>
          <w:rFonts w:ascii="Times New Roman" w:cs="Times New Roman" w:eastAsia="Times New Roman" w:hAnsi="Times New Roman"/>
          <w:sz w:val="22"/>
          <w:szCs w:val="22"/>
          <w:color w:val="auto"/>
        </w:rPr>
      </w:pPr>
    </w:p>
    <w:p>
      <w:pPr>
        <w:ind w:left="1480" w:right="220" w:hanging="739"/>
        <w:spacing w:after="0" w:line="244" w:lineRule="auto"/>
        <w:tabs>
          <w:tab w:leader="none" w:pos="14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trusts, family partnerships and other types of entities formed for your benefit of the Insider or for the benefit of a member of your family over which you have the ability to influence or direct investment decisions concerning securities;</w:t>
      </w:r>
    </w:p>
    <w:p>
      <w:pPr>
        <w:spacing w:after="0" w:line="173" w:lineRule="exact"/>
        <w:rPr>
          <w:rFonts w:ascii="Times New Roman" w:cs="Times New Roman" w:eastAsia="Times New Roman" w:hAnsi="Times New Roman"/>
          <w:sz w:val="22"/>
          <w:szCs w:val="22"/>
          <w:color w:val="auto"/>
        </w:rPr>
      </w:pPr>
    </w:p>
    <w:p>
      <w:pPr>
        <w:ind w:left="1500" w:hanging="759"/>
        <w:spacing w:after="0"/>
        <w:tabs>
          <w:tab w:leader="none" w:pos="15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your behalf; and</w:t>
      </w:r>
    </w:p>
    <w:p>
      <w:pPr>
        <w:spacing w:after="0" w:line="206" w:lineRule="exact"/>
        <w:rPr>
          <w:rFonts w:ascii="Times New Roman" w:cs="Times New Roman" w:eastAsia="Times New Roman" w:hAnsi="Times New Roman"/>
          <w:sz w:val="22"/>
          <w:szCs w:val="22"/>
          <w:color w:val="auto"/>
        </w:rPr>
      </w:pPr>
    </w:p>
    <w:p>
      <w:pPr>
        <w:ind w:left="1480" w:right="60" w:hanging="739"/>
        <w:spacing w:after="0" w:line="233" w:lineRule="auto"/>
        <w:tabs>
          <w:tab w:leader="none" w:pos="14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investment funds, trusts, retirement plans, partnerships, corporations and other types of entities over which you have the ability to influence or direct investment decisions concerning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Trading Procedures shall not apply to any such entity that engages in the investment of securities in the ordinary course of its business (e.g., an investment fund or partnership) if such entity has established its own insider trading controls and procedures in compliance with applicable securities laws and an Insider has hereby represented to the Company that such Insider’s affiliated entities: (a) engage in the investment of securities in the ordinary course of their respective businesses; (b) have established insider trading controls and procedures in compliance with applicable securities laws; and (c) are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85"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You are responsible for ensuring compliance with this Policy, including the Trading Procedures contained herein, by all of your Affiliated Persons.</w:t>
      </w:r>
    </w:p>
    <w:p>
      <w:pPr>
        <w:spacing w:after="0" w:line="158"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In the event that you leave the Company for any reason, this Policy, including, if applicable, the Trading Procedures contained herein, will continue to apply to you and your Affiliated Persons until the later of: (1) the first trading day following the public release of earnings for the fiscal quarter in which you leave the Company or (2) the first trading day after any material nonpublic information known to you has become public or is no longer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599440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560" w:top="1440" w:right="679" w:bottom="1440" w:gutter="0" w:footer="0" w:header="0"/>
        </w:sectPr>
      </w:pPr>
    </w:p>
    <w:bookmarkStart w:id="143" w:name="page144"/>
    <w:bookmarkEnd w:id="143"/>
    <w:p>
      <w:pPr>
        <w:spacing w:after="0" w:line="246" w:lineRule="exact"/>
        <w:rPr>
          <w:sz w:val="20"/>
          <w:szCs w:val="20"/>
          <w:color w:val="auto"/>
        </w:rPr>
      </w:pPr>
    </w:p>
    <w:p>
      <w:pPr>
        <w:ind w:left="748" w:hanging="748"/>
        <w:spacing w:after="0"/>
        <w:tabs>
          <w:tab w:leader="none" w:pos="748" w:val="left"/>
        </w:tabs>
        <w:numPr>
          <w:ilvl w:val="0"/>
          <w:numId w:val="6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Prohibited by this Insider Trading Policy?</w:t>
      </w:r>
    </w:p>
    <w:p>
      <w:pPr>
        <w:spacing w:after="0" w:line="212" w:lineRule="exact"/>
        <w:rPr>
          <w:sz w:val="20"/>
          <w:szCs w:val="20"/>
          <w:color w:val="auto"/>
        </w:rPr>
      </w:pPr>
    </w:p>
    <w:p>
      <w:pPr>
        <w:ind w:left="8" w:firstLine="749"/>
        <w:spacing w:after="0" w:line="239" w:lineRule="auto"/>
        <w:rPr>
          <w:sz w:val="20"/>
          <w:szCs w:val="20"/>
          <w:color w:val="auto"/>
        </w:rPr>
      </w:pPr>
      <w:r>
        <w:rPr>
          <w:rFonts w:ascii="Times New Roman" w:cs="Times New Roman" w:eastAsia="Times New Roman" w:hAnsi="Times New Roman"/>
          <w:sz w:val="22"/>
          <w:szCs w:val="22"/>
          <w:color w:val="auto"/>
        </w:rPr>
        <w:t>It is generally illegal for you to trade in the securities of the Company, whether for your account or for the account of another, while in the possession of material, nonpublic information about the Company. It is also generally illegal for you to disclose material, nonpublic information about the Company to others who may trade on the basis of that information. These illegal activities are commonly referred to as “</w:t>
      </w:r>
      <w:r>
        <w:rPr>
          <w:rFonts w:ascii="Times New Roman" w:cs="Times New Roman" w:eastAsia="Times New Roman" w:hAnsi="Times New Roman"/>
          <w:sz w:val="22"/>
          <w:szCs w:val="22"/>
          <w:i w:val="1"/>
          <w:iCs w:val="1"/>
          <w:color w:val="auto"/>
        </w:rPr>
        <w:t>insider trading</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8" w:right="160" w:firstLine="749"/>
        <w:spacing w:after="0" w:line="258" w:lineRule="auto"/>
        <w:rPr>
          <w:sz w:val="20"/>
          <w:szCs w:val="20"/>
          <w:color w:val="auto"/>
        </w:rPr>
      </w:pPr>
      <w:r>
        <w:rPr>
          <w:rFonts w:ascii="Times New Roman" w:cs="Times New Roman" w:eastAsia="Times New Roman" w:hAnsi="Times New Roman"/>
          <w:sz w:val="22"/>
          <w:szCs w:val="22"/>
          <w:color w:val="auto"/>
        </w:rPr>
        <w:t>When you know or are in possession of material, nonpublic information about the Company, whether positive or negative, you generally are prohibited from the following activities:</w:t>
      </w:r>
    </w:p>
    <w:p>
      <w:pPr>
        <w:spacing w:after="0" w:line="158" w:lineRule="exact"/>
        <w:rPr>
          <w:sz w:val="20"/>
          <w:szCs w:val="20"/>
          <w:color w:val="auto"/>
        </w:rPr>
      </w:pPr>
    </w:p>
    <w:p>
      <w:pPr>
        <w:ind w:left="1108" w:right="160" w:hanging="359"/>
        <w:spacing w:after="0" w:line="234" w:lineRule="auto"/>
        <w:tabs>
          <w:tab w:leader="none" w:pos="110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(whether for your account of for the account of another) in the Company’s securities, which includes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 except for trades made pursuant to plans approved by the Compliance Officer in accordance with this policy that are intended to comply with Rule 10b5-1 under the Exchange Act, such as when trades are made pursuant to a written plan that was adopted, or trading instructions that were given, before you knew or had possession of such material, nonpublic information and certain other conditions are satisfied;</w:t>
      </w:r>
    </w:p>
    <w:p>
      <w:pPr>
        <w:spacing w:after="0" w:line="179" w:lineRule="exact"/>
        <w:rPr>
          <w:rFonts w:ascii="Times New Roman" w:cs="Times New Roman" w:eastAsia="Times New Roman" w:hAnsi="Times New Roman"/>
          <w:sz w:val="22"/>
          <w:szCs w:val="22"/>
          <w:color w:val="auto"/>
        </w:rPr>
      </w:pPr>
    </w:p>
    <w:p>
      <w:pPr>
        <w:ind w:left="1128" w:hanging="379"/>
        <w:spacing w:after="0"/>
        <w:tabs>
          <w:tab w:leader="none" w:pos="112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giving trading advice of any kind about the Company; and</w:t>
      </w:r>
    </w:p>
    <w:p>
      <w:pPr>
        <w:spacing w:after="0" w:line="98" w:lineRule="exact"/>
        <w:rPr>
          <w:rFonts w:ascii="Times New Roman" w:cs="Times New Roman" w:eastAsia="Times New Roman" w:hAnsi="Times New Roman"/>
          <w:sz w:val="22"/>
          <w:szCs w:val="22"/>
          <w:color w:val="auto"/>
        </w:rPr>
      </w:pPr>
    </w:p>
    <w:p>
      <w:pPr>
        <w:ind w:left="1108" w:right="40" w:hanging="359"/>
        <w:spacing w:after="0" w:line="234" w:lineRule="auto"/>
        <w:tabs>
          <w:tab w:leader="none" w:pos="110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the material, nonpublic information about the Company, whether positive or negative, to anyone else who might then trade, or recommending to anyone that they purchase or sell the Company’s securities when you are aware of material, nonpublic information (these practices are commonly known as “</w:t>
      </w:r>
      <w:r>
        <w:rPr>
          <w:rFonts w:ascii="Times New Roman" w:cs="Times New Roman" w:eastAsia="Times New Roman" w:hAnsi="Times New Roman"/>
          <w:sz w:val="22"/>
          <w:szCs w:val="22"/>
          <w:i w:val="1"/>
          <w:iCs w:val="1"/>
          <w:color w:val="auto"/>
        </w:rPr>
        <w:t>tipping</w:t>
      </w:r>
      <w:r>
        <w:rPr>
          <w:rFonts w:ascii="Times New Roman" w:cs="Times New Roman" w:eastAsia="Times New Roman" w:hAnsi="Times New Roman"/>
          <w:sz w:val="22"/>
          <w:szCs w:val="22"/>
          <w:color w:val="auto"/>
        </w:rPr>
        <w:t>” 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598805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8"/>
          </w:cols>
          <w:pgMar w:left="552" w:top="1440" w:right="699" w:bottom="1440" w:gutter="0" w:footer="0" w:header="0"/>
        </w:sectPr>
      </w:pPr>
    </w:p>
    <w:bookmarkStart w:id="144" w:name="page145"/>
    <w:bookmarkEnd w:id="144"/>
    <w:p>
      <w:pPr>
        <w:spacing w:after="0" w:line="252" w:lineRule="exact"/>
        <w:rPr>
          <w:sz w:val="20"/>
          <w:szCs w:val="20"/>
          <w:color w:val="auto"/>
        </w:rPr>
      </w:pPr>
    </w:p>
    <w:p>
      <w:pPr>
        <w:ind w:left="8" w:right="20"/>
        <w:spacing w:after="0" w:line="238" w:lineRule="auto"/>
        <w:rPr>
          <w:sz w:val="20"/>
          <w:szCs w:val="20"/>
          <w:color w:val="auto"/>
        </w:rPr>
      </w:pPr>
      <w:r>
        <w:rPr>
          <w:rFonts w:ascii="Times New Roman" w:cs="Times New Roman" w:eastAsia="Times New Roman" w:hAnsi="Times New Roman"/>
          <w:sz w:val="22"/>
          <w:szCs w:val="22"/>
          <w:color w:val="auto"/>
        </w:rPr>
        <w:t>This Policy does not apply to: (1) an exercise of an employee stock option when payment of the exercise price is made in cash or (2)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204" w:lineRule="exact"/>
        <w:rPr>
          <w:sz w:val="20"/>
          <w:szCs w:val="20"/>
          <w:color w:val="auto"/>
        </w:rPr>
      </w:pPr>
    </w:p>
    <w:p>
      <w:pPr>
        <w:ind w:left="8" w:right="200" w:firstLine="749"/>
        <w:spacing w:after="0" w:line="244" w:lineRule="auto"/>
        <w:rPr>
          <w:sz w:val="20"/>
          <w:szCs w:val="20"/>
          <w:color w:val="auto"/>
        </w:rPr>
      </w:pPr>
      <w:r>
        <w:rPr>
          <w:rFonts w:ascii="Times New Roman" w:cs="Times New Roman" w:eastAsia="Times New Roman" w:hAnsi="Times New Roman"/>
          <w:sz w:val="22"/>
          <w:szCs w:val="22"/>
          <w:color w:val="auto"/>
        </w:rPr>
        <w:t>The policy does apply, however, to: the use of outstanding Company securities to pay part or all of the exercise price of an option, any sale of stock as part of a broker-assisted cashless exercise of an option or any other market sale for the purpose of generating the cash needed to pay the exercise price of an option.</w:t>
      </w:r>
    </w:p>
    <w:p>
      <w:pPr>
        <w:spacing w:after="0" w:line="173" w:lineRule="exact"/>
        <w:rPr>
          <w:sz w:val="20"/>
          <w:szCs w:val="20"/>
          <w:color w:val="auto"/>
        </w:rPr>
      </w:pPr>
    </w:p>
    <w:p>
      <w:pPr>
        <w:ind w:left="8" w:right="120" w:firstLine="749"/>
        <w:spacing w:after="0" w:line="239" w:lineRule="auto"/>
        <w:rPr>
          <w:sz w:val="20"/>
          <w:szCs w:val="20"/>
          <w:color w:val="auto"/>
        </w:rPr>
      </w:pPr>
      <w:r>
        <w:rPr>
          <w:rFonts w:ascii="Times New Roman" w:cs="Times New Roman" w:eastAsia="Times New Roman" w:hAnsi="Times New Roman"/>
          <w:sz w:val="22"/>
          <w:szCs w:val="22"/>
          <w:color w:val="auto"/>
        </w:rPr>
        <w:t>These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how enforcement authorities and others might view the transaction in hindsight.</w:t>
      </w:r>
    </w:p>
    <w:p>
      <w:pPr>
        <w:spacing w:after="0" w:line="174" w:lineRule="exact"/>
        <w:rPr>
          <w:sz w:val="20"/>
          <w:szCs w:val="20"/>
          <w:color w:val="auto"/>
        </w:rPr>
      </w:pPr>
    </w:p>
    <w:p>
      <w:pPr>
        <w:ind w:left="748" w:hanging="748"/>
        <w:spacing w:after="0"/>
        <w:tabs>
          <w:tab w:leader="none" w:pos="748" w:val="left"/>
        </w:tabs>
        <w:numPr>
          <w:ilvl w:val="0"/>
          <w:numId w:val="6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Material, Nonpublic Information?</w:t>
      </w:r>
    </w:p>
    <w:p>
      <w:pPr>
        <w:spacing w:after="0" w:line="212" w:lineRule="exact"/>
        <w:rPr>
          <w:sz w:val="20"/>
          <w:szCs w:val="20"/>
          <w:color w:val="auto"/>
        </w:rPr>
      </w:pPr>
    </w:p>
    <w:p>
      <w:pPr>
        <w:ind w:left="8" w:firstLine="749"/>
        <w:spacing w:after="0" w:line="261" w:lineRule="auto"/>
        <w:rPr>
          <w:sz w:val="20"/>
          <w:szCs w:val="20"/>
          <w:color w:val="auto"/>
        </w:rPr>
      </w:pPr>
      <w:r>
        <w:rPr>
          <w:rFonts w:ascii="Times New Roman" w:cs="Times New Roman" w:eastAsia="Times New Roman" w:hAnsi="Times New Roman"/>
          <w:sz w:val="21"/>
          <w:szCs w:val="21"/>
          <w:color w:val="auto"/>
        </w:rPr>
        <w:t>This Insider Trading Policy prohibits you from trading in the Company’s securities if you are in possession of information about the Company that is both “</w:t>
      </w:r>
      <w:r>
        <w:rPr>
          <w:rFonts w:ascii="Times New Roman" w:cs="Times New Roman" w:eastAsia="Times New Roman" w:hAnsi="Times New Roman"/>
          <w:sz w:val="21"/>
          <w:szCs w:val="21"/>
          <w:i w:val="1"/>
          <w:iCs w:val="1"/>
          <w:color w:val="auto"/>
        </w:rPr>
        <w:t>material</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i w:val="1"/>
          <w:iCs w:val="1"/>
          <w:color w:val="auto"/>
        </w:rPr>
        <w:t>nonpublic</w:t>
      </w:r>
      <w:r>
        <w:rPr>
          <w:rFonts w:ascii="Times New Roman" w:cs="Times New Roman" w:eastAsia="Times New Roman" w:hAnsi="Times New Roman"/>
          <w:sz w:val="21"/>
          <w:szCs w:val="21"/>
          <w:color w:val="auto"/>
        </w:rPr>
        <w:t>.” If you have a question whether certain information you are aware of is material or has been made public, you are encouraged to consult with the Compliance Officer.</w:t>
      </w:r>
    </w:p>
    <w:p>
      <w:pPr>
        <w:spacing w:after="0" w:line="1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auto"/>
        </w:rPr>
        <w:t>“Material” Information</w:t>
      </w:r>
    </w:p>
    <w:p>
      <w:pPr>
        <w:spacing w:after="0" w:line="210" w:lineRule="exact"/>
        <w:rPr>
          <w:sz w:val="20"/>
          <w:szCs w:val="20"/>
          <w:color w:val="auto"/>
        </w:rPr>
      </w:pPr>
    </w:p>
    <w:p>
      <w:pPr>
        <w:jc w:val="both"/>
        <w:ind w:left="8" w:right="120" w:firstLine="749"/>
        <w:spacing w:after="0" w:line="249" w:lineRule="auto"/>
        <w:rPr>
          <w:sz w:val="20"/>
          <w:szCs w:val="20"/>
          <w:color w:val="auto"/>
        </w:rPr>
      </w:pPr>
      <w:r>
        <w:rPr>
          <w:rFonts w:ascii="Times New Roman" w:cs="Times New Roman" w:eastAsia="Times New Roman" w:hAnsi="Times New Roman"/>
          <w:sz w:val="21"/>
          <w:szCs w:val="21"/>
          <w:color w:val="auto"/>
        </w:rPr>
        <w:t>Information about the Company is “material” if it could reasonably be expected to affect the investment or voting decisions of a stockholder or investor, or if the disclosure of the information could reasonably be expected to significantly alter the total mix of information in the marketplace about the Company. 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items are types of information that should be considered carefully to determine whether they are material:</w:t>
      </w:r>
    </w:p>
    <w:p>
      <w:pPr>
        <w:spacing w:after="0" w:line="171" w:lineRule="exact"/>
        <w:rPr>
          <w:sz w:val="20"/>
          <w:szCs w:val="20"/>
          <w:color w:val="auto"/>
        </w:rPr>
      </w:pPr>
    </w:p>
    <w:p>
      <w:pPr>
        <w:jc w:val="both"/>
        <w:ind w:left="1088" w:right="740" w:hanging="339"/>
        <w:spacing w:after="0" w:line="238" w:lineRule="auto"/>
        <w:tabs>
          <w:tab w:leader="none" w:pos="108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any programs in preclinical or clinical development, including recent regulatory interaction and/or data that have been recently generated from ongoing or recently completed preclinical or clinical trials;</w:t>
      </w:r>
    </w:p>
    <w:p>
      <w:pPr>
        <w:ind w:left="1108" w:right="20" w:hanging="359"/>
        <w:spacing w:after="0" w:line="230" w:lineRule="auto"/>
        <w:tabs>
          <w:tab w:leader="none" w:pos="110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the intellectual property and/or freedom to operate for any of the current programs or product candidates under development;</w:t>
      </w:r>
    </w:p>
    <w:p>
      <w:pPr>
        <w:spacing w:after="0" w:line="1" w:lineRule="exact"/>
        <w:rPr>
          <w:rFonts w:ascii="Times New Roman" w:cs="Times New Roman" w:eastAsia="Times New Roman" w:hAnsi="Times New Roman"/>
          <w:sz w:val="22"/>
          <w:szCs w:val="22"/>
          <w:color w:val="auto"/>
        </w:rPr>
      </w:pPr>
    </w:p>
    <w:p>
      <w:pPr>
        <w:ind w:left="1128" w:hanging="379"/>
        <w:spacing w:after="0" w:line="230" w:lineRule="auto"/>
        <w:tabs>
          <w:tab w:leader="none" w:pos="112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ind w:left="1088" w:hanging="339"/>
        <w:spacing w:after="0" w:line="230" w:lineRule="auto"/>
        <w:tabs>
          <w:tab w:leader="none" w:pos="108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or revenue that are inconsistent with the consensus expectations of the investment community;</w:t>
      </w:r>
    </w:p>
    <w:p>
      <w:pPr>
        <w:ind w:left="1108" w:right="160" w:hanging="359"/>
        <w:spacing w:after="0" w:line="237" w:lineRule="auto"/>
        <w:tabs>
          <w:tab w:leader="none" w:pos="110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restatements of the Company’s financial statements, changes in auditors or auditor notification that the Company may no longer rely on an auditor’s audit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777875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8"/>
          </w:cols>
          <w:pgMar w:left="552" w:top="1440" w:right="61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00" w:right="160" w:hanging="359"/>
        <w:spacing w:after="0" w:line="241" w:lineRule="auto"/>
        <w:tabs>
          <w:tab w:leader="none" w:pos="11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proposed corporate mergers, acquisitions, tender offers, joint ventures, potential collaborations or partnerships or dispositions of significant assets;</w:t>
      </w:r>
    </w:p>
    <w:p>
      <w:pPr>
        <w:spacing w:after="0" w:line="1" w:lineRule="exact"/>
        <w:rPr>
          <w:rFonts w:ascii="Times New Roman" w:cs="Times New Roman" w:eastAsia="Times New Roman" w:hAnsi="Times New Roman"/>
          <w:sz w:val="22"/>
          <w:szCs w:val="22"/>
          <w:color w:val="auto"/>
        </w:rPr>
      </w:pPr>
    </w:p>
    <w:p>
      <w:pPr>
        <w:ind w:left="1100" w:hanging="359"/>
        <w:spacing w:after="0" w:line="230" w:lineRule="auto"/>
        <w:tabs>
          <w:tab w:leader="none" w:pos="11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management or the Board of Directors;</w:t>
      </w:r>
    </w:p>
    <w:p>
      <w:pPr>
        <w:ind w:left="1100" w:right="160" w:hanging="359"/>
        <w:spacing w:after="0" w:line="230" w:lineRule="auto"/>
        <w:tabs>
          <w:tab w:leader="none" w:pos="11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actual or threatened litigation or governmental investigations or major developments in such matters;</w:t>
      </w:r>
    </w:p>
    <w:p>
      <w:pPr>
        <w:spacing w:after="0" w:line="1" w:lineRule="exact"/>
        <w:rPr>
          <w:rFonts w:ascii="Times New Roman" w:cs="Times New Roman" w:eastAsia="Times New Roman" w:hAnsi="Times New Roman"/>
          <w:sz w:val="22"/>
          <w:szCs w:val="22"/>
          <w:color w:val="auto"/>
        </w:rPr>
      </w:pPr>
    </w:p>
    <w:p>
      <w:pPr>
        <w:ind w:left="1100" w:hanging="359"/>
        <w:spacing w:after="0" w:line="230" w:lineRule="auto"/>
        <w:tabs>
          <w:tab w:leader="none" w:pos="11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cybersecurity incident;</w:t>
      </w:r>
    </w:p>
    <w:p>
      <w:pPr>
        <w:ind w:left="1100" w:right="160" w:hanging="359"/>
        <w:spacing w:after="0" w:line="230" w:lineRule="auto"/>
        <w:tabs>
          <w:tab w:leader="none" w:pos="11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regarding products, customers, suppliers, orders, contracts or financing sources (e.g., the acquisition or loss of a contract);</w:t>
      </w:r>
    </w:p>
    <w:p>
      <w:pPr>
        <w:spacing w:after="0" w:line="1" w:lineRule="exact"/>
        <w:rPr>
          <w:rFonts w:ascii="Times New Roman" w:cs="Times New Roman" w:eastAsia="Times New Roman" w:hAnsi="Times New Roman"/>
          <w:sz w:val="22"/>
          <w:szCs w:val="22"/>
          <w:color w:val="auto"/>
        </w:rPr>
      </w:pPr>
    </w:p>
    <w:p>
      <w:pPr>
        <w:ind w:left="1100" w:hanging="359"/>
        <w:spacing w:after="0" w:line="230" w:lineRule="auto"/>
        <w:tabs>
          <w:tab w:leader="none" w:pos="11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 declarations of stock splits, or public or private sales of additional securities;</w:t>
      </w:r>
    </w:p>
    <w:p>
      <w:pPr>
        <w:ind w:left="1100" w:right="160" w:hanging="359"/>
        <w:spacing w:after="0" w:line="230" w:lineRule="auto"/>
        <w:tabs>
          <w:tab w:leader="none" w:pos="11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defaults under the Company’s credit agreements or indentures, or the existence of material liquidity deficiencies; and</w:t>
      </w:r>
    </w:p>
    <w:p>
      <w:pPr>
        <w:spacing w:after="0" w:line="1" w:lineRule="exact"/>
        <w:rPr>
          <w:rFonts w:ascii="Times New Roman" w:cs="Times New Roman" w:eastAsia="Times New Roman" w:hAnsi="Times New Roman"/>
          <w:sz w:val="22"/>
          <w:szCs w:val="22"/>
          <w:color w:val="auto"/>
        </w:rPr>
      </w:pPr>
    </w:p>
    <w:p>
      <w:pPr>
        <w:ind w:left="1100" w:hanging="359"/>
        <w:spacing w:after="0"/>
        <w:tabs>
          <w:tab w:leader="none" w:pos="11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or receiverships.</w:t>
      </w:r>
    </w:p>
    <w:p>
      <w:pPr>
        <w:spacing w:after="0" w:line="16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 xml:space="preserve">By including the list above, the Company does not mean to imply that each of these items above is </w:t>
      </w:r>
      <w:r>
        <w:rPr>
          <w:rFonts w:ascii="Times New Roman" w:cs="Times New Roman" w:eastAsia="Times New Roman" w:hAnsi="Times New Roman"/>
          <w:sz w:val="21"/>
          <w:szCs w:val="21"/>
          <w:u w:val="single" w:color="auto"/>
          <w:color w:val="auto"/>
        </w:rPr>
        <w:t>per se</w:t>
      </w:r>
      <w:r>
        <w:rPr>
          <w:rFonts w:ascii="Times New Roman" w:cs="Times New Roman" w:eastAsia="Times New Roman" w:hAnsi="Times New Roman"/>
          <w:sz w:val="21"/>
          <w:szCs w:val="21"/>
          <w:color w:val="auto"/>
        </w:rPr>
        <w:t xml:space="preserve"> material. The information and events on this list still require determinations as to their materiality (although some determinations will be reached more easily than others). For example, some new products or contracts may clearly be material to an issuer; yet that does not mean that all product developments or contracts will be material. This demonstrates, in our view, why no “bright-line” standard or list of items can adequately address the range of situations that may arise. Furthermore, the Company cannot create an exclusive list of events and information that have a higher probability of being considered material.</w:t>
      </w:r>
    </w:p>
    <w:p>
      <w:pPr>
        <w:spacing w:after="0" w:line="198" w:lineRule="exact"/>
        <w:rPr>
          <w:sz w:val="20"/>
          <w:szCs w:val="20"/>
          <w:color w:val="auto"/>
        </w:rPr>
      </w:pPr>
    </w:p>
    <w:p>
      <w:pPr>
        <w:jc w:val="both"/>
        <w:ind w:right="520" w:firstLine="749"/>
        <w:spacing w:after="0" w:line="244" w:lineRule="auto"/>
        <w:rPr>
          <w:sz w:val="20"/>
          <w:szCs w:val="20"/>
          <w:color w:val="auto"/>
        </w:rPr>
      </w:pPr>
      <w:r>
        <w:rPr>
          <w:rFonts w:ascii="Times New Roman" w:cs="Times New Roman" w:eastAsia="Times New Roman" w:hAnsi="Times New Roman"/>
          <w:sz w:val="22"/>
          <w:szCs w:val="22"/>
          <w:color w:val="auto"/>
        </w:rPr>
        <w:t>The Securities and Exchange Commission (the “SEC”) has stated that there is no fixed quantitative threshold amount for determining materiality, and that even very small quantitative changes can be qualitatively material if they would result in a movement in the price of the Company’s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“Nonpublic” Information</w:t>
      </w:r>
    </w:p>
    <w:p>
      <w:pPr>
        <w:spacing w:after="0" w:line="210"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21"/>
          <w:szCs w:val="21"/>
          <w:color w:val="auto"/>
        </w:rPr>
        <w:t>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 the distribution of a press release through a widely disseminated news or wire service, or by other means that are reasonably designed to provide broad public access. Before a person who possesses material, nonpublic information can trade, there also must be adequate time for the market as a whole to absorb the information that has been disclosed. For the purposes of this Policy, information will be considered public after the close of trading on the first full trading day following the Company’s public release of the information.</w:t>
      </w:r>
    </w:p>
    <w:p>
      <w:pPr>
        <w:spacing w:after="0" w:line="170"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22"/>
          <w:szCs w:val="22"/>
          <w:color w:val="auto"/>
        </w:rPr>
        <w:t>For example, if the Company announces material nonpublic information of which you are aware before trading begins on a Tuesday, the first time you can buy or sell Company securities is the opening of the market on Wednesday. However, if the Company announces this material information after trading begins on that Tuesday, the first time that you can buy or sell Company securities is the opening of the market on Thursday.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599440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560" w:top="1440" w:right="619" w:bottom="1440" w:gutter="0" w:footer="0" w:header="0"/>
        </w:sectPr>
      </w:pPr>
    </w:p>
    <w:bookmarkStart w:id="146" w:name="page147"/>
    <w:bookmarkEnd w:id="146"/>
    <w:p>
      <w:pPr>
        <w:spacing w:after="0" w:line="246" w:lineRule="exact"/>
        <w:rPr>
          <w:sz w:val="20"/>
          <w:szCs w:val="20"/>
          <w:color w:val="auto"/>
        </w:rPr>
      </w:pPr>
    </w:p>
    <w:p>
      <w:pPr>
        <w:ind w:left="688" w:hanging="688"/>
        <w:spacing w:after="0"/>
        <w:tabs>
          <w:tab w:leader="none" w:pos="688" w:val="left"/>
        </w:tabs>
        <w:numPr>
          <w:ilvl w:val="0"/>
          <w:numId w:val="66"/>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are the Penalties for Insider Trading and Noncompliance with this Insider Trading Policy?</w:t>
      </w:r>
    </w:p>
    <w:p>
      <w:pPr>
        <w:spacing w:after="0" w:line="212" w:lineRule="exact"/>
        <w:rPr>
          <w:sz w:val="20"/>
          <w:szCs w:val="20"/>
          <w:color w:val="auto"/>
        </w:rPr>
      </w:pPr>
    </w:p>
    <w:p>
      <w:pPr>
        <w:ind w:left="8" w:right="580" w:firstLine="749"/>
        <w:spacing w:after="0" w:line="238" w:lineRule="auto"/>
        <w:rPr>
          <w:sz w:val="20"/>
          <w:szCs w:val="20"/>
          <w:color w:val="auto"/>
        </w:rPr>
      </w:pPr>
      <w:r>
        <w:rPr>
          <w:rFonts w:ascii="Times New Roman" w:cs="Times New Roman" w:eastAsia="Times New Roman" w:hAnsi="Times New Roman"/>
          <w:sz w:val="22"/>
          <w:szCs w:val="22"/>
          <w:color w:val="auto"/>
        </w:rPr>
        <w:t>Both the SEC and the national securities exchanges, through the Financial Industry Regulatory Authority (“FINRA”), investigate and are very effective at detecting insider trading. The SEC, together with the U.S. Attorneys, pursue insider trading violations vigorously. For instance, cases have been successfully prosecuted against trading by employees in foreign accounts, trading by family members and friends, and trading involving only a small number of shares.</w:t>
      </w:r>
    </w:p>
    <w:p>
      <w:pPr>
        <w:spacing w:after="0" w:line="177"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22"/>
          <w:szCs w:val="22"/>
          <w:color w:val="auto"/>
        </w:rPr>
        <w:t>The penalties for violating insider trading or tipping rules can be severe and include:</w:t>
      </w:r>
    </w:p>
    <w:p>
      <w:pPr>
        <w:spacing w:after="0" w:line="206" w:lineRule="exact"/>
        <w:rPr>
          <w:sz w:val="20"/>
          <w:szCs w:val="20"/>
          <w:color w:val="auto"/>
        </w:rPr>
      </w:pPr>
    </w:p>
    <w:p>
      <w:pPr>
        <w:ind w:left="1868" w:hanging="370"/>
        <w:spacing w:after="0"/>
        <w:tabs>
          <w:tab w:leader="none" w:pos="186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the profit gained or loss avoided by the trading;</w:t>
      </w:r>
    </w:p>
    <w:p>
      <w:pPr>
        <w:spacing w:after="0" w:line="14" w:lineRule="exact"/>
        <w:rPr>
          <w:rFonts w:ascii="Times New Roman" w:cs="Times New Roman" w:eastAsia="Times New Roman" w:hAnsi="Times New Roman"/>
          <w:sz w:val="22"/>
          <w:szCs w:val="22"/>
          <w:color w:val="auto"/>
        </w:rPr>
      </w:pPr>
    </w:p>
    <w:p>
      <w:pPr>
        <w:jc w:val="both"/>
        <w:ind w:left="1868" w:right="420" w:hanging="370"/>
        <w:spacing w:after="0" w:line="230" w:lineRule="auto"/>
        <w:tabs>
          <w:tab w:leader="none" w:pos="186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loss suffered by the persons who, contemporaneously with the purchase or sale of securities that are subject of such violation, have purchased or sold, as applicable, securities of the same class;</w:t>
      </w:r>
    </w:p>
    <w:p>
      <w:pPr>
        <w:spacing w:after="0" w:line="1" w:lineRule="exact"/>
        <w:rPr>
          <w:rFonts w:ascii="Times New Roman" w:cs="Times New Roman" w:eastAsia="Times New Roman" w:hAnsi="Times New Roman"/>
          <w:sz w:val="22"/>
          <w:szCs w:val="22"/>
          <w:color w:val="auto"/>
        </w:rPr>
      </w:pPr>
    </w:p>
    <w:p>
      <w:pPr>
        <w:ind w:left="1868" w:hanging="370"/>
        <w:spacing w:after="0" w:line="230" w:lineRule="auto"/>
        <w:tabs>
          <w:tab w:leader="none" w:pos="186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criminal penalties of up to $5,000,000;</w:t>
      </w:r>
    </w:p>
    <w:p>
      <w:pPr>
        <w:ind w:left="1868" w:hanging="370"/>
        <w:spacing w:after="0" w:line="230" w:lineRule="auto"/>
        <w:tabs>
          <w:tab w:leader="none" w:pos="186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civil penalties of up to three times the profit made or loss avoided; and</w:t>
      </w:r>
    </w:p>
    <w:p>
      <w:pPr>
        <w:ind w:left="1868" w:hanging="370"/>
        <w:spacing w:after="0"/>
        <w:tabs>
          <w:tab w:leader="none" w:pos="186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imprisonment for up to 20 years.</w:t>
      </w:r>
    </w:p>
    <w:p>
      <w:pPr>
        <w:spacing w:after="0" w:line="200" w:lineRule="exact"/>
        <w:rPr>
          <w:sz w:val="20"/>
          <w:szCs w:val="20"/>
          <w:color w:val="auto"/>
        </w:rPr>
      </w:pPr>
    </w:p>
    <w:p>
      <w:pPr>
        <w:spacing w:after="0" w:line="225" w:lineRule="exact"/>
        <w:rPr>
          <w:sz w:val="20"/>
          <w:szCs w:val="20"/>
          <w:color w:val="auto"/>
        </w:rPr>
      </w:pPr>
    </w:p>
    <w:p>
      <w:pPr>
        <w:ind w:left="8" w:right="220" w:firstLine="749"/>
        <w:spacing w:after="0" w:line="244" w:lineRule="auto"/>
        <w:rPr>
          <w:sz w:val="20"/>
          <w:szCs w:val="20"/>
          <w:color w:val="auto"/>
        </w:rPr>
      </w:pPr>
      <w:r>
        <w:rPr>
          <w:rFonts w:ascii="Times New Roman" w:cs="Times New Roman" w:eastAsia="Times New Roman" w:hAnsi="Times New Roman"/>
          <w:sz w:val="22"/>
          <w:szCs w:val="22"/>
          <w:color w:val="auto"/>
        </w:rPr>
        <w:t>The Company and/or the supervisors of the person engaged in insider trading may also be required to pay civil penalties or fines of $2,000,000 or more, up to three times the profit made or loss avoided, as well as criminal penalties of up to $25,000,000, and could under certain circumstances be subject to private lawsuits.</w:t>
      </w:r>
    </w:p>
    <w:p>
      <w:pPr>
        <w:spacing w:after="0" w:line="173" w:lineRule="exact"/>
        <w:rPr>
          <w:sz w:val="20"/>
          <w:szCs w:val="20"/>
          <w:color w:val="auto"/>
        </w:rPr>
      </w:pPr>
    </w:p>
    <w:p>
      <w:pPr>
        <w:ind w:left="8" w:right="40" w:firstLine="749"/>
        <w:spacing w:after="0" w:line="236" w:lineRule="auto"/>
        <w:rPr>
          <w:sz w:val="20"/>
          <w:szCs w:val="20"/>
          <w:color w:val="auto"/>
        </w:rPr>
      </w:pPr>
      <w:r>
        <w:rPr>
          <w:rFonts w:ascii="Times New Roman" w:cs="Times New Roman" w:eastAsia="Times New Roman" w:hAnsi="Times New Roman"/>
          <w:sz w:val="22"/>
          <w:szCs w:val="22"/>
          <w:color w:val="auto"/>
        </w:rPr>
        <w:t>Violation of this Policy or any federal or state insider trading laws may subject the person violating such policy or laws to disciplinary action by the Company up to and including termination. The Company reserves the right to determine, in its own discretion and on the basis of the information available to it, whether this Insider Trading Policy has been violated. The Company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w:t>
      </w:r>
    </w:p>
    <w:p>
      <w:pPr>
        <w:spacing w:after="0" w:line="175" w:lineRule="exact"/>
        <w:rPr>
          <w:sz w:val="20"/>
          <w:szCs w:val="20"/>
          <w:color w:val="auto"/>
        </w:rPr>
      </w:pPr>
    </w:p>
    <w:p>
      <w:pPr>
        <w:ind w:left="748" w:hanging="748"/>
        <w:spacing w:after="0"/>
        <w:tabs>
          <w:tab w:leader="none" w:pos="748" w:val="left"/>
        </w:tabs>
        <w:numPr>
          <w:ilvl w:val="0"/>
          <w:numId w:val="6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How Do You Report a Violation of this Insider Trading Policy?</w:t>
      </w:r>
    </w:p>
    <w:p>
      <w:pPr>
        <w:spacing w:after="0" w:line="239" w:lineRule="exact"/>
        <w:rPr>
          <w:sz w:val="20"/>
          <w:szCs w:val="20"/>
          <w:color w:val="auto"/>
        </w:rPr>
      </w:pPr>
    </w:p>
    <w:p>
      <w:pPr>
        <w:ind w:left="8" w:firstLine="749"/>
        <w:spacing w:after="0" w:line="235" w:lineRule="auto"/>
        <w:rPr>
          <w:sz w:val="20"/>
          <w:szCs w:val="20"/>
          <w:color w:val="auto"/>
        </w:rPr>
      </w:pPr>
      <w:r>
        <w:rPr>
          <w:rFonts w:ascii="Times New Roman" w:cs="Times New Roman" w:eastAsia="Times New Roman" w:hAnsi="Times New Roman"/>
          <w:sz w:val="22"/>
          <w:szCs w:val="22"/>
          <w:color w:val="auto"/>
        </w:rPr>
        <w:t>If you have a question about this Policy, including whether certain information you are aware of is material or has been made public, you are encouraged to consult with the Compliance Officer. In addition, if you violate this Policy or any federal or state laws governing insider trading, or know of any such violation by any director, officer or employee of the Company, you should report the violation immediately to the Compliance Officer. However if the conduct in question involves the Compliance Officer, or if you have reported such conduct to the Compliance Officer and you do not believe the Compliance Officer has dealt with it properly, or if you do not feel that you can discuss the matter with the Compliance Officer, you may raise the matter with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601345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8"/>
          </w:cols>
          <w:pgMar w:left="552" w:top="1440" w:right="579" w:bottom="1440" w:gutter="0" w:footer="0" w:header="0"/>
        </w:sectPr>
      </w:pPr>
    </w:p>
    <w:bookmarkStart w:id="147" w:name="page148"/>
    <w:bookmarkEnd w:id="147"/>
    <w:p>
      <w:pPr>
        <w:spacing w:after="0" w:line="2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auto"/>
        </w:rPr>
        <w:t>PART II. TRADING PROCEDURES</w:t>
      </w:r>
    </w:p>
    <w:p>
      <w:pPr>
        <w:spacing w:after="0" w:line="204" w:lineRule="exact"/>
        <w:rPr>
          <w:sz w:val="20"/>
          <w:szCs w:val="20"/>
          <w:color w:val="auto"/>
        </w:rPr>
      </w:pPr>
    </w:p>
    <w:p>
      <w:pPr>
        <w:ind w:left="748" w:hanging="748"/>
        <w:spacing w:after="0"/>
        <w:tabs>
          <w:tab w:leader="none" w:pos="748" w:val="left"/>
        </w:tabs>
        <w:numPr>
          <w:ilvl w:val="0"/>
          <w:numId w:val="6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Special Trading Restrictions Applicable to Insiders</w:t>
      </w:r>
    </w:p>
    <w:p>
      <w:pPr>
        <w:spacing w:after="0" w:line="212" w:lineRule="exact"/>
        <w:rPr>
          <w:sz w:val="20"/>
          <w:szCs w:val="20"/>
          <w:color w:val="auto"/>
        </w:rPr>
      </w:pPr>
    </w:p>
    <w:p>
      <w:pPr>
        <w:ind w:left="8" w:firstLine="749"/>
        <w:spacing w:after="0" w:line="258" w:lineRule="auto"/>
        <w:rPr>
          <w:sz w:val="20"/>
          <w:szCs w:val="20"/>
          <w:color w:val="auto"/>
        </w:rPr>
      </w:pPr>
      <w:r>
        <w:rPr>
          <w:rFonts w:ascii="Times New Roman" w:cs="Times New Roman" w:eastAsia="Times New Roman" w:hAnsi="Times New Roman"/>
          <w:sz w:val="22"/>
          <w:szCs w:val="22"/>
          <w:color w:val="auto"/>
        </w:rPr>
        <w:t>In addition to the restrictions on trading in Company securities set forth above, Insiders and their Affiliated Persons are subject to the following special trading restrictions:</w:t>
      </w:r>
    </w:p>
    <w:p>
      <w:pPr>
        <w:spacing w:after="0" w:line="154" w:lineRule="exact"/>
        <w:rPr>
          <w:sz w:val="20"/>
          <w:szCs w:val="20"/>
          <w:color w:val="auto"/>
        </w:rPr>
      </w:pPr>
    </w:p>
    <w:p>
      <w:pPr>
        <w:ind w:left="1508" w:hanging="759"/>
        <w:spacing w:after="0"/>
        <w:tabs>
          <w:tab w:leader="none" w:pos="1508"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Insider Trading Policy Modification</w:t>
      </w:r>
    </w:p>
    <w:p>
      <w:pPr>
        <w:spacing w:after="0" w:line="237" w:lineRule="exact"/>
        <w:rPr>
          <w:sz w:val="20"/>
          <w:szCs w:val="20"/>
          <w:color w:val="auto"/>
        </w:rPr>
      </w:pPr>
    </w:p>
    <w:p>
      <w:pPr>
        <w:ind w:left="8" w:right="280" w:firstLine="749"/>
        <w:spacing w:after="0" w:line="236" w:lineRule="auto"/>
        <w:rPr>
          <w:sz w:val="20"/>
          <w:szCs w:val="20"/>
          <w:color w:val="auto"/>
        </w:rPr>
      </w:pPr>
      <w:r>
        <w:rPr>
          <w:rFonts w:ascii="Times New Roman" w:cs="Times New Roman" w:eastAsia="Times New Roman" w:hAnsi="Times New Roman"/>
          <w:sz w:val="22"/>
          <w:szCs w:val="22"/>
          <w:color w:val="auto"/>
        </w:rPr>
        <w:t>The Company may at any time change this Policy or adopt such other policies or procedures which it considers appropriate to carry out the purposes of its policies regarding insider trading and the disclosure of Company information. Notice of any such change will be delivered to you by regular or electronic mail (or other delivery option used by the Company) by the Company. You will be deemed to have received, be bound by and agree to revisions of this Insider Trading Policy when such revisions have been delivered to you, unless you object to any revision in a written statement received by the Compliance Officer within two (2) business days of such delivery</w:t>
      </w:r>
      <w:r>
        <w:rPr>
          <w:rFonts w:ascii="Times New Roman" w:cs="Times New Roman" w:eastAsia="Times New Roman" w:hAnsi="Times New Roman"/>
          <w:sz w:val="22"/>
          <w:szCs w:val="22"/>
          <w:b w:val="1"/>
          <w:bCs w:val="1"/>
          <w:color w:val="auto"/>
        </w:rPr>
        <w:t>.</w:t>
      </w:r>
    </w:p>
    <w:p>
      <w:pPr>
        <w:spacing w:after="0" w:line="202" w:lineRule="exact"/>
        <w:rPr>
          <w:sz w:val="20"/>
          <w:szCs w:val="20"/>
          <w:color w:val="auto"/>
        </w:rPr>
      </w:pPr>
    </w:p>
    <w:p>
      <w:pPr>
        <w:ind w:left="1508" w:hanging="759"/>
        <w:spacing w:after="0"/>
        <w:tabs>
          <w:tab w:leader="none" w:pos="1508"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Prohibited Transactions</w:t>
      </w:r>
    </w:p>
    <w:p>
      <w:pPr>
        <w:spacing w:after="0" w:line="208" w:lineRule="exact"/>
        <w:rPr>
          <w:rFonts w:ascii="Times New Roman" w:cs="Times New Roman" w:eastAsia="Times New Roman" w:hAnsi="Times New Roman"/>
          <w:sz w:val="22"/>
          <w:szCs w:val="22"/>
          <w:b w:val="1"/>
          <w:bCs w:val="1"/>
          <w:color w:val="auto"/>
        </w:rPr>
      </w:pPr>
    </w:p>
    <w:p>
      <w:pPr>
        <w:ind w:left="1488" w:right="480" w:hanging="364"/>
        <w:spacing w:after="0" w:line="262" w:lineRule="auto"/>
        <w:tabs>
          <w:tab w:leader="none" w:pos="148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Short Sales</w:t>
      </w:r>
      <w:r>
        <w:rPr>
          <w:rFonts w:ascii="Times New Roman" w:cs="Times New Roman" w:eastAsia="Times New Roman" w:hAnsi="Times New Roman"/>
          <w:sz w:val="22"/>
          <w:szCs w:val="22"/>
          <w:i w:val="1"/>
          <w:iCs w:val="1"/>
          <w:color w:val="auto"/>
        </w:rPr>
        <w:t>. No Insider may at any time sell any securities of the Company that are not owned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such Insider at the time of the sale (a “short sale”).</w:t>
      </w:r>
    </w:p>
    <w:p>
      <w:pPr>
        <w:spacing w:after="0" w:line="149" w:lineRule="exact"/>
        <w:rPr>
          <w:rFonts w:ascii="Times New Roman" w:cs="Times New Roman" w:eastAsia="Times New Roman" w:hAnsi="Times New Roman"/>
          <w:sz w:val="22"/>
          <w:szCs w:val="22"/>
          <w:color w:val="auto"/>
        </w:rPr>
      </w:pPr>
    </w:p>
    <w:p>
      <w:pPr>
        <w:ind w:left="1488" w:right="260" w:hanging="364"/>
        <w:spacing w:after="0" w:line="238" w:lineRule="auto"/>
        <w:tabs>
          <w:tab w:leader="none" w:pos="148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Purchases or Sales of Derivative Securities or Hedging Transactions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No Insider may buy or sell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puts, calls,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w:t>
      </w:r>
    </w:p>
    <w:p>
      <w:pPr>
        <w:spacing w:after="0" w:line="176" w:lineRule="exact"/>
        <w:rPr>
          <w:rFonts w:ascii="Times New Roman" w:cs="Times New Roman" w:eastAsia="Times New Roman" w:hAnsi="Times New Roman"/>
          <w:sz w:val="22"/>
          <w:szCs w:val="22"/>
          <w:color w:val="auto"/>
        </w:rPr>
      </w:pPr>
    </w:p>
    <w:p>
      <w:pPr>
        <w:ind w:left="1468" w:right="820" w:hanging="344"/>
        <w:spacing w:after="0" w:line="262" w:lineRule="auto"/>
        <w:tabs>
          <w:tab w:leader="none" w:pos="146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Company Securities Subject to Margin Calls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No Insider may use the Company’s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as collateral in a margin account.</w:t>
      </w:r>
    </w:p>
    <w:p>
      <w:pPr>
        <w:spacing w:after="0" w:line="149" w:lineRule="exact"/>
        <w:rPr>
          <w:rFonts w:ascii="Times New Roman" w:cs="Times New Roman" w:eastAsia="Times New Roman" w:hAnsi="Times New Roman"/>
          <w:sz w:val="22"/>
          <w:szCs w:val="22"/>
          <w:color w:val="auto"/>
        </w:rPr>
      </w:pPr>
    </w:p>
    <w:p>
      <w:pPr>
        <w:ind w:left="1488" w:right="400" w:hanging="364"/>
        <w:spacing w:after="0" w:line="262" w:lineRule="auto"/>
        <w:tabs>
          <w:tab w:leader="none" w:pos="148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Pledges</w:t>
      </w:r>
      <w:r>
        <w:rPr>
          <w:rFonts w:ascii="Times New Roman" w:cs="Times New Roman" w:eastAsia="Times New Roman" w:hAnsi="Times New Roman"/>
          <w:sz w:val="22"/>
          <w:szCs w:val="22"/>
          <w:i w:val="1"/>
          <w:iCs w:val="1"/>
          <w:color w:val="auto"/>
        </w:rPr>
        <w:t>. No Insider may pledge Company securities as collateral for a loan (or modify an existing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pledge).</w:t>
      </w:r>
    </w:p>
    <w:p>
      <w:pPr>
        <w:spacing w:after="0" w:line="147" w:lineRule="exact"/>
        <w:rPr>
          <w:rFonts w:ascii="Times New Roman" w:cs="Times New Roman" w:eastAsia="Times New Roman" w:hAnsi="Times New Roman"/>
          <w:sz w:val="22"/>
          <w:szCs w:val="22"/>
          <w:color w:val="auto"/>
        </w:rPr>
      </w:pPr>
    </w:p>
    <w:p>
      <w:pPr>
        <w:ind w:left="1508" w:hanging="759"/>
        <w:spacing w:after="0"/>
        <w:tabs>
          <w:tab w:leader="none" w:pos="1508"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Gifts</w:t>
      </w:r>
      <w:r>
        <w:rPr>
          <w:rFonts w:ascii="Times New Roman" w:cs="Times New Roman" w:eastAsia="Times New Roman" w:hAnsi="Times New Roman"/>
          <w:sz w:val="22"/>
          <w:szCs w:val="22"/>
          <w:i w:val="1"/>
          <w:iCs w:val="1"/>
          <w:color w:val="auto"/>
        </w:rPr>
        <w:t>.</w:t>
      </w:r>
    </w:p>
    <w:p>
      <w:pPr>
        <w:spacing w:after="0" w:line="212" w:lineRule="exact"/>
        <w:rPr>
          <w:sz w:val="20"/>
          <w:szCs w:val="20"/>
          <w:color w:val="auto"/>
        </w:rPr>
      </w:pPr>
    </w:p>
    <w:p>
      <w:pPr>
        <w:jc w:val="both"/>
        <w:ind w:left="8" w:right="100" w:firstLine="749"/>
        <w:spacing w:after="0" w:line="244" w:lineRule="auto"/>
        <w:rPr>
          <w:sz w:val="20"/>
          <w:szCs w:val="20"/>
          <w:color w:val="auto"/>
        </w:rPr>
      </w:pPr>
      <w:r>
        <w:rPr>
          <w:rFonts w:ascii="Times New Roman" w:cs="Times New Roman" w:eastAsia="Times New Roman" w:hAnsi="Times New Roman"/>
          <w:sz w:val="22"/>
          <w:szCs w:val="22"/>
          <w:color w:val="auto"/>
        </w:rPr>
        <w:t xml:space="preserve">No Insider may give or make any other transfer of Company securities without consideration (e.g., a gift) during a period when the Insider is not permitted to trade unless the donee agrees not to sell the shares until such time as the Insider can sell.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gifts of securities are not transactions subject to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594995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8"/>
          </w:cols>
          <w:pgMar w:left="552" w:top="1440" w:right="619" w:bottom="1440" w:gutter="0" w:footer="0" w:header="0"/>
        </w:sectPr>
      </w:pPr>
    </w:p>
    <w:bookmarkStart w:id="148" w:name="page149"/>
    <w:bookmarkEnd w:id="148"/>
    <w:p>
      <w:pPr>
        <w:spacing w:after="0" w:line="246" w:lineRule="exact"/>
        <w:rPr>
          <w:sz w:val="20"/>
          <w:szCs w:val="20"/>
          <w:color w:val="auto"/>
        </w:rPr>
      </w:pPr>
    </w:p>
    <w:p>
      <w:pPr>
        <w:ind w:left="748" w:hanging="748"/>
        <w:spacing w:after="0"/>
        <w:tabs>
          <w:tab w:leader="none" w:pos="748" w:val="left"/>
        </w:tabs>
        <w:numPr>
          <w:ilvl w:val="0"/>
          <w:numId w:val="7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Pre-Clearance Procedures</w:t>
      </w:r>
    </w:p>
    <w:p>
      <w:pPr>
        <w:spacing w:after="0" w:line="212" w:lineRule="exact"/>
        <w:rPr>
          <w:sz w:val="20"/>
          <w:szCs w:val="20"/>
          <w:color w:val="auto"/>
        </w:rPr>
      </w:pPr>
    </w:p>
    <w:p>
      <w:pPr>
        <w:ind w:left="8" w:right="20" w:firstLine="749"/>
        <w:spacing w:after="0" w:line="238" w:lineRule="auto"/>
        <w:rPr>
          <w:sz w:val="20"/>
          <w:szCs w:val="20"/>
          <w:color w:val="auto"/>
        </w:rPr>
      </w:pPr>
      <w:r>
        <w:rPr>
          <w:rFonts w:ascii="Times New Roman" w:cs="Times New Roman" w:eastAsia="Times New Roman" w:hAnsi="Times New Roman"/>
          <w:sz w:val="22"/>
          <w:szCs w:val="22"/>
          <w:color w:val="auto"/>
        </w:rPr>
        <w:t>No Insider may trade in Company securities unless the trade has been approved by the Compliance Officer in accordance with the procedures set forth below. The Compliance Officer will review and either approve or prohibit all proposed trades by Insiders in accordance with the procedures set forth below. The Compliance Officer may consult with the Company’s other officers and/or outside legal counsel and will receive approval for his or her own trades from the Chief Executive Officer.</w:t>
      </w:r>
    </w:p>
    <w:p>
      <w:pPr>
        <w:spacing w:after="0" w:line="173" w:lineRule="exact"/>
        <w:rPr>
          <w:sz w:val="20"/>
          <w:szCs w:val="20"/>
          <w:color w:val="auto"/>
        </w:rPr>
      </w:pPr>
    </w:p>
    <w:p>
      <w:pPr>
        <w:ind w:left="1508" w:hanging="759"/>
        <w:spacing w:after="0"/>
        <w:tabs>
          <w:tab w:leader="none" w:pos="1508"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Procedures. </w:t>
      </w:r>
      <w:r>
        <w:rPr>
          <w:rFonts w:ascii="Times New Roman" w:cs="Times New Roman" w:eastAsia="Times New Roman" w:hAnsi="Times New Roman"/>
          <w:sz w:val="22"/>
          <w:szCs w:val="22"/>
          <w:color w:val="auto"/>
        </w:rPr>
        <w:t>No Insider may trade in Company securities until:</w:t>
      </w:r>
    </w:p>
    <w:p>
      <w:pPr>
        <w:spacing w:after="0" w:line="210" w:lineRule="exact"/>
        <w:rPr>
          <w:rFonts w:ascii="Times New Roman" w:cs="Times New Roman" w:eastAsia="Times New Roman" w:hAnsi="Times New Roman"/>
          <w:sz w:val="22"/>
          <w:szCs w:val="22"/>
          <w:b w:val="1"/>
          <w:bCs w:val="1"/>
          <w:color w:val="auto"/>
        </w:rPr>
      </w:pPr>
    </w:p>
    <w:p>
      <w:pPr>
        <w:ind w:left="1848" w:right="280" w:hanging="350"/>
        <w:spacing w:after="0" w:line="236" w:lineRule="auto"/>
        <w:tabs>
          <w:tab w:leader="none" w:pos="184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notified the Compliance Officer of the amount and nature of the proposed trade(s) using the Stock Transaction Request form attached to this Policy or the Preclearance Request form and Stock Transaction form posted on Shareworks. In order to provide adequate time for the preparation of any required reports under Section 16 of the Exchange Act, a Stock Transaction Request form should, if practicable, be received by the Compliance Officer at least two (2) business days prior to the intended trade date;</w:t>
      </w:r>
    </w:p>
    <w:p>
      <w:pPr>
        <w:spacing w:after="0" w:line="181" w:lineRule="exact"/>
        <w:rPr>
          <w:rFonts w:ascii="Times New Roman" w:cs="Times New Roman" w:eastAsia="Times New Roman" w:hAnsi="Times New Roman"/>
          <w:sz w:val="22"/>
          <w:szCs w:val="22"/>
          <w:color w:val="auto"/>
        </w:rPr>
      </w:pPr>
    </w:p>
    <w:p>
      <w:pPr>
        <w:ind w:left="1848" w:right="320" w:hanging="350"/>
        <w:spacing w:after="0" w:line="258" w:lineRule="auto"/>
        <w:tabs>
          <w:tab w:leader="none" w:pos="184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certified to the Compliance Officer in writing prior to the proposed trade(s) that the Insider is not in possession of material, nonpublic information concerning the Company;</w:t>
      </w:r>
    </w:p>
    <w:p>
      <w:pPr>
        <w:spacing w:after="0" w:line="158" w:lineRule="exact"/>
        <w:rPr>
          <w:rFonts w:ascii="Times New Roman" w:cs="Times New Roman" w:eastAsia="Times New Roman" w:hAnsi="Times New Roman"/>
          <w:sz w:val="22"/>
          <w:szCs w:val="22"/>
          <w:color w:val="auto"/>
        </w:rPr>
      </w:pPr>
    </w:p>
    <w:p>
      <w:pPr>
        <w:ind w:left="1868" w:right="20" w:hanging="370"/>
        <w:spacing w:after="0" w:line="235" w:lineRule="auto"/>
        <w:tabs>
          <w:tab w:leader="none" w:pos="186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informed the Compliance Officer, using the Stock Transaction Request form attached hereto,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(“Rule 144”)), whether the transaction meets all of the applicable conditions of Rule 144; and</w:t>
      </w:r>
    </w:p>
    <w:p>
      <w:pPr>
        <w:spacing w:after="0" w:line="183" w:lineRule="exact"/>
        <w:rPr>
          <w:rFonts w:ascii="Times New Roman" w:cs="Times New Roman" w:eastAsia="Times New Roman" w:hAnsi="Times New Roman"/>
          <w:sz w:val="22"/>
          <w:szCs w:val="22"/>
          <w:color w:val="auto"/>
        </w:rPr>
      </w:pPr>
    </w:p>
    <w:p>
      <w:pPr>
        <w:ind w:left="1848" w:right="720" w:hanging="350"/>
        <w:spacing w:after="0" w:line="282" w:lineRule="auto"/>
        <w:tabs>
          <w:tab w:leader="none" w:pos="1848"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Compliance Officer or his or her designee has approved the trade(s) and has certified such approval in writing. Such certification may be made via digitally-signed electronic mail.</w:t>
      </w:r>
    </w:p>
    <w:p>
      <w:pPr>
        <w:spacing w:after="0" w:line="135" w:lineRule="exact"/>
        <w:rPr>
          <w:sz w:val="20"/>
          <w:szCs w:val="20"/>
          <w:color w:val="auto"/>
        </w:rPr>
      </w:pPr>
    </w:p>
    <w:p>
      <w:pPr>
        <w:ind w:left="8" w:firstLine="749"/>
        <w:spacing w:after="0" w:line="258" w:lineRule="auto"/>
        <w:rPr>
          <w:sz w:val="20"/>
          <w:szCs w:val="20"/>
          <w:color w:val="auto"/>
        </w:rPr>
      </w:pPr>
      <w:r>
        <w:rPr>
          <w:rFonts w:ascii="Times New Roman" w:cs="Times New Roman" w:eastAsia="Times New Roman" w:hAnsi="Times New Roman"/>
          <w:sz w:val="22"/>
          <w:szCs w:val="22"/>
          <w:color w:val="auto"/>
        </w:rPr>
        <w:t>The Compliance Officer does not assume the responsibility for, and approval from the Compliance Officer does not protect the Insider from, the consequences of prohibited insider trading.</w:t>
      </w:r>
    </w:p>
    <w:p>
      <w:pPr>
        <w:spacing w:after="0" w:line="154" w:lineRule="exact"/>
        <w:rPr>
          <w:sz w:val="20"/>
          <w:szCs w:val="20"/>
          <w:color w:val="auto"/>
        </w:rPr>
      </w:pPr>
    </w:p>
    <w:p>
      <w:pPr>
        <w:ind w:left="1508" w:hanging="759"/>
        <w:spacing w:after="0"/>
        <w:tabs>
          <w:tab w:leader="none" w:pos="1508"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Information.</w:t>
      </w:r>
    </w:p>
    <w:p>
      <w:pPr>
        <w:spacing w:after="0" w:line="210" w:lineRule="exact"/>
        <w:rPr>
          <w:sz w:val="20"/>
          <w:szCs w:val="20"/>
          <w:color w:val="auto"/>
        </w:rPr>
      </w:pPr>
    </w:p>
    <w:p>
      <w:pPr>
        <w:ind w:left="8" w:right="380" w:firstLine="749"/>
        <w:spacing w:after="0" w:line="244" w:lineRule="auto"/>
        <w:rPr>
          <w:sz w:val="20"/>
          <w:szCs w:val="20"/>
          <w:color w:val="auto"/>
        </w:rPr>
      </w:pPr>
      <w:r>
        <w:rPr>
          <w:rFonts w:ascii="Times New Roman" w:cs="Times New Roman" w:eastAsia="Times New Roman" w:hAnsi="Times New Roman"/>
          <w:sz w:val="22"/>
          <w:szCs w:val="22"/>
          <w:color w:val="auto"/>
        </w:rPr>
        <w:t>Insiders shall provide to the Compliance Officer any documentation reasonably requested by him or her in furtherance of the foregoing procedures. Any failure to provide such requested information will be grounds for denial of approval by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594995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8"/>
          </w:cols>
          <w:pgMar w:left="552" w:top="1440" w:right="579" w:bottom="1440" w:gutter="0" w:footer="0" w:header="0"/>
        </w:sectPr>
      </w:pPr>
    </w:p>
    <w:bookmarkStart w:id="149" w:name="page150"/>
    <w:bookmarkEnd w:id="149"/>
    <w:p>
      <w:pPr>
        <w:spacing w:after="0" w:line="248" w:lineRule="exact"/>
        <w:rPr>
          <w:sz w:val="20"/>
          <w:szCs w:val="20"/>
          <w:color w:val="auto"/>
        </w:rPr>
      </w:pPr>
    </w:p>
    <w:p>
      <w:pPr>
        <w:ind w:left="1500" w:hanging="759"/>
        <w:spacing w:after="0"/>
        <w:tabs>
          <w:tab w:leader="none" w:pos="150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Obligation to Approve Trades.</w:t>
      </w:r>
    </w:p>
    <w:p>
      <w:pPr>
        <w:spacing w:after="0" w:line="210" w:lineRule="exact"/>
        <w:rPr>
          <w:sz w:val="20"/>
          <w:szCs w:val="20"/>
          <w:color w:val="auto"/>
        </w:rPr>
      </w:pPr>
    </w:p>
    <w:p>
      <w:pPr>
        <w:jc w:val="both"/>
        <w:ind w:right="660" w:firstLine="749"/>
        <w:spacing w:after="0" w:line="244" w:lineRule="auto"/>
        <w:rPr>
          <w:sz w:val="20"/>
          <w:szCs w:val="20"/>
          <w:color w:val="auto"/>
        </w:rPr>
      </w:pPr>
      <w:r>
        <w:rPr>
          <w:rFonts w:ascii="Times New Roman" w:cs="Times New Roman" w:eastAsia="Times New Roman" w:hAnsi="Times New Roman"/>
          <w:sz w:val="22"/>
          <w:szCs w:val="22"/>
          <w:color w:val="auto"/>
        </w:rPr>
        <w:t>The existence of the foregoing approval procedures does not in any way obligate the Compliance Officer to approve any trade requested by an Insider. The Compliance Officer may reject any trading request at his or her sole discretion.</w:t>
      </w:r>
    </w:p>
    <w:p>
      <w:pPr>
        <w:spacing w:after="0" w:line="173"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1"/>
          <w:szCs w:val="21"/>
          <w:color w:val="auto"/>
        </w:rPr>
        <w:t>From time to time, an event may occur that is material to the Company and is known by only a few directors or executives. Insiders may not trade in Company securities if they are notified by the Compliance Officer that a proposed trade has not been cleared because of the existence of a material, nonpublic development. Even if that particular Insider is not aware of the material, nonpublic development involving the Company,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Compliance Officer may determine not to approve any transactions in the Company’s securities. The Compliance Officer will subsequently notify the Insider once the material, nonpublic development is disclosed to the public or resolved. If an Insider requests clearance to trade in the Company’s securities during the pendency of such an event, the Compliance Officer may reject the trading request without disclosing the reason.</w:t>
      </w:r>
    </w:p>
    <w:p>
      <w:pPr>
        <w:spacing w:after="0" w:line="167" w:lineRule="exact"/>
        <w:rPr>
          <w:sz w:val="20"/>
          <w:szCs w:val="20"/>
          <w:color w:val="auto"/>
        </w:rPr>
      </w:pPr>
    </w:p>
    <w:p>
      <w:pPr>
        <w:ind w:left="1500" w:hanging="759"/>
        <w:spacing w:after="0"/>
        <w:tabs>
          <w:tab w:leader="none" w:pos="150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Completion of Trades.</w:t>
      </w:r>
    </w:p>
    <w:p>
      <w:pPr>
        <w:spacing w:after="0" w:line="21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After receiving written clearance to engage in a trade signed by the Compliance Officer, an Insider must complete the proposed trade within two (2) business days or make a new trading request.</w:t>
      </w:r>
    </w:p>
    <w:p>
      <w:pPr>
        <w:spacing w:after="0" w:line="154" w:lineRule="exact"/>
        <w:rPr>
          <w:sz w:val="20"/>
          <w:szCs w:val="20"/>
          <w:color w:val="auto"/>
        </w:rPr>
      </w:pPr>
    </w:p>
    <w:p>
      <w:pPr>
        <w:ind w:left="1500" w:hanging="759"/>
        <w:spacing w:after="0"/>
        <w:tabs>
          <w:tab w:leader="none" w:pos="150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Post-Trade Reporting.</w:t>
      </w:r>
    </w:p>
    <w:p>
      <w:pPr>
        <w:spacing w:after="0" w:line="210" w:lineRule="exact"/>
        <w:rPr>
          <w:sz w:val="20"/>
          <w:szCs w:val="20"/>
          <w:color w:val="auto"/>
        </w:rPr>
      </w:pPr>
    </w:p>
    <w:p>
      <w:pPr>
        <w:ind w:right="100" w:firstLine="749"/>
        <w:spacing w:after="0" w:line="233" w:lineRule="auto"/>
        <w:rPr>
          <w:sz w:val="20"/>
          <w:szCs w:val="20"/>
          <w:color w:val="auto"/>
        </w:rPr>
      </w:pPr>
      <w:r>
        <w:rPr>
          <w:rFonts w:ascii="Times New Roman" w:cs="Times New Roman" w:eastAsia="Times New Roman" w:hAnsi="Times New Roman"/>
          <w:sz w:val="22"/>
          <w:szCs w:val="22"/>
          <w:color w:val="auto"/>
        </w:rPr>
        <w:t>Any transactions in the Company’s securities by an Insider (including transactions effected pursuant to a Rule 10b5-1 Plan) must be reported to the Compliance Officer by completing the “Confirmation of Transaction” section of the Stock Transaction Request form attached to this Policy on the same day in which such a transaction occurs. Each report an Insider makes to the Compliance Officer should include the date of the transaction, quantity of shares, price and broker-dealer through which the transaction was effected. This reporting requirement may be satisfied by sending (or having such Insider’s broker send) duplicate confirmations of trades to the Compliance Officer if such information is received by the Compliance Officer on or before the required date. Compliance by directors and executive officers with this provision is imperative given the requirement of Section 16 of the Exchange Act that these persons generally must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603885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60" w:top="1440" w:right="639" w:bottom="1440" w:gutter="0" w:footer="0" w:header="0"/>
        </w:sectPr>
      </w:pPr>
    </w:p>
    <w:bookmarkStart w:id="150" w:name="page151"/>
    <w:bookmarkEnd w:id="150"/>
    <w:p>
      <w:pPr>
        <w:spacing w:after="0" w:line="246" w:lineRule="exact"/>
        <w:rPr>
          <w:sz w:val="20"/>
          <w:szCs w:val="20"/>
          <w:color w:val="auto"/>
        </w:rPr>
      </w:pPr>
    </w:p>
    <w:p>
      <w:pPr>
        <w:ind w:left="748" w:hanging="748"/>
        <w:spacing w:after="0"/>
        <w:tabs>
          <w:tab w:leader="none" w:pos="748" w:val="left"/>
        </w:tabs>
        <w:numPr>
          <w:ilvl w:val="0"/>
          <w:numId w:val="7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Exemptions</w:t>
      </w:r>
    </w:p>
    <w:p>
      <w:pPr>
        <w:spacing w:after="0" w:line="208" w:lineRule="exact"/>
        <w:rPr>
          <w:sz w:val="20"/>
          <w:szCs w:val="20"/>
          <w:color w:val="auto"/>
        </w:rPr>
      </w:pPr>
    </w:p>
    <w:p>
      <w:pPr>
        <w:ind w:left="1508" w:hanging="759"/>
        <w:spacing w:after="0"/>
        <w:tabs>
          <w:tab w:leader="none" w:pos="1508"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Pre-Approved Rule 10b5-1 Plan.</w:t>
      </w:r>
    </w:p>
    <w:p>
      <w:pPr>
        <w:spacing w:after="0" w:line="210" w:lineRule="exact"/>
        <w:rPr>
          <w:sz w:val="20"/>
          <w:szCs w:val="20"/>
          <w:color w:val="auto"/>
        </w:rPr>
      </w:pPr>
    </w:p>
    <w:p>
      <w:pPr>
        <w:ind w:left="8" w:firstLine="749"/>
        <w:spacing w:after="0" w:line="235" w:lineRule="auto"/>
        <w:rPr>
          <w:sz w:val="20"/>
          <w:szCs w:val="20"/>
          <w:color w:val="auto"/>
        </w:rPr>
      </w:pPr>
      <w:r>
        <w:rPr>
          <w:rFonts w:ascii="Times New Roman" w:cs="Times New Roman" w:eastAsia="Times New Roman" w:hAnsi="Times New Roman"/>
          <w:sz w:val="22"/>
          <w:szCs w:val="22"/>
          <w:color w:val="auto"/>
        </w:rPr>
        <w:t>Transactions effected pursuant to a Rule 10b5-1 Plan (as defined below) will not be subject to the Company’s pre-clearance procedures, and Insiders are not required to complete a Stock Transaction Request form for such transactions. Rule 10b5-1 of the Exchange Act provides an affirmative defense from insider trading liability under the federal securities laws for trading plans, arrangements or instructions that meet certain requirements. A trading plan, arrangement or instruction that meets the requirements of Rule 10b5-1 (a “Rule 10b5-1 Plan”) enables Insiders to establish arrangements to trade in Company securities outside of the Company’s trading windows, even when in possession of material, nonpublic information.</w:t>
      </w:r>
    </w:p>
    <w:p>
      <w:pPr>
        <w:spacing w:after="0" w:line="183" w:lineRule="exact"/>
        <w:rPr>
          <w:sz w:val="20"/>
          <w:szCs w:val="20"/>
          <w:color w:val="auto"/>
        </w:rPr>
      </w:pPr>
    </w:p>
    <w:p>
      <w:pPr>
        <w:ind w:left="8" w:right="100" w:firstLine="749"/>
        <w:spacing w:after="0" w:line="258" w:lineRule="auto"/>
        <w:rPr>
          <w:sz w:val="20"/>
          <w:szCs w:val="20"/>
          <w:color w:val="auto"/>
        </w:rPr>
      </w:pPr>
      <w:r>
        <w:rPr>
          <w:rFonts w:ascii="Times New Roman" w:cs="Times New Roman" w:eastAsia="Times New Roman" w:hAnsi="Times New Roman"/>
          <w:sz w:val="22"/>
          <w:szCs w:val="22"/>
          <w:color w:val="auto"/>
        </w:rPr>
        <w:t>The Company has adopted a separate Rule 10b5-1 Trading Plan Policy that sets forth the requirements for putting in place a Rule 10b5-1 Plan with respect to Company securities.</w:t>
      </w:r>
    </w:p>
    <w:p>
      <w:pPr>
        <w:spacing w:after="0" w:line="154" w:lineRule="exact"/>
        <w:rPr>
          <w:sz w:val="20"/>
          <w:szCs w:val="20"/>
          <w:color w:val="auto"/>
        </w:rPr>
      </w:pPr>
    </w:p>
    <w:p>
      <w:pPr>
        <w:ind w:left="1508" w:hanging="759"/>
        <w:spacing w:after="0"/>
        <w:tabs>
          <w:tab w:leader="none" w:pos="1508"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Benefit Plans.</w:t>
      </w:r>
    </w:p>
    <w:p>
      <w:pPr>
        <w:spacing w:after="0" w:line="204" w:lineRule="exact"/>
        <w:rPr>
          <w:sz w:val="20"/>
          <w:szCs w:val="20"/>
          <w:color w:val="auto"/>
        </w:rPr>
      </w:pPr>
    </w:p>
    <w:p>
      <w:pPr>
        <w:ind w:left="8" w:right="60" w:firstLine="749"/>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Exercise of Stock Options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trading prohibitions and restrictions set forth in the Trading Procedures do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apply to the exercise of an option to purchase securities of the Company when payment of the exercise price is made in cash. However, the exercise of an option to purchase securities of the Company is subject to the current reporting requirements of Section 16 of the Exchange Act and, therefore, Insiders must comply with the post-trade reporting requirement described in Section C above for any such transaction. In addition, the securities acquired upon the exercise of an option to purchase Company securities are subject to all of the requirements of this Policy, including the Trading Procedures contained herein.</w:t>
      </w:r>
    </w:p>
    <w:p>
      <w:pPr>
        <w:spacing w:after="0" w:line="4" w:lineRule="exact"/>
        <w:rPr>
          <w:sz w:val="20"/>
          <w:szCs w:val="20"/>
          <w:color w:val="auto"/>
        </w:rPr>
      </w:pPr>
    </w:p>
    <w:p>
      <w:pPr>
        <w:ind w:left="8" w:right="180"/>
        <w:spacing w:after="0" w:line="234" w:lineRule="auto"/>
        <w:rPr>
          <w:sz w:val="20"/>
          <w:szCs w:val="20"/>
          <w:color w:val="auto"/>
        </w:rPr>
      </w:pPr>
      <w:r>
        <w:rPr>
          <w:rFonts w:ascii="Times New Roman" w:cs="Times New Roman" w:eastAsia="Times New Roman" w:hAnsi="Times New Roman"/>
          <w:sz w:val="22"/>
          <w:szCs w:val="22"/>
          <w:color w:val="auto"/>
        </w:rPr>
        <w:t>Moreover, the Trading Procedures apply to the use of outstanding Company securities to pay part or all of the exercise price of an option, any net option exercise, any exercise of a stock appreciation right, share withholding, any sale of stock as part of a broker-assisted cashless exercise of an option, or any other market sale for the purpose of generating the cash needed to pay the exercise price of an option.</w:t>
      </w:r>
    </w:p>
    <w:p>
      <w:pPr>
        <w:spacing w:after="0" w:line="171" w:lineRule="exact"/>
        <w:rPr>
          <w:sz w:val="20"/>
          <w:szCs w:val="20"/>
          <w:color w:val="auto"/>
        </w:rPr>
      </w:pPr>
    </w:p>
    <w:p>
      <w:pPr>
        <w:ind w:left="8" w:firstLine="749"/>
        <w:spacing w:after="0" w:line="239" w:lineRule="auto"/>
        <w:rPr>
          <w:sz w:val="20"/>
          <w:szCs w:val="20"/>
          <w:color w:val="auto"/>
        </w:rPr>
      </w:pPr>
      <w:r>
        <w:rPr>
          <w:rFonts w:ascii="Times New Roman" w:cs="Times New Roman" w:eastAsia="Times New Roman" w:hAnsi="Times New Roman"/>
          <w:sz w:val="22"/>
          <w:szCs w:val="22"/>
          <w:b w:val="1"/>
          <w:bCs w:val="1"/>
          <w:i w:val="1"/>
          <w:iCs w:val="1"/>
          <w:color w:val="auto"/>
        </w:rPr>
        <w:t>Tax Withholding on Restricted Stock/Units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trading prohibitions and restrictions set forth in the Trading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Procedures do not apply to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597535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8"/>
          </w:cols>
          <w:pgMar w:left="552" w:top="1440" w:right="659" w:bottom="1440" w:gutter="0" w:footer="0" w:header="0"/>
        </w:sectPr>
      </w:pPr>
    </w:p>
    <w:bookmarkStart w:id="151" w:name="page152"/>
    <w:bookmarkEnd w:id="151"/>
    <w:p>
      <w:pPr>
        <w:spacing w:after="0" w:line="200" w:lineRule="exact"/>
        <w:rPr>
          <w:sz w:val="20"/>
          <w:szCs w:val="20"/>
          <w:color w:val="auto"/>
        </w:rPr>
      </w:pPr>
    </w:p>
    <w:p>
      <w:pPr>
        <w:spacing w:after="0" w:line="221" w:lineRule="exact"/>
        <w:rPr>
          <w:sz w:val="20"/>
          <w:szCs w:val="20"/>
          <w:color w:val="auto"/>
        </w:rPr>
      </w:pPr>
    </w:p>
    <w:p>
      <w:pPr>
        <w:ind w:left="8" w:right="120" w:firstLine="749"/>
        <w:spacing w:after="0" w:line="249" w:lineRule="auto"/>
        <w:rPr>
          <w:sz w:val="20"/>
          <w:szCs w:val="20"/>
          <w:color w:val="auto"/>
        </w:rPr>
      </w:pPr>
      <w:r>
        <w:rPr>
          <w:rFonts w:ascii="Times New Roman" w:cs="Times New Roman" w:eastAsia="Times New Roman" w:hAnsi="Times New Roman"/>
          <w:sz w:val="21"/>
          <w:szCs w:val="21"/>
          <w:b w:val="1"/>
          <w:bCs w:val="1"/>
          <w:i w:val="1"/>
          <w:iCs w:val="1"/>
          <w:color w:val="auto"/>
        </w:rPr>
        <w:t>Employee Stock Purchase Plan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The trading prohibitions and restrictions set forth in the Trading Procedures do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not apply to periodic wage withholding contributions by the Company or employees of the Company which are used to purchase the Company’s securities pursuant to the employees’ advance instructions under the Company’s 2020 Employee Stock Purchase Plan However, no Insider may: (a) elect to participate in the plan or alter his or her instructions regarding the level of withholding or purchase by the Insider of Company securities under such plan; or (b) make cash contributions to such plan (other than through periodic wage withholding) without complying with the Trading Procedures. Any sale of securities acquired under such plan is subject to the prohibitions and restrictions of the Trading Procedures.</w:t>
      </w:r>
    </w:p>
    <w:p>
      <w:pPr>
        <w:spacing w:after="0" w:line="163" w:lineRule="exact"/>
        <w:rPr>
          <w:sz w:val="20"/>
          <w:szCs w:val="20"/>
          <w:color w:val="auto"/>
        </w:rPr>
      </w:pPr>
    </w:p>
    <w:p>
      <w:pPr>
        <w:ind w:left="748" w:hanging="748"/>
        <w:spacing w:after="0"/>
        <w:tabs>
          <w:tab w:leader="none" w:pos="748" w:val="left"/>
        </w:tabs>
        <w:numPr>
          <w:ilvl w:val="0"/>
          <w:numId w:val="81"/>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Waivers</w:t>
      </w:r>
    </w:p>
    <w:p>
      <w:pPr>
        <w:spacing w:after="0" w:line="212" w:lineRule="exact"/>
        <w:rPr>
          <w:sz w:val="20"/>
          <w:szCs w:val="20"/>
          <w:color w:val="auto"/>
        </w:rPr>
      </w:pPr>
    </w:p>
    <w:p>
      <w:pPr>
        <w:ind w:left="8" w:firstLine="749"/>
        <w:spacing w:after="0" w:line="244" w:lineRule="auto"/>
        <w:rPr>
          <w:sz w:val="20"/>
          <w:szCs w:val="20"/>
          <w:color w:val="auto"/>
        </w:rPr>
      </w:pPr>
      <w:r>
        <w:rPr>
          <w:rFonts w:ascii="Times New Roman" w:cs="Times New Roman" w:eastAsia="Times New Roman" w:hAnsi="Times New Roman"/>
          <w:sz w:val="22"/>
          <w:szCs w:val="22"/>
          <w:color w:val="auto"/>
        </w:rPr>
        <w:t>A waiver of any provision of this Policy, or the Trading Procedures contained herein, in a specific instance may be authorized in writing by the Compliance Officer or Audit Committee of the Board of Directors, and any such waiver shall be reported to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594995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8"/>
          </w:cols>
          <w:pgMar w:left="552" w:top="1440" w:right="679" w:bottom="1440" w:gutter="0" w:footer="0" w:header="0"/>
        </w:sectPr>
      </w:pPr>
    </w:p>
    <w:bookmarkStart w:id="152" w:name="page153"/>
    <w:bookmarkEnd w:id="152"/>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III. ACKNOWLEDGEMENT</w:t>
      </w:r>
    </w:p>
    <w:p>
      <w:pPr>
        <w:spacing w:after="0" w:line="210" w:lineRule="exact"/>
        <w:rPr>
          <w:sz w:val="20"/>
          <w:szCs w:val="20"/>
          <w:color w:val="auto"/>
        </w:rPr>
      </w:pPr>
    </w:p>
    <w:p>
      <w:pPr>
        <w:ind w:right="160" w:firstLine="749"/>
        <w:spacing w:after="0" w:line="238" w:lineRule="auto"/>
        <w:rPr>
          <w:sz w:val="20"/>
          <w:szCs w:val="20"/>
          <w:color w:val="auto"/>
        </w:rPr>
      </w:pPr>
      <w:r>
        <w:rPr>
          <w:rFonts w:ascii="Times New Roman" w:cs="Times New Roman" w:eastAsia="Times New Roman" w:hAnsi="Times New Roman"/>
          <w:sz w:val="22"/>
          <w:szCs w:val="22"/>
          <w:color w:val="auto"/>
        </w:rPr>
        <w:t>This Policy will be delivered to all current Insiders and to all directors, officers, employees and designated consultants at the start of their employment or relationship with the Company. Upon first receiving a copy of this Policy, each individual must acknowledge that he or she has received a copy and agrees to comply with the terms of this Insider Trading Policy, and, if applicable, the Trading Procedures contained herein. The acknowledgment must be returned within ten (10) days of receipt to:</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Ellen Chiniara, JD Chief Legal</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Officer</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Kymera Therapeutics, Inc.</w:t>
      </w:r>
    </w:p>
    <w:p>
      <w:pPr>
        <w:jc w:val="center"/>
        <w:ind w:right="-19"/>
        <w:spacing w:after="0" w:line="231" w:lineRule="auto"/>
        <w:rPr>
          <w:sz w:val="20"/>
          <w:szCs w:val="20"/>
          <w:color w:val="auto"/>
        </w:rPr>
      </w:pPr>
      <w:r>
        <w:rPr>
          <w:rFonts w:ascii="Times New Roman" w:cs="Times New Roman" w:eastAsia="Times New Roman" w:hAnsi="Times New Roman"/>
          <w:sz w:val="22"/>
          <w:szCs w:val="22"/>
          <w:color w:val="auto"/>
        </w:rPr>
        <w:t>500 North Beacon Street, 4th Floor</w:t>
      </w:r>
    </w:p>
    <w:p>
      <w:pPr>
        <w:jc w:val="center"/>
        <w:ind w:right="-19"/>
        <w:spacing w:after="0"/>
        <w:rPr>
          <w:sz w:val="20"/>
          <w:szCs w:val="20"/>
          <w:color w:val="auto"/>
        </w:rPr>
      </w:pPr>
      <w:r>
        <w:rPr>
          <w:rFonts w:ascii="Times New Roman" w:cs="Times New Roman" w:eastAsia="Times New Roman" w:hAnsi="Times New Roman"/>
          <w:sz w:val="22"/>
          <w:szCs w:val="22"/>
          <w:color w:val="auto"/>
        </w:rPr>
        <w:t>Watertown, MA 02472</w:t>
      </w:r>
    </w:p>
    <w:p>
      <w:pPr>
        <w:spacing w:after="0" w:line="209"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This acknowledgment will constitute consent for the Company to impose sanctions for violation of the Insider Trading Policy, including the Trading Procedures, and to issue any necessary stop-transfer orders to the Company’s transfer agent to ensure compliance.</w:t>
      </w:r>
    </w:p>
    <w:p>
      <w:pPr>
        <w:spacing w:after="0" w:line="200" w:lineRule="exact"/>
        <w:rPr>
          <w:sz w:val="20"/>
          <w:szCs w:val="20"/>
          <w:color w:val="auto"/>
        </w:rPr>
      </w:pPr>
    </w:p>
    <w:p>
      <w:pPr>
        <w:spacing w:after="0" w:line="216"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All directors, officers, employees and designated consultants will be required upon the Company’s request to re-acknowledge and agree to comply with the Policy (including any amendments or modifications). For such purpose, an individual will be deemed to have acknowledged and agreed to comply with the Policy, as amended from time to time, when copies of such items have been delivered by regular or electronic mail (or other delivery option used by the Company) by the Compliance Officer or his or her designee.</w:t>
      </w:r>
    </w:p>
    <w:p>
      <w:pPr>
        <w:spacing w:after="0" w:line="177" w:lineRule="exact"/>
        <w:rPr>
          <w:sz w:val="20"/>
          <w:szCs w:val="20"/>
          <w:color w:val="auto"/>
        </w:rPr>
      </w:pPr>
    </w:p>
    <w:p>
      <w:pPr>
        <w:ind w:left="4900"/>
        <w:spacing w:after="0"/>
        <w:tabs>
          <w:tab w:leader="none" w:pos="5320" w:val="left"/>
          <w:tab w:leader="none" w:pos="574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tab/>
        <w:t>*</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Questions regarding this Policy are encouraged and may be directed to the Compliance Officer.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Amended and Restated effective June 28,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Amended effective February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615315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60" w:top="1440" w:right="599" w:bottom="1440" w:gutter="0" w:footer="0" w:header="0"/>
        </w:sectPr>
      </w:pPr>
    </w:p>
    <w:bookmarkStart w:id="153" w:name="page154"/>
    <w:bookmarkEnd w:id="153"/>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STOCK TRANSACTION REQUEST</w:t>
      </w:r>
    </w:p>
    <w:p>
      <w:pPr>
        <w:spacing w:after="0" w:line="222" w:lineRule="exact"/>
        <w:rPr>
          <w:sz w:val="20"/>
          <w:szCs w:val="20"/>
          <w:color w:val="auto"/>
        </w:rPr>
      </w:pPr>
    </w:p>
    <w:p>
      <w:pPr>
        <w:ind w:left="120" w:right="340"/>
        <w:spacing w:after="0" w:line="301" w:lineRule="auto"/>
        <w:rPr>
          <w:sz w:val="20"/>
          <w:szCs w:val="20"/>
          <w:color w:val="auto"/>
        </w:rPr>
      </w:pPr>
      <w:r>
        <w:rPr>
          <w:rFonts w:ascii="Times New Roman" w:cs="Times New Roman" w:eastAsia="Times New Roman" w:hAnsi="Times New Roman"/>
          <w:sz w:val="16"/>
          <w:szCs w:val="16"/>
          <w:color w:val="auto"/>
        </w:rPr>
        <w:t>Pursuant to Kymera Therapeutics, Inc.’s Insider Trading Policy, I hereby notify Kymera Therapeutics,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of my intent to trade the securities of the Company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238125</wp:posOffset>
            </wp:positionV>
            <wp:extent cx="6990715" cy="33883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extLst>
                        <a:ext uri="{28A0092B-C50C-407E-A947-70E740481C1C}"/>
                      </a:extLst>
                    </a:blip>
                    <a:srcRect/>
                    <a:stretch>
                      <a:fillRect/>
                    </a:stretch>
                  </pic:blipFill>
                  <pic:spPr bwMode="auto">
                    <a:xfrm>
                      <a:off x="0" y="0"/>
                      <a:ext cx="6990715" cy="3388360"/>
                    </a:xfrm>
                    <a:prstGeom prst="rect">
                      <a:avLst/>
                    </a:prstGeom>
                    <a:noFill/>
                  </pic:spPr>
                </pic:pic>
              </a:graphicData>
            </a:graphic>
          </wp:anchor>
        </w:drawing>
      </w:r>
    </w:p>
    <w:p>
      <w:pPr>
        <w:spacing w:after="0" w:line="3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b w:val="1"/>
          <w:bCs w:val="1"/>
          <w:u w:val="single" w:color="auto"/>
          <w:color w:val="auto"/>
        </w:rPr>
        <w:t>REQUESTER INFORMATION</w:t>
      </w:r>
    </w:p>
    <w:p>
      <w:pPr>
        <w:spacing w:after="0" w:line="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Insider’s Name:</w:t>
      </w:r>
    </w:p>
    <w:p>
      <w:pPr>
        <w:spacing w:after="0" w:line="21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b w:val="1"/>
          <w:bCs w:val="1"/>
          <w:u w:val="single" w:color="auto"/>
          <w:color w:val="auto"/>
        </w:rPr>
        <w:t>INTENT TO PURCHASE</w:t>
      </w:r>
    </w:p>
    <w:p>
      <w:pPr>
        <w:spacing w:after="0" w:line="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Number of shares:</w:t>
      </w:r>
    </w:p>
    <w:p>
      <w:pPr>
        <w:spacing w:after="0" w:line="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Intended tradedate:</w:t>
      </w:r>
    </w:p>
    <w:p>
      <w:pPr>
        <w:spacing w:after="0" w:line="36" w:lineRule="exact"/>
        <w:rPr>
          <w:sz w:val="20"/>
          <w:szCs w:val="20"/>
          <w:color w:val="auto"/>
        </w:rPr>
      </w:pPr>
    </w:p>
    <w:p>
      <w:pPr>
        <w:ind w:left="60"/>
        <w:spacing w:after="0" w:line="150" w:lineRule="exact"/>
        <w:tabs>
          <w:tab w:leader="none" w:pos="3540" w:val="left"/>
          <w:tab w:leader="none" w:pos="3880" w:val="left"/>
        </w:tabs>
        <w:rPr>
          <w:sz w:val="20"/>
          <w:szCs w:val="20"/>
          <w:color w:val="auto"/>
        </w:rPr>
      </w:pPr>
      <w:r>
        <w:rPr>
          <w:rFonts w:ascii="Times New Roman" w:cs="Times New Roman" w:eastAsia="Times New Roman" w:hAnsi="Times New Roman"/>
          <w:sz w:val="13"/>
          <w:szCs w:val="13"/>
          <w:color w:val="auto"/>
        </w:rPr>
        <w:t>Means of acquiring shares: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Acquisition through employee benefit plan(please specify):</w:t>
      </w:r>
    </w:p>
    <w:p>
      <w:pPr>
        <w:spacing w:after="0" w:line="219" w:lineRule="exact"/>
        <w:rPr>
          <w:sz w:val="20"/>
          <w:szCs w:val="20"/>
          <w:color w:val="auto"/>
        </w:rPr>
      </w:pPr>
    </w:p>
    <w:p>
      <w:pPr>
        <w:ind w:left="3880" w:hanging="311"/>
        <w:spacing w:after="0"/>
        <w:tabs>
          <w:tab w:leader="none" w:pos="3880" w:val="left"/>
        </w:tabs>
        <w:numPr>
          <w:ilvl w:val="0"/>
          <w:numId w:val="8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Purchase through a broker on the openmarket</w:t>
      </w:r>
    </w:p>
    <w:p>
      <w:pPr>
        <w:spacing w:after="0" w:line="201" w:lineRule="exact"/>
        <w:rPr>
          <w:rFonts w:ascii="MS PGothic" w:cs="MS PGothic" w:eastAsia="MS PGothic" w:hAnsi="MS PGothic"/>
          <w:sz w:val="13"/>
          <w:szCs w:val="13"/>
          <w:color w:val="auto"/>
        </w:rPr>
      </w:pPr>
    </w:p>
    <w:p>
      <w:pPr>
        <w:ind w:left="3900" w:hanging="331"/>
        <w:spacing w:after="0"/>
        <w:tabs>
          <w:tab w:leader="none" w:pos="3900" w:val="left"/>
        </w:tabs>
        <w:numPr>
          <w:ilvl w:val="0"/>
          <w:numId w:val="8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Other (please specify):</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b w:val="1"/>
          <w:bCs w:val="1"/>
          <w:u w:val="single" w:color="auto"/>
          <w:color w:val="auto"/>
        </w:rPr>
        <w:t>INTENT TOSELL</w:t>
      </w:r>
    </w:p>
    <w:p>
      <w:pPr>
        <w:spacing w:after="0" w:line="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Number of shares:</w:t>
      </w:r>
    </w:p>
    <w:p>
      <w:pPr>
        <w:spacing w:after="0" w:line="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Intended tradedate:</w:t>
      </w:r>
    </w:p>
    <w:p>
      <w:pPr>
        <w:spacing w:after="0" w:line="36" w:lineRule="exact"/>
        <w:rPr>
          <w:sz w:val="20"/>
          <w:szCs w:val="20"/>
          <w:color w:val="auto"/>
        </w:rPr>
      </w:pPr>
    </w:p>
    <w:p>
      <w:pPr>
        <w:ind w:left="60"/>
        <w:spacing w:after="0" w:line="150" w:lineRule="exact"/>
        <w:tabs>
          <w:tab w:leader="none" w:pos="3540" w:val="left"/>
          <w:tab w:leader="none" w:pos="3880" w:val="left"/>
        </w:tabs>
        <w:rPr>
          <w:sz w:val="20"/>
          <w:szCs w:val="20"/>
          <w:color w:val="auto"/>
        </w:rPr>
      </w:pPr>
      <w:r>
        <w:rPr>
          <w:rFonts w:ascii="Times New Roman" w:cs="Times New Roman" w:eastAsia="Times New Roman" w:hAnsi="Times New Roman"/>
          <w:sz w:val="13"/>
          <w:szCs w:val="13"/>
          <w:color w:val="auto"/>
        </w:rPr>
        <w:t>Means of sellingshares: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Sale through employee benefit plan (please specify):</w:t>
      </w:r>
    </w:p>
    <w:p>
      <w:pPr>
        <w:spacing w:after="0" w:line="219" w:lineRule="exact"/>
        <w:rPr>
          <w:sz w:val="20"/>
          <w:szCs w:val="20"/>
          <w:color w:val="auto"/>
        </w:rPr>
      </w:pPr>
    </w:p>
    <w:p>
      <w:pPr>
        <w:ind w:left="3880" w:hanging="311"/>
        <w:spacing w:after="0"/>
        <w:tabs>
          <w:tab w:leader="none" w:pos="3880" w:val="left"/>
        </w:tabs>
        <w:numPr>
          <w:ilvl w:val="0"/>
          <w:numId w:val="8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Sale through a broker on the openmarket</w:t>
      </w:r>
    </w:p>
    <w:p>
      <w:pPr>
        <w:spacing w:after="0" w:line="201" w:lineRule="exact"/>
        <w:rPr>
          <w:rFonts w:ascii="MS PGothic" w:cs="MS PGothic" w:eastAsia="MS PGothic" w:hAnsi="MS PGothic"/>
          <w:sz w:val="13"/>
          <w:szCs w:val="13"/>
          <w:color w:val="auto"/>
        </w:rPr>
      </w:pPr>
    </w:p>
    <w:p>
      <w:pPr>
        <w:ind w:left="3900" w:hanging="331"/>
        <w:spacing w:after="0"/>
        <w:tabs>
          <w:tab w:leader="none" w:pos="3900" w:val="left"/>
        </w:tabs>
        <w:numPr>
          <w:ilvl w:val="0"/>
          <w:numId w:val="8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Other (please specify):</w:t>
      </w:r>
    </w:p>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b w:val="1"/>
          <w:bCs w:val="1"/>
          <w:u w:val="single" w:color="auto"/>
          <w:color w:val="auto"/>
        </w:rPr>
        <w:t>CERTIFICATION</w:t>
      </w:r>
    </w:p>
    <w:p>
      <w:pPr>
        <w:spacing w:after="0" w:line="39" w:lineRule="exact"/>
        <w:rPr>
          <w:sz w:val="20"/>
          <w:szCs w:val="20"/>
          <w:color w:val="auto"/>
        </w:rPr>
      </w:pPr>
    </w:p>
    <w:p>
      <w:pPr>
        <w:ind w:left="140" w:right="300"/>
        <w:spacing w:after="0" w:line="251" w:lineRule="auto"/>
        <w:rPr>
          <w:sz w:val="20"/>
          <w:szCs w:val="20"/>
          <w:color w:val="auto"/>
        </w:rPr>
      </w:pPr>
      <w:r>
        <w:rPr>
          <w:rFonts w:ascii="Times New Roman" w:cs="Times New Roman" w:eastAsia="Times New Roman" w:hAnsi="Times New Roman"/>
          <w:sz w:val="13"/>
          <w:szCs w:val="13"/>
          <w:color w:val="auto"/>
        </w:rPr>
        <w:t>I hereby certify that (1) I am not in possession of any material, nonpublic information concerning the Company, as defined in the Company’s Insider Trading Policy, and (2) to the best of my knowledge, the proposed trade(s) listed above will not constitute a short-swing transaction for purposes of Section 16 of the Securities Exchange Act of 1934, as amended, and will satisfy the requirements of Rule 144 under the Securities Act of 1933, as amended. I understand that,if I trade while possessing such information or in violation of such trading restrictions, I may be subjectto severe civiland/or criminal penalties and may be subject to discipline by the Company including termination.</w:t>
      </w:r>
    </w:p>
    <w:p>
      <w:pPr>
        <w:spacing w:after="0" w:line="200" w:lineRule="exact"/>
        <w:rPr>
          <w:sz w:val="20"/>
          <w:szCs w:val="20"/>
          <w:color w:val="auto"/>
        </w:rPr>
      </w:pPr>
    </w:p>
    <w:p>
      <w:pPr>
        <w:spacing w:after="0" w:line="336"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3420" w:type="dxa"/>
            <w:vAlign w:val="bottom"/>
            <w:gridSpan w:val="7"/>
          </w:tcPr>
          <w:p>
            <w:pPr>
              <w:ind w:left="120"/>
              <w:spacing w:after="0"/>
              <w:rPr>
                <w:sz w:val="20"/>
                <w:szCs w:val="20"/>
                <w:color w:val="auto"/>
              </w:rPr>
            </w:pPr>
            <w:r>
              <w:rPr>
                <w:rFonts w:ascii="Times New Roman" w:cs="Times New Roman" w:eastAsia="Times New Roman" w:hAnsi="Times New Roman"/>
                <w:sz w:val="13"/>
                <w:szCs w:val="13"/>
                <w:color w:val="auto"/>
              </w:rPr>
              <w:t>Insider’s Signature</w:t>
            </w: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6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rPr>
              <w:t>Date</w:t>
            </w:r>
          </w:p>
        </w:tc>
        <w:tc>
          <w:tcPr>
            <w:tcW w:w="0" w:type="dxa"/>
            <w:vAlign w:val="bottom"/>
          </w:tcPr>
          <w:p>
            <w:pPr>
              <w:spacing w:after="0"/>
              <w:rPr>
                <w:sz w:val="1"/>
                <w:szCs w:val="1"/>
                <w:color w:val="auto"/>
              </w:rPr>
            </w:pPr>
          </w:p>
        </w:tc>
      </w:tr>
      <w:tr>
        <w:trPr>
          <w:trHeight w:val="109"/>
        </w:trPr>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140" w:type="dxa"/>
            <w:vAlign w:val="bottom"/>
            <w:tcBorders>
              <w:left w:val="single" w:sz="8" w:color="auto"/>
              <w:bottom w:val="single" w:sz="8" w:color="auto"/>
            </w:tcBorders>
          </w:tcPr>
          <w:p>
            <w:pPr>
              <w:spacing w:after="0"/>
              <w:rPr>
                <w:sz w:val="24"/>
                <w:szCs w:val="24"/>
                <w:color w:val="auto"/>
              </w:rPr>
            </w:pPr>
          </w:p>
        </w:tc>
        <w:tc>
          <w:tcPr>
            <w:tcW w:w="32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b w:val="1"/>
                <w:bCs w:val="1"/>
                <w:color w:val="auto"/>
              </w:rPr>
              <w:t>AUTHORIZED APPROVAL</w:t>
            </w: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60" w:type="dxa"/>
            <w:vAlign w:val="bottom"/>
            <w:tcBorders>
              <w:right w:val="single" w:sz="8" w:color="auto"/>
            </w:tcBorders>
            <w:gridSpan w:val="3"/>
            <w:vMerge w:val="restart"/>
          </w:tcPr>
          <w:p>
            <w:pPr>
              <w:ind w:left="500"/>
              <w:spacing w:after="0"/>
              <w:rPr>
                <w:sz w:val="20"/>
                <w:szCs w:val="20"/>
                <w:color w:val="auto"/>
              </w:rPr>
            </w:pPr>
            <w:r>
              <w:rPr>
                <w:rFonts w:ascii="Times New Roman" w:cs="Times New Roman" w:eastAsia="Times New Roman" w:hAnsi="Times New Roman"/>
                <w:sz w:val="13"/>
                <w:szCs w:val="13"/>
                <w:color w:val="auto"/>
              </w:rPr>
              <w:t>Date</w:t>
            </w:r>
          </w:p>
        </w:tc>
        <w:tc>
          <w:tcPr>
            <w:tcW w:w="0" w:type="dxa"/>
            <w:vAlign w:val="bottom"/>
          </w:tcPr>
          <w:p>
            <w:pPr>
              <w:spacing w:after="0"/>
              <w:rPr>
                <w:sz w:val="1"/>
                <w:szCs w:val="1"/>
                <w:color w:val="auto"/>
              </w:rPr>
            </w:pPr>
          </w:p>
        </w:tc>
      </w:tr>
      <w:tr>
        <w:trPr>
          <w:trHeight w:val="174"/>
        </w:trPr>
        <w:tc>
          <w:tcPr>
            <w:tcW w:w="140" w:type="dxa"/>
            <w:vAlign w:val="bottom"/>
            <w:tcBorders>
              <w:left w:val="single" w:sz="8" w:color="auto"/>
            </w:tcBorders>
          </w:tcPr>
          <w:p>
            <w:pPr>
              <w:spacing w:after="0"/>
              <w:rPr>
                <w:sz w:val="15"/>
                <w:szCs w:val="15"/>
                <w:color w:val="auto"/>
              </w:rPr>
            </w:pPr>
          </w:p>
        </w:tc>
        <w:tc>
          <w:tcPr>
            <w:tcW w:w="328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Signature of Compliance Officer (or designee)</w:t>
            </w: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60" w:type="dxa"/>
            <w:vAlign w:val="bottom"/>
            <w:tcBorders>
              <w:right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140" w:type="dxa"/>
            <w:vAlign w:val="bottom"/>
            <w:tcBorders>
              <w:left w:val="single" w:sz="8" w:color="auto"/>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40" w:type="dxa"/>
            <w:vAlign w:val="bottom"/>
            <w:tcBorders>
              <w:left w:val="single" w:sz="8" w:color="auto"/>
            </w:tcBorders>
          </w:tcPr>
          <w:p>
            <w:pPr>
              <w:spacing w:after="0"/>
              <w:rPr>
                <w:sz w:val="12"/>
                <w:szCs w:val="12"/>
                <w:color w:val="auto"/>
              </w:rPr>
            </w:pPr>
          </w:p>
        </w:tc>
        <w:tc>
          <w:tcPr>
            <w:tcW w:w="2360" w:type="dxa"/>
            <w:vAlign w:val="bottom"/>
            <w:tcBorders>
              <w:bottom w:val="single" w:sz="8" w:color="auto"/>
            </w:tcBorders>
            <w:gridSpan w:val="4"/>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CONFIRMATION OF TRANSACTION</w:t>
            </w:r>
          </w:p>
        </w:tc>
        <w:tc>
          <w:tcPr>
            <w:tcW w:w="920" w:type="dxa"/>
            <w:vAlign w:val="bottom"/>
            <w:gridSpan w:val="2"/>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40" w:type="dxa"/>
            <w:vAlign w:val="bottom"/>
            <w:tcBorders>
              <w:left w:val="single" w:sz="8" w:color="auto"/>
            </w:tcBorders>
          </w:tcPr>
          <w:p>
            <w:pPr>
              <w:spacing w:after="0"/>
              <w:rPr>
                <w:sz w:val="17"/>
                <w:szCs w:val="17"/>
                <w:color w:val="auto"/>
              </w:rPr>
            </w:pPr>
          </w:p>
        </w:tc>
        <w:tc>
          <w:tcPr>
            <w:tcW w:w="48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I hereby confirm that the transaction(s) requested above was (were) executed as follows:</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740" w:type="dxa"/>
            <w:vAlign w:val="bottom"/>
            <w:tcBorders>
              <w:left w:val="single" w:sz="8" w:color="auto"/>
            </w:tcBorders>
            <w:gridSpan w:val="3"/>
            <w:vMerge w:val="restart"/>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Purchase of shares:</w:t>
            </w:r>
          </w:p>
        </w:tc>
        <w:tc>
          <w:tcPr>
            <w:tcW w:w="15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Price pershare:</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color w:val="auto"/>
              </w:rPr>
              <w:t>Date and approximate time of purchase:</w:t>
            </w:r>
          </w:p>
        </w:tc>
        <w:tc>
          <w:tcPr>
            <w:tcW w:w="0" w:type="dxa"/>
            <w:vAlign w:val="bottom"/>
          </w:tcPr>
          <w:p>
            <w:pPr>
              <w:spacing w:after="0"/>
              <w:rPr>
                <w:sz w:val="1"/>
                <w:szCs w:val="1"/>
                <w:color w:val="auto"/>
              </w:rPr>
            </w:pPr>
          </w:p>
        </w:tc>
      </w:tr>
      <w:tr>
        <w:trPr>
          <w:trHeight w:val="174"/>
        </w:trPr>
        <w:tc>
          <w:tcPr>
            <w:tcW w:w="740" w:type="dxa"/>
            <w:vAlign w:val="bottom"/>
            <w:tcBorders>
              <w:left w:val="single" w:sz="8" w:color="auto"/>
            </w:tcBorders>
            <w:gridSpan w:val="3"/>
            <w:vMerge w:val="continue"/>
          </w:tcPr>
          <w:p>
            <w:pPr>
              <w:spacing w:after="0"/>
              <w:rPr>
                <w:sz w:val="15"/>
                <w:szCs w:val="15"/>
                <w:color w:val="auto"/>
              </w:rPr>
            </w:pP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*Number of shares:</w:t>
            </w:r>
          </w:p>
        </w:tc>
        <w:tc>
          <w:tcPr>
            <w:tcW w:w="154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5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8"/>
        </w:trPr>
        <w:tc>
          <w:tcPr>
            <w:tcW w:w="740" w:type="dxa"/>
            <w:vAlign w:val="bottom"/>
            <w:tcBorders>
              <w:left w:val="single" w:sz="8" w:color="auto"/>
            </w:tcBorders>
            <w:gridSpan w:val="3"/>
          </w:tcPr>
          <w:p>
            <w:pPr>
              <w:ind w:left="100"/>
              <w:spacing w:after="0" w:line="131" w:lineRule="exact"/>
              <w:rPr>
                <w:sz w:val="20"/>
                <w:szCs w:val="20"/>
                <w:color w:val="auto"/>
              </w:rPr>
            </w:pPr>
            <w:r>
              <w:rPr>
                <w:rFonts w:ascii="MS PGothic" w:cs="MS PGothic" w:eastAsia="MS PGothic" w:hAnsi="MS PGothic"/>
                <w:sz w:val="13"/>
                <w:szCs w:val="13"/>
                <w:color w:val="auto"/>
              </w:rPr>
              <w:t>☐</w:t>
            </w: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Sale of shares:</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40" w:type="dxa"/>
            <w:vAlign w:val="bottom"/>
            <w:tcBorders>
              <w:lef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*Number of shares:</w:t>
            </w:r>
          </w:p>
        </w:tc>
        <w:tc>
          <w:tcPr>
            <w:tcW w:w="15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3"/>
                <w:szCs w:val="13"/>
                <w:color w:val="auto"/>
              </w:rPr>
              <w:t>Price pershare:</w:t>
            </w: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5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3"/>
                <w:szCs w:val="13"/>
                <w:color w:val="auto"/>
              </w:rPr>
              <w:t>Date and approximate time of sale:</w:t>
            </w:r>
          </w:p>
        </w:tc>
        <w:tc>
          <w:tcPr>
            <w:tcW w:w="0" w:type="dxa"/>
            <w:vAlign w:val="bottom"/>
          </w:tcPr>
          <w:p>
            <w:pPr>
              <w:spacing w:after="0"/>
              <w:rPr>
                <w:sz w:val="1"/>
                <w:szCs w:val="1"/>
                <w:color w:val="auto"/>
              </w:rPr>
            </w:pPr>
          </w:p>
        </w:tc>
      </w:tr>
      <w:tr>
        <w:trPr>
          <w:trHeight w:val="94"/>
        </w:trPr>
        <w:tc>
          <w:tcPr>
            <w:tcW w:w="140" w:type="dxa"/>
            <w:vAlign w:val="bottom"/>
            <w:tcBorders>
              <w:lef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5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5"/>
        </w:trPr>
        <w:tc>
          <w:tcPr>
            <w:tcW w:w="140" w:type="dxa"/>
            <w:vAlign w:val="bottom"/>
            <w:tcBorders>
              <w:lef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Insider’s Signature</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Date</w:t>
            </w:r>
          </w:p>
        </w:tc>
        <w:tc>
          <w:tcPr>
            <w:tcW w:w="0" w:type="dxa"/>
            <w:vAlign w:val="bottom"/>
          </w:tcPr>
          <w:p>
            <w:pPr>
              <w:spacing w:after="0"/>
              <w:rPr>
                <w:sz w:val="1"/>
                <w:szCs w:val="1"/>
                <w:color w:val="auto"/>
              </w:rPr>
            </w:pPr>
          </w:p>
        </w:tc>
      </w:tr>
      <w:tr>
        <w:trPr>
          <w:trHeight w:val="163"/>
        </w:trPr>
        <w:tc>
          <w:tcPr>
            <w:tcW w:w="140" w:type="dxa"/>
            <w:vAlign w:val="bottom"/>
            <w:tcBorders>
              <w:left w:val="single" w:sz="8" w:color="auto"/>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5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7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Signature</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Date</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i w:val="1"/>
          <w:iCs w:val="1"/>
          <w:color w:val="auto"/>
        </w:rPr>
        <w:t>*NOTE: Multiple lots must be listed on separate forms or broken out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612140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1790700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4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ACKNOWLEDGMENT</w:t>
      </w:r>
    </w:p>
    <w:p>
      <w:pPr>
        <w:spacing w:after="0" w:line="210" w:lineRule="exact"/>
        <w:rPr>
          <w:sz w:val="20"/>
          <w:szCs w:val="20"/>
          <w:color w:val="auto"/>
        </w:rPr>
      </w:pPr>
    </w:p>
    <w:p>
      <w:pPr>
        <w:ind w:left="120" w:firstLine="749"/>
        <w:spacing w:after="0" w:line="248" w:lineRule="auto"/>
        <w:rPr>
          <w:sz w:val="20"/>
          <w:szCs w:val="20"/>
          <w:color w:val="auto"/>
        </w:rPr>
      </w:pPr>
      <w:r>
        <w:rPr>
          <w:rFonts w:ascii="Times New Roman" w:cs="Times New Roman" w:eastAsia="Times New Roman" w:hAnsi="Times New Roman"/>
          <w:sz w:val="21"/>
          <w:szCs w:val="21"/>
          <w:color w:val="auto"/>
        </w:rPr>
        <w:t>I hereby acknowledge that I have read, that I understand, and that I agree to comply with, Insider Trading Policy of Kymera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 further acknowledge and agree that I am responsible for ensuring compliance with the Insider Trading Policy and the Trading Procedures included therein by all of my “Affiliated Persons” [(including such persons listed below)]. I also understand and agree that I will be subject to sanctions, including termination of employment, that may be imposed by the Company, in its sole discretion, for violation of the Insider Trading Policy, and that the Company may give stop-transfer and other instructions to the Company’s transfer agent against the transfer of any Company securities in a transaction that the Company considers to be in contravention of the Insider Trading Policy.</w:t>
      </w:r>
    </w:p>
    <w:p>
      <w:pPr>
        <w:spacing w:after="0" w:line="170" w:lineRule="exact"/>
        <w:rPr>
          <w:sz w:val="20"/>
          <w:szCs w:val="20"/>
          <w:color w:val="auto"/>
        </w:rPr>
      </w:pPr>
    </w:p>
    <w:p>
      <w:pPr>
        <w:ind w:left="120" w:right="300" w:firstLine="749"/>
        <w:spacing w:after="0" w:line="241" w:lineRule="auto"/>
        <w:rPr>
          <w:sz w:val="20"/>
          <w:szCs w:val="20"/>
          <w:color w:val="auto"/>
        </w:rPr>
      </w:pPr>
      <w:r>
        <w:rPr>
          <w:rFonts w:ascii="Times New Roman" w:cs="Times New Roman" w:eastAsia="Times New Roman" w:hAnsi="Times New Roman"/>
          <w:sz w:val="22"/>
          <w:szCs w:val="22"/>
          <w:color w:val="auto"/>
        </w:rPr>
        <w:t>I hereby designate the following investment funds and partnerships as entities for which the Trading Procedures contained in the Insider trading Policy shall not</w:t>
      </w:r>
    </w:p>
    <w:p>
      <w:pPr>
        <w:spacing w:after="0" w:line="2" w:lineRule="exact"/>
        <w:rPr>
          <w:sz w:val="20"/>
          <w:szCs w:val="20"/>
          <w:color w:val="auto"/>
        </w:rPr>
      </w:pPr>
    </w:p>
    <w:p>
      <w:pPr>
        <w:ind w:left="120" w:right="120"/>
        <w:spacing w:after="0" w:line="232" w:lineRule="auto"/>
        <w:rPr>
          <w:sz w:val="20"/>
          <w:szCs w:val="20"/>
          <w:color w:val="auto"/>
        </w:rPr>
      </w:pPr>
      <w:r>
        <w:rPr>
          <w:rFonts w:ascii="Times New Roman" w:cs="Times New Roman" w:eastAsia="Times New Roman" w:hAnsi="Times New Roman"/>
          <w:sz w:val="22"/>
          <w:szCs w:val="22"/>
          <w:color w:val="auto"/>
        </w:rPr>
        <w:t>apply: . I hereby represent to the Company that such entities: (a) engage in the investment of securities in the ordinary course of their respective businesses; (b) have established insider trading controls and procedures in compliance with applicable securities laws; and (c) are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-800100</wp:posOffset>
            </wp:positionV>
            <wp:extent cx="20574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4">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tabs>
          <w:tab w:leader="none" w:pos="44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Signature:</w:t>
      </w:r>
    </w:p>
    <w:p>
      <w:pPr>
        <w:spacing w:after="0" w:line="1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w:t>
      </w:r>
    </w:p>
    <w:p>
      <w:pPr>
        <w:spacing w:after="0" w:line="1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755650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40" w:top="1440" w:right="619" w:bottom="1440" w:gutter="0" w:footer="0" w:header="0"/>
        </w:sectPr>
      </w:pPr>
    </w:p>
    <w:bookmarkStart w:id="156" w:name="page157"/>
    <w:bookmarkEnd w:id="156"/>
    <w:p>
      <w:pPr>
        <w:ind w:left="102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SUBSIDIARIES</w:t>
            </w:r>
          </w:p>
        </w:tc>
      </w:tr>
      <w:tr>
        <w:trPr>
          <w:trHeight w:val="616"/>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7600" w:type="dxa"/>
            <w:vAlign w:val="bottom"/>
          </w:tcPr>
          <w:p>
            <w:pPr>
              <w:jc w:val="center"/>
              <w:ind w:left="3556"/>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Kymera Securities Corporation</w:t>
            </w:r>
          </w:p>
        </w:tc>
        <w:tc>
          <w:tcPr>
            <w:tcW w:w="7600" w:type="dxa"/>
            <w:vAlign w:val="bottom"/>
          </w:tcPr>
          <w:p>
            <w:pPr>
              <w:jc w:val="center"/>
              <w:ind w:left="3556"/>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763"/>
        </w:trPr>
        <w:tc>
          <w:tcPr>
            <w:tcW w:w="3640" w:type="dxa"/>
            <w:vAlign w:val="bottom"/>
          </w:tcPr>
          <w:p>
            <w:pPr>
              <w:spacing w:after="0"/>
              <w:rPr>
                <w:sz w:val="20"/>
                <w:szCs w:val="20"/>
                <w:color w:val="auto"/>
              </w:rPr>
            </w:pPr>
            <w:r>
              <w:rPr>
                <w:rFonts w:ascii="Calibri" w:cs="Calibri" w:eastAsia="Calibri" w:hAnsi="Calibri"/>
                <w:sz w:val="14"/>
                <w:szCs w:val="14"/>
                <w:color w:val="auto"/>
              </w:rPr>
              <w:t>ACTIVE/107610297.1</w:t>
            </w:r>
          </w:p>
        </w:tc>
        <w:tc>
          <w:tcPr>
            <w:tcW w:w="7600" w:type="dxa"/>
            <w:vAlign w:val="bottom"/>
          </w:tcPr>
          <w:p>
            <w:pPr>
              <w:spacing w:after="0"/>
              <w:rPr>
                <w:sz w:val="24"/>
                <w:szCs w:val="24"/>
                <w:color w:val="auto"/>
              </w:rPr>
            </w:pPr>
          </w:p>
        </w:tc>
      </w:tr>
      <w:tr>
        <w:trPr>
          <w:trHeight w:val="1242"/>
        </w:trPr>
        <w:tc>
          <w:tcPr>
            <w:tcW w:w="364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2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337" w:lineRule="exact"/>
        <w:rPr>
          <w:sz w:val="20"/>
          <w:szCs w:val="20"/>
          <w:color w:val="auto"/>
        </w:rPr>
      </w:pPr>
    </w:p>
    <w:p>
      <w:pPr>
        <w:jc w:val="both"/>
        <w:ind w:left="1020" w:right="240" w:hanging="503"/>
        <w:spacing w:after="0" w:line="254" w:lineRule="auto"/>
        <w:tabs>
          <w:tab w:leader="none" w:pos="10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333-248249) pertaining to the Kymera Therapeutics, Inc. 2018 Stock Option and Grant Plan, Kymera Therapeutics, Inc. 2020 Stock Option and Incentive Plan, and Kymera Therapeutics, Inc. 2020 Employee Stock Purchase Plan,</w:t>
      </w:r>
    </w:p>
    <w:p>
      <w:pPr>
        <w:spacing w:after="0" w:line="66" w:lineRule="exact"/>
        <w:rPr>
          <w:rFonts w:ascii="Times New Roman" w:cs="Times New Roman" w:eastAsia="Times New Roman" w:hAnsi="Times New Roman"/>
          <w:sz w:val="20"/>
          <w:szCs w:val="20"/>
          <w:color w:val="auto"/>
        </w:rPr>
      </w:pPr>
    </w:p>
    <w:p>
      <w:pPr>
        <w:ind w:left="1020" w:right="740" w:hanging="503"/>
        <w:spacing w:after="0" w:line="269" w:lineRule="auto"/>
        <w:tabs>
          <w:tab w:leader="none" w:pos="10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333-254122) pertaining to the Kymera Therapeutics, Inc. 2020 Stock Option and Incentive Plan and Amended and Restated Kymera Therapeutics, Inc. 2020 Employee Stock Purchase Plan,</w:t>
      </w:r>
    </w:p>
    <w:p>
      <w:pPr>
        <w:spacing w:after="0" w:line="51" w:lineRule="exact"/>
        <w:rPr>
          <w:rFonts w:ascii="Times New Roman" w:cs="Times New Roman" w:eastAsia="Times New Roman" w:hAnsi="Times New Roman"/>
          <w:sz w:val="20"/>
          <w:szCs w:val="20"/>
          <w:color w:val="auto"/>
        </w:rPr>
      </w:pPr>
    </w:p>
    <w:p>
      <w:pPr>
        <w:ind w:left="1020" w:right="740" w:hanging="503"/>
        <w:spacing w:after="0" w:line="269" w:lineRule="auto"/>
        <w:tabs>
          <w:tab w:leader="none" w:pos="10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333-262947) pertaining to the Kymera Therapeutics, Inc. 2020 Stock Option and Incentive Plan and the Kymera Therapeutics, Inc. Amended and Restated 2020 Employee Stock Purchase Plan,</w:t>
      </w:r>
    </w:p>
    <w:p>
      <w:pPr>
        <w:spacing w:after="0" w:line="51" w:lineRule="exact"/>
        <w:rPr>
          <w:rFonts w:ascii="Times New Roman" w:cs="Times New Roman" w:eastAsia="Times New Roman" w:hAnsi="Times New Roman"/>
          <w:sz w:val="20"/>
          <w:szCs w:val="20"/>
          <w:color w:val="auto"/>
        </w:rPr>
      </w:pPr>
    </w:p>
    <w:p>
      <w:pPr>
        <w:ind w:left="1020" w:right="740" w:hanging="503"/>
        <w:spacing w:after="0" w:line="269" w:lineRule="auto"/>
        <w:tabs>
          <w:tab w:leader="none" w:pos="10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S-8 No. 333-269928) pertaining to the Kymera Therapeutics, Inc. 2020 Stock Option and Incentive Plan and the Kymera Therapeutics, Inc. Amended and Restated 2020 Employee Stock Purchase Plan,</w:t>
      </w:r>
    </w:p>
    <w:p>
      <w:pPr>
        <w:spacing w:after="0" w:line="51" w:lineRule="exact"/>
        <w:rPr>
          <w:rFonts w:ascii="Times New Roman" w:cs="Times New Roman" w:eastAsia="Times New Roman" w:hAnsi="Times New Roman"/>
          <w:sz w:val="20"/>
          <w:szCs w:val="20"/>
          <w:color w:val="auto"/>
        </w:rPr>
      </w:pPr>
    </w:p>
    <w:p>
      <w:pPr>
        <w:ind w:left="1020" w:right="740" w:hanging="503"/>
        <w:spacing w:after="0" w:line="295" w:lineRule="auto"/>
        <w:tabs>
          <w:tab w:leader="none" w:pos="102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Registration Statement (Form S-8 No. 333-277242) pertaining to the Kymera Therapeutics, Inc. 2020 Stock Option and Incentive Plan and the Kymera Therapeutics, Inc. Amended and Restated 2020 Employee Stock Purchase Plan, and</w:t>
      </w:r>
    </w:p>
    <w:p>
      <w:pPr>
        <w:spacing w:after="0" w:line="29" w:lineRule="exact"/>
        <w:rPr>
          <w:rFonts w:ascii="Times New Roman" w:cs="Times New Roman" w:eastAsia="Times New Roman" w:hAnsi="Times New Roman"/>
          <w:sz w:val="19"/>
          <w:szCs w:val="19"/>
          <w:color w:val="auto"/>
        </w:rPr>
      </w:pPr>
    </w:p>
    <w:p>
      <w:pPr>
        <w:ind w:left="1020" w:hanging="503"/>
        <w:spacing w:after="0"/>
        <w:tabs>
          <w:tab w:leader="none" w:pos="102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 No. 333-282912) of Kymera Therapeutics,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of our reports dated February 27, 2025, with respect to the consolidated financial statements of Kymera Therapeutics, Inc. and the effectiveness of internal control over financial reporting of Kymera Therapeutics, Inc. included in this Annual Report (Form 10-K) of Kymera Therapeutics, Inc. for the year ended December 31,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Nello Mainolfi, Ph.D., certify that:</w:t>
      </w:r>
    </w:p>
    <w:p>
      <w:pPr>
        <w:spacing w:after="0" w:line="225" w:lineRule="exact"/>
        <w:rPr>
          <w:sz w:val="20"/>
          <w:szCs w:val="20"/>
          <w:color w:val="auto"/>
        </w:rPr>
      </w:pPr>
    </w:p>
    <w:p>
      <w:pPr>
        <w:ind w:left="520" w:hanging="512"/>
        <w:spacing w:after="0"/>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60" w:hanging="479"/>
        <w:spacing w:after="0" w:line="266" w:lineRule="auto"/>
        <w:tabs>
          <w:tab w:leader="none" w:pos="89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27, 2025</w:t>
            </w: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Nello Mainolfi, Ph.D.</w:t>
            </w:r>
          </w:p>
        </w:tc>
      </w:tr>
      <w:tr>
        <w:trPr>
          <w:trHeight w:val="187"/>
        </w:trPr>
        <w:tc>
          <w:tcPr>
            <w:tcW w:w="3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Nello Mainolfi, Ph.D</w:t>
            </w:r>
            <w:r>
              <w:rPr>
                <w:rFonts w:ascii="Times New Roman" w:cs="Times New Roman" w:eastAsia="Times New Roman" w:hAnsi="Times New Roman"/>
                <w:sz w:val="18"/>
                <w:szCs w:val="18"/>
                <w:color w:val="auto"/>
                <w:w w:val="99"/>
              </w:rPr>
              <w:t>.</w:t>
            </w:r>
          </w:p>
        </w:tc>
      </w:tr>
      <w:tr>
        <w:trPr>
          <w:trHeight w:val="216"/>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1303"/>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Jacobs, CFA, MBA, certify that:</w:t>
      </w:r>
    </w:p>
    <w:p>
      <w:pPr>
        <w:spacing w:after="0" w:line="225" w:lineRule="exact"/>
        <w:rPr>
          <w:sz w:val="20"/>
          <w:szCs w:val="20"/>
          <w:color w:val="auto"/>
        </w:rPr>
      </w:pPr>
    </w:p>
    <w:p>
      <w:pPr>
        <w:ind w:left="520" w:hanging="512"/>
        <w:spacing w:after="0"/>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Kymera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60" w:hanging="479"/>
        <w:spacing w:after="0" w:line="266" w:lineRule="auto"/>
        <w:tabs>
          <w:tab w:leader="none" w:pos="89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27, 2025</w:t>
            </w:r>
          </w:p>
        </w:tc>
        <w:tc>
          <w:tcPr>
            <w:tcW w:w="22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Bruce Jacobs, CFA, MBA</w:t>
            </w:r>
          </w:p>
        </w:tc>
      </w:tr>
      <w:tr>
        <w:trPr>
          <w:trHeight w:val="187"/>
        </w:trPr>
        <w:tc>
          <w:tcPr>
            <w:tcW w:w="3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Bruce Jacobs, CFA, MBA</w:t>
            </w:r>
          </w:p>
        </w:tc>
      </w:tr>
      <w:tr>
        <w:trPr>
          <w:trHeight w:val="216"/>
        </w:trPr>
        <w:tc>
          <w:tcPr>
            <w:tcW w:w="3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1303"/>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Kymera Therapeutics, Inc. (the “Company”) on Form 10-K for the period ending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740" w:hanging="479"/>
        <w:spacing w:after="0" w:line="282" w:lineRule="auto"/>
        <w:tabs>
          <w:tab w:leader="none" w:pos="8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27, 2025</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Nello Mainolfi, Ph.D.</w:t>
            </w:r>
          </w:p>
        </w:tc>
      </w:tr>
      <w:tr>
        <w:trPr>
          <w:trHeight w:val="187"/>
        </w:trPr>
        <w:tc>
          <w:tcPr>
            <w:tcW w:w="36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Nello Mainolfi, Ph.D</w:t>
            </w:r>
            <w:r>
              <w:rPr>
                <w:rFonts w:ascii="Times New Roman" w:cs="Times New Roman" w:eastAsia="Times New Roman" w:hAnsi="Times New Roman"/>
                <w:sz w:val="18"/>
                <w:szCs w:val="18"/>
                <w:color w:val="auto"/>
                <w:w w:val="99"/>
              </w:rPr>
              <w:t>.</w:t>
            </w:r>
          </w:p>
        </w:tc>
      </w:tr>
      <w:tr>
        <w:trPr>
          <w:trHeight w:val="238"/>
        </w:trPr>
        <w:tc>
          <w:tcPr>
            <w:tcW w:w="36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1303"/>
        </w:trPr>
        <w:tc>
          <w:tcPr>
            <w:tcW w:w="36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Kymera Therapeutics, Inc. (the “Company”) on Form 10-K for the period ending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00" w:hanging="359"/>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740" w:hanging="479"/>
        <w:spacing w:after="0" w:line="282" w:lineRule="auto"/>
        <w:tabs>
          <w:tab w:leader="none" w:pos="8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27, 2025</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Bruce Jacobs, CFA, MBA</w:t>
            </w:r>
          </w:p>
        </w:tc>
      </w:tr>
      <w:tr>
        <w:trPr>
          <w:trHeight w:val="187"/>
        </w:trPr>
        <w:tc>
          <w:tcPr>
            <w:tcW w:w="36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3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Bruce Jacobs, CFA, MBA</w:t>
            </w:r>
          </w:p>
        </w:tc>
      </w:tr>
      <w:tr>
        <w:trPr>
          <w:trHeight w:val="216"/>
        </w:trPr>
        <w:tc>
          <w:tcPr>
            <w:tcW w:w="36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6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1303"/>
        </w:trPr>
        <w:tc>
          <w:tcPr>
            <w:tcW w:w="36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62" w:name="page163"/>
    <w:bookmarkEnd w:id="1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1)"/>
      <w:numFmt w:val="lowerLetter"/>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endash "/>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1)"/>
      <w:numFmt w:val="decimal"/>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1)"/>
      <w:numFmt w:val="lowerLetter"/>
      <w:start w:val="1"/>
    </w:lvl>
  </w:abstractNum>
  <w:abstractNum w:abstractNumId="55">
    <w:nsid w:val="42C296BD"/>
    <w:multiLevelType w:val="hybridMultilevel"/>
    <w:lvl w:ilvl="0">
      <w:lvlJc w:val="left"/>
      <w:lvlText w:val="(%1)"/>
      <w:numFmt w:val="lowerLetter"/>
      <w:start w:val="2"/>
    </w:lvl>
  </w:abstractNum>
  <w:abstractNum w:abstractNumId="56">
    <w:nsid w:val="168E121F"/>
    <w:multiLevelType w:val="hybridMultilevel"/>
    <w:lvl w:ilvl="0">
      <w:lvlJc w:val="left"/>
      <w:lvlText w:val="+"/>
      <w:numFmt w:val="bullet"/>
      <w:start w:val="1"/>
    </w:lvl>
    <w:lvl w:ilvl="1">
      <w:lvlJc w:val="left"/>
      <w:lvlText w:val="%2"/>
      <w:numFmt w:val="decimal"/>
      <w:start w:val="104"/>
    </w:lvl>
  </w:abstractNum>
  <w:abstractNum w:abstractNumId="57">
    <w:nsid w:val="1EBA5D23"/>
    <w:multiLevelType w:val="hybridMultilevel"/>
    <w:lvl w:ilvl="0">
      <w:lvlJc w:val="left"/>
      <w:lvlText w:val="(%1)"/>
      <w:numFmt w:val="lowerLetter"/>
      <w:start w:val="3"/>
    </w:lvl>
  </w:abstractNum>
  <w:abstractNum w:abstractNumId="58">
    <w:nsid w:val="661E3F1E"/>
    <w:multiLevelType w:val="hybridMultilevel"/>
    <w:lvl w:ilvl="0">
      <w:lvlJc w:val="left"/>
      <w:lvlText w:val="%1."/>
      <w:numFmt w:val="upperLetter"/>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1."/>
      <w:numFmt w:val="upperLetter"/>
      <w:start w:val="2"/>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1."/>
      <w:numFmt w:val="upperLetter"/>
      <w:start w:val="3"/>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1."/>
      <w:numFmt w:val="upperLetter"/>
      <w:start w:val="4"/>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1."/>
      <w:numFmt w:val="upperLetter"/>
      <w:start w:val="5"/>
    </w:lvl>
  </w:abstractNum>
  <w:abstractNum w:abstractNumId="68">
    <w:nsid w:val="8F2B15E"/>
    <w:multiLevelType w:val="hybridMultilevel"/>
    <w:lvl w:ilvl="0">
      <w:lvlJc w:val="left"/>
      <w:lvlText w:val="%1."/>
      <w:numFmt w:val="upperLetter"/>
      <w:start w:val="1"/>
    </w:lvl>
  </w:abstractNum>
  <w:abstractNum w:abstractNumId="69">
    <w:nsid w:val="1A32234B"/>
    <w:multiLevelType w:val="hybridMultilevel"/>
    <w:lvl w:ilvl="0">
      <w:lvlJc w:val="left"/>
      <w:lvlText w:val="%1."/>
      <w:numFmt w:val="decimal"/>
      <w:start w:val="1"/>
    </w:lvl>
  </w:abstractNum>
  <w:abstractNum w:abstractNumId="70">
    <w:nsid w:val="3B0FD379"/>
    <w:multiLevelType w:val="hybridMultilevel"/>
    <w:lvl w:ilvl="0">
      <w:lvlJc w:val="left"/>
      <w:lvlText w:val="%1."/>
      <w:numFmt w:val="decimal"/>
      <w:start w:val="2"/>
    </w:lvl>
    <w:lvl w:ilvl="1">
      <w:lvlJc w:val="left"/>
      <w:lvlText w:val="•"/>
      <w:numFmt w:val="bullet"/>
      <w:start w:val="1"/>
    </w:lvl>
  </w:abstractNum>
  <w:abstractNum w:abstractNumId="71">
    <w:nsid w:val="68EB2F63"/>
    <w:multiLevelType w:val="hybridMultilevel"/>
    <w:lvl w:ilvl="0">
      <w:lvlJc w:val="left"/>
      <w:lvlText w:val="%1."/>
      <w:numFmt w:val="upperLetter"/>
      <w:start w:val="2"/>
    </w:lvl>
  </w:abstractNum>
  <w:abstractNum w:abstractNumId="72">
    <w:nsid w:val="4962813B"/>
    <w:multiLevelType w:val="hybridMultilevel"/>
    <w:lvl w:ilvl="0">
      <w:lvlJc w:val="left"/>
      <w:lvlText w:val="%1."/>
      <w:numFmt w:val="decimal"/>
      <w:start w:val="1"/>
    </w:lvl>
    <w:lvl w:ilvl="1">
      <w:lvlJc w:val="left"/>
      <w:lvlText w:val="•"/>
      <w:numFmt w:val="bullet"/>
      <w:start w:val="1"/>
    </w:lvl>
  </w:abstractNum>
  <w:abstractNum w:abstractNumId="73">
    <w:nsid w:val="60B6DF70"/>
    <w:multiLevelType w:val="hybridMultilevel"/>
    <w:lvl w:ilvl="0">
      <w:lvlJc w:val="left"/>
      <w:lvlText w:val="%1."/>
      <w:numFmt w:val="decimal"/>
      <w:start w:val="2"/>
    </w:lvl>
  </w:abstractNum>
  <w:abstractNum w:abstractNumId="74">
    <w:nsid w:val="6A5EE64"/>
    <w:multiLevelType w:val="hybridMultilevel"/>
    <w:lvl w:ilvl="0">
      <w:lvlJc w:val="left"/>
      <w:lvlText w:val="%1."/>
      <w:numFmt w:val="decimal"/>
      <w:start w:val="3"/>
    </w:lvl>
  </w:abstractNum>
  <w:abstractNum w:abstractNumId="75">
    <w:nsid w:val="14330624"/>
    <w:multiLevelType w:val="hybridMultilevel"/>
    <w:lvl w:ilvl="0">
      <w:lvlJc w:val="left"/>
      <w:lvlText w:val="%1."/>
      <w:numFmt w:val="decimal"/>
      <w:start w:val="4"/>
    </w:lvl>
  </w:abstractNum>
  <w:abstractNum w:abstractNumId="76">
    <w:nsid w:val="7FFFCA11"/>
    <w:multiLevelType w:val="hybridMultilevel"/>
    <w:lvl w:ilvl="0">
      <w:lvlJc w:val="left"/>
      <w:lvlText w:val="%1."/>
      <w:numFmt w:val="decimal"/>
      <w:start w:val="5"/>
    </w:lvl>
  </w:abstractNum>
  <w:abstractNum w:abstractNumId="77">
    <w:nsid w:val="1A27709E"/>
    <w:multiLevelType w:val="hybridMultilevel"/>
    <w:lvl w:ilvl="0">
      <w:lvlJc w:val="left"/>
      <w:lvlText w:val="%1."/>
      <w:numFmt w:val="upperLetter"/>
      <w:start w:val="3"/>
    </w:lvl>
  </w:abstractNum>
  <w:abstractNum w:abstractNumId="78">
    <w:nsid w:val="71EA1109"/>
    <w:multiLevelType w:val="hybridMultilevel"/>
    <w:lvl w:ilvl="0">
      <w:lvlJc w:val="left"/>
      <w:lvlText w:val="%1."/>
      <w:numFmt w:val="decimal"/>
      <w:start w:val="1"/>
    </w:lvl>
  </w:abstractNum>
  <w:abstractNum w:abstractNumId="79">
    <w:nsid w:val="100F59DC"/>
    <w:multiLevelType w:val="hybridMultilevel"/>
    <w:lvl w:ilvl="0">
      <w:lvlJc w:val="left"/>
      <w:lvlText w:val="%1."/>
      <w:numFmt w:val="decimal"/>
      <w:start w:val="2"/>
    </w:lvl>
  </w:abstractNum>
  <w:abstractNum w:abstractNumId="80">
    <w:nsid w:val="7FB7E0AA"/>
    <w:multiLevelType w:val="hybridMultilevel"/>
    <w:lvl w:ilvl="0">
      <w:lvlJc w:val="left"/>
      <w:lvlText w:val="%1."/>
      <w:numFmt w:val="upperLetter"/>
      <w:start w:val="4"/>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1)"/>
      <w:numFmt w:val="decimal"/>
      <w:start w:val="1"/>
    </w:lvl>
  </w:abstractNum>
  <w:abstractNum w:abstractNumId="84">
    <w:nsid w:val="885E1B"/>
    <w:multiLevelType w:val="hybridMultilevel"/>
    <w:lvl w:ilvl="0">
      <w:lvlJc w:val="left"/>
      <w:lvlText w:val="%1."/>
      <w:numFmt w:val="decimal"/>
      <w:start w:val="1"/>
    </w:lvl>
    <w:lvl w:ilvl="1">
      <w:lvlJc w:val="left"/>
      <w:lvlText w:val="(%2)"/>
      <w:numFmt w:val="lowerLetter"/>
      <w:start w:val="1"/>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61" Type="http://schemas.openxmlformats.org/officeDocument/2006/relationships/image" Target="media/image340.png"/><Relationship Id="rId362"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7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png"/><Relationship Id="rId382"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389" Type="http://schemas.openxmlformats.org/officeDocument/2006/relationships/image" Target="media/image357.png"/><Relationship Id="rId390" Type="http://schemas.openxmlformats.org/officeDocument/2006/relationships/image" Target="media/image358.png"/><Relationship Id="rId391" Type="http://schemas.openxmlformats.org/officeDocument/2006/relationships/image" Target="media/image359.png"/><Relationship Id="rId392" Type="http://schemas.openxmlformats.org/officeDocument/2006/relationships/image" Target="media/image360.png"/><Relationship Id="rId393" Type="http://schemas.openxmlformats.org/officeDocument/2006/relationships/image" Target="media/image361.png"/><Relationship Id="rId394" Type="http://schemas.openxmlformats.org/officeDocument/2006/relationships/image" Target="media/image362.png"/><Relationship Id="rId395" Type="http://schemas.openxmlformats.org/officeDocument/2006/relationships/image" Target="media/image363.png"/><Relationship Id="rId396" Type="http://schemas.openxmlformats.org/officeDocument/2006/relationships/image" Target="media/image364.png"/><Relationship Id="rId397" Type="http://schemas.openxmlformats.org/officeDocument/2006/relationships/image" Target="media/image365.png"/><Relationship Id="rId398" Type="http://schemas.openxmlformats.org/officeDocument/2006/relationships/image" Target="media/image366.png"/><Relationship Id="rId399" Type="http://schemas.openxmlformats.org/officeDocument/2006/relationships/image" Target="media/image367.png"/><Relationship Id="rId400" Type="http://schemas.openxmlformats.org/officeDocument/2006/relationships/image" Target="media/image368.png"/><Relationship Id="rId401" Type="http://schemas.openxmlformats.org/officeDocument/2006/relationships/image" Target="media/image369.png"/><Relationship Id="rId402" Type="http://schemas.openxmlformats.org/officeDocument/2006/relationships/image" Target="media/image370.png"/><Relationship Id="rId403" Type="http://schemas.openxmlformats.org/officeDocument/2006/relationships/image" Target="media/image371.png"/><Relationship Id="rId404" Type="http://schemas.openxmlformats.org/officeDocument/2006/relationships/image" Target="media/image372.png"/><Relationship Id="rId405" Type="http://schemas.openxmlformats.org/officeDocument/2006/relationships/image" Target="media/image373.png"/><Relationship Id="rId406" Type="http://schemas.openxmlformats.org/officeDocument/2006/relationships/image" Target="media/image374.png"/><Relationship Id="rId347" Type="http://schemas.openxmlformats.org/officeDocument/2006/relationships/hyperlink" Target="https://www.sec.gov/Archives/edgar/data/1815442/000119312520229873/d45025dex31.htm" TargetMode="External"/><Relationship Id="rId348" Type="http://schemas.openxmlformats.org/officeDocument/2006/relationships/hyperlink" Target="https://www.sec.gov/Archives/edgar/data/1815442/000119312520229873/d45025dex32.htm" TargetMode="External"/><Relationship Id="rId349" Type="http://schemas.openxmlformats.org/officeDocument/2006/relationships/hyperlink" Target="https://www.sec.gov/Archives/edgar/data/1815442/000119312520221618/d940105dex41.htm" TargetMode="External"/><Relationship Id="rId350" Type="http://schemas.openxmlformats.org/officeDocument/2006/relationships/hyperlink" Target="https://www.sec.gov/Archives/edgar/data/1815442/000119312520206645/d940105dex42.htm" TargetMode="External"/><Relationship Id="rId351" Type="http://schemas.openxmlformats.org/officeDocument/2006/relationships/hyperlink" Target="https://www.sec.gov/Archives/edgar/data/1815442/000156459021012240/kymr-ex43_735.htm" TargetMode="External"/><Relationship Id="rId352" Type="http://schemas.openxmlformats.org/officeDocument/2006/relationships/hyperlink" Target="https://www.sec.gov/Archives/edgar/data/1815442/000119312522224656/d247240dex41.htm" TargetMode="External"/><Relationship Id="rId353" Type="http://schemas.openxmlformats.org/officeDocument/2006/relationships/hyperlink" Target="https://www.sec.gov/Archives/edgar/data/1815442/000119312524003373/d103567dex41.htm" TargetMode="External"/><Relationship Id="rId354" Type="http://schemas.openxmlformats.org/officeDocument/2006/relationships/hyperlink" Target="https://www.sec.gov/Archives/edgar/data/1815442/000119312524203755/d846843dex41.htm" TargetMode="External"/><Relationship Id="rId355" Type="http://schemas.openxmlformats.org/officeDocument/2006/relationships/hyperlink" Target="https://www.sec.gov/Archives/edgar/data/0001815442/000119312520206645/d940105dex101.htm" TargetMode="External"/><Relationship Id="rId356" Type="http://schemas.openxmlformats.org/officeDocument/2006/relationships/hyperlink" Target="https://www.sec.gov/Archives/edgar/data/0001815442/000119312520221618/d940105dex102.htm" TargetMode="External"/><Relationship Id="rId357" Type="http://schemas.openxmlformats.org/officeDocument/2006/relationships/hyperlink" Target="https://www.sec.gov/Archives/edgar/data/1815442/000119312524164550/d841500dex101.htm" TargetMode="External"/><Relationship Id="rId358" Type="http://schemas.openxmlformats.org/officeDocument/2006/relationships/hyperlink" Target="https://www.sec.gov/Archives/edgar/data/1815442/000095017024051567/kymr-ex10_1.htm" TargetMode="External"/><Relationship Id="rId359" Type="http://schemas.openxmlformats.org/officeDocument/2006/relationships/hyperlink" Target="https://www.sec.gov/Archives/edgar/data/0001815442/000119312520218412/d940105dex104.htm" TargetMode="External"/><Relationship Id="rId360" Type="http://schemas.openxmlformats.org/officeDocument/2006/relationships/hyperlink" Target="https://www.sec.gov/Archives/edgar/data/0001815442/000156459020050872/kymr-ex101_540.htm" TargetMode="External"/><Relationship Id="rId363" Type="http://schemas.openxmlformats.org/officeDocument/2006/relationships/hyperlink" Target="https://www.sec.gov/Archives/edgar/data/0001815442/000119312520221618/d940105dex106.htm" TargetMode="External"/><Relationship Id="rId364" Type="http://schemas.openxmlformats.org/officeDocument/2006/relationships/hyperlink" Target="https://www.sec.gov/Archives/edgar/data/0001815442/000119312520206645/d940105dex108.htm" TargetMode="External"/><Relationship Id="rId365" Type="http://schemas.openxmlformats.org/officeDocument/2006/relationships/hyperlink" Target="https://www.sec.gov/Archives/edgar/data/0001815442/000119312520218412/d940105dex109.htm" TargetMode="External"/><Relationship Id="rId366" Type="http://schemas.openxmlformats.org/officeDocument/2006/relationships/hyperlink" Target="https://www.sec.gov/Archives/edgar/data/1815442/000095017023003935/kymr-ex10_10.htm" TargetMode="External"/><Relationship Id="rId367" Type="http://schemas.openxmlformats.org/officeDocument/2006/relationships/hyperlink" Target="https://www.sec.gov/Archives/edgar/data/1815442/000095017024018414/kymr-ex10_13.htm" TargetMode="External"/><Relationship Id="rId368" Type="http://schemas.openxmlformats.org/officeDocument/2006/relationships/hyperlink" Target="https://www.sec.gov/Archives/edgar/data/1815442/000119312522224656/d247240dex101.htm" TargetMode="External"/><Relationship Id="rId369" Type="http://schemas.openxmlformats.org/officeDocument/2006/relationships/hyperlink" Target="https://www.sec.gov/Archives/edgar/data/1815442/000119312522224656/d247240dex102.htm" TargetMode="External"/><Relationship Id="rId370" Type="http://schemas.openxmlformats.org/officeDocument/2006/relationships/hyperlink" Target="https://www.sec.gov/Archives/edgar/data/1815442/000095017024018414/kymr-ex10_16.htm" TargetMode="External"/><Relationship Id="rId371" Type="http://schemas.openxmlformats.org/officeDocument/2006/relationships/hyperlink" Target="https://www.sec.gov/Archives/edgar/data/1815442/000095017024119249/kymr-ex10_1.htm" TargetMode="External"/><Relationship Id="rId372" Type="http://schemas.openxmlformats.org/officeDocument/2006/relationships/hyperlink" Target="https://www.sec.gov/Archives/edgar/data/1815442/000095017024119249/kymr-ex10_2.htm" TargetMode="External"/><Relationship Id="rId373" Type="http://schemas.openxmlformats.org/officeDocument/2006/relationships/hyperlink" Target="https://www.sec.gov/Archives/edgar/data/1815442/000095017024018414/kymr-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2025-02-27T06:36:28Z</dcterms:created>
  <dcterms:modified xsi:type="dcterms:W3CDTF">2025-02-27T06:36:28Z</dcterms:modified>
</cp:coreProperties>
</file>