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kymr-20230331.htm"/>
      <w:bookmarkStart w:id="1" w:name="kskymr20230331"/>
      <w:bookmarkEnd w:id="0"/>
      <w:bookmarkEnd w:id="1"/>
      <w:r>
        <w:rPr/>
        <w:t> </w:t>
      </w:r>
    </w:p>
    <w:p>
      <w:pPr>
        <w:pStyle w:val="TextBody"/>
        <w:pBdr>
          <w:top w:val="double" w:sz="6" w:space="1" w:color="000000"/>
        </w:pBdr>
        <w:spacing w:before="0" w:after="0"/>
        <w:jc w:val="left"/>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UNITED STATES</w:t>
      </w:r>
    </w:p>
    <w:p>
      <w:pPr>
        <w:pStyle w:val="TextBody"/>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spacing w:before="0" w:after="0"/>
        <w:jc w:val="center"/>
        <w:rPr/>
      </w:pPr>
      <w:r>
        <w:rPr/>
        <w:t> </w:t>
      </w:r>
    </w:p>
    <w:p>
      <w:pPr>
        <w:pStyle w:val="TextBody"/>
        <w:spacing w:before="8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spacing w:before="0" w:after="0"/>
        <w:jc w:val="center"/>
        <w:rPr/>
      </w:pPr>
      <w:r>
        <w:rPr/>
        <w:t> </w:t>
      </w:r>
    </w:p>
    <w:p>
      <w:pPr>
        <w:pStyle w:val="TextBody"/>
        <w:spacing w:before="80" w:after="0"/>
        <w:jc w:val="left"/>
        <w:rPr>
          <w:rFonts w:ascii="Times New Roman;serif" w:hAnsi="Times New Roman;serif"/>
          <w:b/>
          <w:sz w:val="16"/>
        </w:rPr>
      </w:pPr>
      <w:r>
        <w:rPr>
          <w:rFonts w:ascii="Times New Roman;serif" w:hAnsi="Times New Roman;serif"/>
          <w:b/>
          <w:sz w:val="16"/>
        </w:rPr>
        <w:t>(Mark One)</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874" w:type="dxa"/>
            <w:tcBorders/>
            <w:shd w:fill="auto" w:val="clear"/>
            <w:vAlign w:val="center"/>
          </w:tcPr>
          <w:p>
            <w:pPr>
              <w:pStyle w:val="TableContents"/>
              <w:spacing w:before="4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sz w:val="20"/>
        </w:rPr>
        <w:t>For the quarterly period ended March 31, 2023</w:t>
      </w:r>
      <w:r>
        <w:rPr>
          <w:rFonts w:ascii="Times New Roman" w:hAnsi="Times New Roman"/>
          <w:sz w:val="20"/>
        </w:rPr>
        <w:t xml:space="preserve"> </w:t>
      </w:r>
    </w:p>
    <w:p>
      <w:pPr>
        <w:pStyle w:val="TextBody"/>
        <w:spacing w:before="80" w:after="0"/>
        <w:jc w:val="center"/>
        <w:rPr>
          <w:rFonts w:ascii="Times New Roman;serif" w:hAnsi="Times New Roman;serif"/>
          <w:b/>
          <w:sz w:val="20"/>
        </w:rPr>
      </w:pPr>
      <w:r>
        <w:rPr>
          <w:rFonts w:ascii="Times New Roman;serif" w:hAnsi="Times New Roman;serif"/>
          <w:b/>
          <w:sz w:val="20"/>
        </w:rPr>
        <w:t>OR</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874" w:type="dxa"/>
            <w:tcBorders/>
            <w:shd w:fill="auto" w:val="clear"/>
            <w:vAlign w:val="center"/>
          </w:tcPr>
          <w:p>
            <w:pPr>
              <w:pStyle w:val="TableContents"/>
              <w:spacing w:before="4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spacing w:before="0" w:after="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For the transition period from ___________________ to ___________________</w:t>
      </w:r>
    </w:p>
    <w:p>
      <w:pPr>
        <w:pStyle w:val="TextBody"/>
        <w:spacing w:before="80" w:after="0"/>
        <w:jc w:val="center"/>
        <w:rPr>
          <w:rFonts w:ascii="Times New Roman;serif" w:hAnsi="Times New Roman;serif"/>
          <w:b/>
          <w:sz w:val="20"/>
        </w:rPr>
      </w:pPr>
      <w:r>
        <w:rPr>
          <w:rFonts w:ascii="Times New Roman;serif" w:hAnsi="Times New Roman;serif"/>
          <w:b/>
          <w:sz w:val="20"/>
        </w:rPr>
        <w:t>Commission File Number: 001-39460</w:t>
      </w:r>
    </w:p>
    <w:p>
      <w:pPr>
        <w:pStyle w:val="TextBody"/>
        <w:pBdr>
          <w:bottom w:val="single" w:sz="4" w:space="1" w:color="000000"/>
        </w:pBdr>
        <w:spacing w:before="0" w:after="0"/>
        <w:jc w:val="center"/>
        <w:rPr/>
      </w:pPr>
      <w:r>
        <w:rPr/>
        <w:t> </w:t>
      </w:r>
    </w:p>
    <w:p>
      <w:pPr>
        <w:pStyle w:val="TextBody"/>
        <w:spacing w:before="80" w:after="0"/>
        <w:jc w:val="center"/>
        <w:rPr>
          <w:rFonts w:ascii="Times New Roman;serif" w:hAnsi="Times New Roman;serif"/>
          <w:b/>
          <w:sz w:val="44"/>
        </w:rPr>
      </w:pPr>
      <w:r>
        <w:rPr>
          <w:rFonts w:ascii="Times New Roman;serif" w:hAnsi="Times New Roman;serif"/>
          <w:b/>
          <w:sz w:val="44"/>
        </w:rPr>
        <w:t>KYMERA THERAPEUTICS, INC.</w:t>
      </w:r>
    </w:p>
    <w:p>
      <w:pPr>
        <w:pStyle w:val="TextBody"/>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spacing w:before="0" w:after="0"/>
        <w:jc w:val="center"/>
        <w:rPr/>
      </w:pPr>
      <w:r>
        <w:rPr/>
        <w:t> </w:t>
      </w:r>
    </w:p>
    <w:p>
      <w:pPr>
        <w:pStyle w:val="TextBody"/>
        <w:spacing w:before="0" w:after="0"/>
        <w:jc w:val="left"/>
        <w:rPr/>
      </w:pPr>
      <w:r>
        <w:rPr/>
        <w:t> </w:t>
      </w:r>
    </w:p>
    <w:tbl>
      <w:tblPr>
        <w:tblW w:w="4547" w:type="dxa"/>
        <w:jc w:val="left"/>
        <w:tblInd w:w="0" w:type="dxa"/>
        <w:tblCellMar>
          <w:top w:w="28" w:type="dxa"/>
          <w:left w:w="28" w:type="dxa"/>
          <w:bottom w:w="28" w:type="dxa"/>
          <w:right w:w="28" w:type="dxa"/>
        </w:tblCellMar>
      </w:tblPr>
      <w:tblGrid>
        <w:gridCol w:w="3061"/>
        <w:gridCol w:w="1486"/>
      </w:tblGrid>
      <w:tr>
        <w:trPr/>
        <w:tc>
          <w:tcPr>
            <w:tcW w:w="3061"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81-2992166</w:t>
            </w:r>
          </w:p>
        </w:tc>
      </w:tr>
      <w:tr>
        <w:trPr/>
        <w:tc>
          <w:tcPr>
            <w:tcW w:w="306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spacing w:before="0" w:after="15"/>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(I.R.S. Employer</w:t>
              <w:br/>
              <w:t>Identification No.)</w:t>
            </w:r>
          </w:p>
        </w:tc>
      </w:tr>
      <w:tr>
        <w:trPr/>
        <w:tc>
          <w:tcPr>
            <w:tcW w:w="3061" w:type="dxa"/>
            <w:tcBorders/>
            <w:shd w:fill="auto" w:val="clear"/>
            <w:vAlign w:val="center"/>
          </w:tcPr>
          <w:p>
            <w:pPr>
              <w:pStyle w:val="TableContents"/>
              <w:spacing w:before="0" w:after="0"/>
              <w:ind w:left="0" w:right="0" w:hanging="0"/>
              <w:jc w:val="center"/>
              <w:rPr/>
            </w:pPr>
            <w:r>
              <w:rPr/>
              <w:t> </w:t>
            </w:r>
          </w:p>
        </w:tc>
        <w:tc>
          <w:tcPr>
            <w:tcW w:w="1486" w:type="dxa"/>
            <w:tcBorders/>
            <w:shd w:fill="auto" w:val="clear"/>
            <w:vAlign w:val="center"/>
          </w:tcPr>
          <w:p>
            <w:pPr>
              <w:pStyle w:val="TableContents"/>
              <w:spacing w:before="0" w:after="0"/>
              <w:ind w:left="0" w:right="0" w:hanging="0"/>
              <w:jc w:val="center"/>
              <w:rPr/>
            </w:pPr>
            <w:r>
              <w:rPr/>
              <w:t> </w:t>
            </w:r>
          </w:p>
        </w:tc>
      </w:tr>
      <w:tr>
        <w:trPr/>
        <w:tc>
          <w:tcPr>
            <w:tcW w:w="306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200 Arsenal Yards Blvd., Suite 230</w:t>
            </w:r>
          </w:p>
          <w:p>
            <w:pPr>
              <w:pStyle w:val="TableContents"/>
              <w:spacing w:before="0" w:after="0"/>
              <w:ind w:left="0" w:right="0" w:hanging="0"/>
              <w:jc w:val="center"/>
              <w:rPr>
                <w:rFonts w:ascii="Times New Roman" w:hAnsi="Times New Roman"/>
                <w:sz w:val="20"/>
              </w:rPr>
            </w:pPr>
            <w:r>
              <w:rPr>
                <w:rFonts w:ascii="Times New Roman;serif" w:hAnsi="Times New Roman;serif"/>
                <w:b/>
                <w:sz w:val="20"/>
              </w:rPr>
              <w:t>Watertown, Massachusetts</w:t>
            </w:r>
            <w:r>
              <w:rPr>
                <w:rFonts w:ascii="Times New Roman" w:hAnsi="Times New Roman"/>
                <w:sz w:val="20"/>
              </w:rPr>
              <w:t xml:space="preserve">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02472</w:t>
            </w:r>
          </w:p>
        </w:tc>
      </w:tr>
      <w:tr>
        <w:trPr/>
        <w:tc>
          <w:tcPr>
            <w:tcW w:w="306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spacing w:before="0" w:after="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Registrant’s telephone number, including area code: (857) 285-5300</w:t>
      </w:r>
    </w:p>
    <w:p>
      <w:pPr>
        <w:pStyle w:val="TextBody"/>
        <w:pBdr>
          <w:bottom w:val="single" w:sz="4" w:space="1" w:color="000000"/>
        </w:pBdr>
        <w:spacing w:before="0" w:after="0"/>
        <w:jc w:val="center"/>
        <w:rPr/>
      </w:pPr>
      <w:r>
        <w:rPr/>
        <w:t> </w:t>
      </w:r>
    </w:p>
    <w:p>
      <w:pPr>
        <w:pStyle w:val="TextBody"/>
        <w:spacing w:before="8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spacing w:before="0" w:after="0"/>
        <w:jc w:val="left"/>
        <w:rPr/>
      </w:pPr>
      <w:r>
        <w:rPr/>
        <w:t> </w:t>
      </w:r>
    </w:p>
    <w:tbl>
      <w:tblPr>
        <w:tblW w:w="8140" w:type="dxa"/>
        <w:jc w:val="left"/>
        <w:tblInd w:w="0" w:type="dxa"/>
        <w:tblCellMar>
          <w:top w:w="28" w:type="dxa"/>
          <w:left w:w="28" w:type="dxa"/>
          <w:bottom w:w="28" w:type="dxa"/>
          <w:right w:w="28" w:type="dxa"/>
        </w:tblCellMar>
      </w:tblPr>
      <w:tblGrid>
        <w:gridCol w:w="3706"/>
        <w:gridCol w:w="146"/>
        <w:gridCol w:w="826"/>
        <w:gridCol w:w="146"/>
        <w:gridCol w:w="3316"/>
      </w:tblGrid>
      <w:tr>
        <w:trPr/>
        <w:tc>
          <w:tcPr>
            <w:tcW w:w="37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7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 par value $0.0001 per share</w:t>
            </w:r>
          </w:p>
        </w:tc>
        <w:tc>
          <w:tcPr>
            <w:tcW w:w="146" w:type="dxa"/>
            <w:tcBorders/>
            <w:shd w:fill="auto" w:val="clear"/>
            <w:vAlign w:val="center"/>
          </w:tcPr>
          <w:p>
            <w:pPr>
              <w:pStyle w:val="TableContents"/>
              <w:spacing w:before="0" w:after="0"/>
              <w:ind w:left="0" w:right="0" w:hanging="0"/>
              <w:jc w:val="center"/>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KYMR</w:t>
            </w:r>
          </w:p>
        </w:tc>
        <w:tc>
          <w:tcPr>
            <w:tcW w:w="146" w:type="dxa"/>
            <w:tcBorders/>
            <w:shd w:fill="auto" w:val="clear"/>
            <w:vAlign w:val="center"/>
          </w:tcPr>
          <w:p>
            <w:pPr>
              <w:pStyle w:val="TableContents"/>
              <w:spacing w:before="0" w:after="0"/>
              <w:ind w:left="0" w:right="0" w:hanging="0"/>
              <w:jc w:val="center"/>
              <w:rPr/>
            </w:pPr>
            <w:r>
              <w:rPr/>
              <w:t> </w:t>
            </w:r>
          </w:p>
        </w:tc>
        <w:tc>
          <w:tcPr>
            <w:tcW w:w="3316"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The Nasdaq</w:t>
            </w:r>
            <w:r>
              <w:rPr>
                <w:rFonts w:ascii="Times New Roman" w:hAnsi="Times New Roman"/>
                <w:sz w:val="20"/>
              </w:rPr>
              <w:t> </w:t>
            </w:r>
            <w:r>
              <w:rPr>
                <w:rFonts w:ascii="Times New Roman;serif" w:hAnsi="Times New Roman;serif"/>
                <w:b w:val="false"/>
                <w:sz w:val="20"/>
              </w:rPr>
              <w:t>Global Market</w:t>
            </w:r>
            <w:r>
              <w:rPr>
                <w:rFonts w:ascii="Times New Roman" w:hAnsi="Times New Roman"/>
                <w:sz w:val="20"/>
              </w:rPr>
              <w:t xml:space="preserve">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spacing w:before="8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spacing w:before="8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4822" w:type="dxa"/>
        <w:jc w:val="left"/>
        <w:tblInd w:w="0" w:type="dxa"/>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0"/>
              <w:ind w:left="0" w:right="0" w:hanging="0"/>
              <w:jc w:val="left"/>
              <w:rPr/>
            </w:pPr>
            <w:r>
              <w:rPr/>
              <w:t>☐</w:t>
            </w:r>
          </w:p>
        </w:tc>
      </w:tr>
      <w:tr>
        <w:trPr/>
        <w:tc>
          <w:tcPr>
            <w:tcW w:w="1666" w:type="dxa"/>
            <w:tcBorders/>
            <w:shd w:fill="auto" w:val="clear"/>
            <w:vAlign w:val="center"/>
          </w:tcPr>
          <w:p>
            <w:pPr>
              <w:pStyle w:val="TableContents"/>
              <w:spacing w:before="0" w:after="0"/>
              <w:ind w:left="0" w:right="0" w:hanging="0"/>
              <w:jc w:val="left"/>
              <w:rPr/>
            </w:pPr>
            <w:r>
              <w:rPr/>
              <w:t> </w:t>
            </w:r>
          </w:p>
        </w:tc>
        <w:tc>
          <w:tcPr>
            <w:tcW w:w="462" w:type="dxa"/>
            <w:gridSpan w:val="2"/>
            <w:tcBorders/>
            <w:shd w:fill="auto" w:val="clear"/>
            <w:vAlign w:val="center"/>
          </w:tcPr>
          <w:p>
            <w:pPr>
              <w:pStyle w:val="TableContents"/>
              <w:spacing w:before="0" w:after="0"/>
              <w:ind w:left="0" w:right="0" w:hanging="0"/>
              <w:jc w:val="left"/>
              <w:rPr/>
            </w:pPr>
            <w:r>
              <w:rPr/>
              <w:t> </w:t>
            </w:r>
          </w:p>
        </w:tc>
        <w:tc>
          <w:tcPr>
            <w:tcW w:w="2187" w:type="dxa"/>
            <w:gridSpan w:val="2"/>
            <w:tcBorders/>
            <w:shd w:fill="auto" w:val="clear"/>
            <w:vAlign w:val="center"/>
          </w:tcPr>
          <w:p>
            <w:pPr>
              <w:pStyle w:val="TableContents"/>
              <w:spacing w:before="0" w:after="0"/>
              <w:ind w:left="0" w:right="0" w:hanging="0"/>
              <w:jc w:val="left"/>
              <w:rPr/>
            </w:pPr>
            <w:r>
              <w:rPr/>
              <w:t> </w:t>
            </w:r>
          </w:p>
        </w:tc>
        <w:tc>
          <w:tcPr>
            <w:tcW w:w="507" w:type="dxa"/>
            <w:gridSpan w:val="2"/>
            <w:tcBorders/>
            <w:shd w:fill="auto" w:val="clear"/>
            <w:vAlign w:val="center"/>
          </w:tcPr>
          <w:p>
            <w:pPr>
              <w:pStyle w:val="TableContents"/>
              <w:spacing w:before="0" w:after="0"/>
              <w:ind w:left="0" w:right="0" w:hanging="0"/>
              <w:jc w:val="left"/>
              <w:rPr/>
            </w:pPr>
            <w:r>
              <w:rPr/>
              <w:t> </w:t>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0"/>
              <w:ind w:left="0" w:right="0" w:hanging="0"/>
              <w:jc w:val="left"/>
              <w:rPr/>
            </w:pPr>
            <w:r>
              <w:rPr/>
              <w:t>☐</w:t>
            </w:r>
          </w:p>
        </w:tc>
      </w:tr>
      <w:tr>
        <w:trPr/>
        <w:tc>
          <w:tcPr>
            <w:tcW w:w="1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r>
        <w:trPr/>
        <w:tc>
          <w:tcPr>
            <w:tcW w:w="1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w:t>
            </w:r>
          </w:p>
        </w:tc>
      </w:tr>
    </w:tbl>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8"/>
        </w:rPr>
        <w:t>No ☒</w:t>
      </w:r>
    </w:p>
    <w:p>
      <w:pPr>
        <w:pStyle w:val="TextBody"/>
        <w:spacing w:before="80" w:after="0"/>
        <w:jc w:val="left"/>
        <w:rPr>
          <w:rFonts w:ascii="Times New Roman" w:hAnsi="Times New Roman"/>
          <w:sz w:val="20"/>
        </w:rPr>
      </w:pPr>
      <w:r>
        <w:rPr>
          <w:rFonts w:ascii="Times New Roman;serif" w:hAnsi="Times New Roman;serif"/>
          <w:b w:val="false"/>
          <w:sz w:val="18"/>
        </w:rPr>
        <w:t>As of April 28, 2023, the registrant had 55,307,775</w:t>
      </w:r>
      <w:r>
        <w:rPr>
          <w:rFonts w:ascii="Times New Roman" w:hAnsi="Times New Roman"/>
          <w:sz w:val="20"/>
        </w:rPr>
        <w:t xml:space="preserve"> </w:t>
      </w:r>
      <w:r>
        <w:rPr>
          <w:rFonts w:ascii="Times New Roman;serif" w:hAnsi="Times New Roman;serif"/>
          <w:b w:val="false"/>
          <w:sz w:val="18"/>
        </w:rPr>
        <w:t>shares of common stock, $0.0001 par value per share, outstanding.</w:t>
      </w:r>
    </w:p>
    <w:p>
      <w:pPr>
        <w:pStyle w:val="TextBody"/>
        <w:pBdr>
          <w:bottom w:val="double" w:sz="6" w:space="1" w:color="000000"/>
        </w:pBdr>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0"/>
        <w:jc w:val="center"/>
        <w:rPr>
          <w:rFonts w:ascii="Times New Roman" w:hAnsi="Times New Roman"/>
          <w:sz w:val="20"/>
        </w:rPr>
      </w:pPr>
      <w:r>
        <w:rPr>
          <w:rFonts w:ascii="Times New Roman;serif" w:hAnsi="Times New Roman;serif"/>
          <w:b/>
          <w:caps/>
          <w:sz w:val="20"/>
        </w:rPr>
        <w:t>Summary of the Material and Other Risks Associated with Our Business</w:t>
      </w:r>
      <w:r>
        <w:rPr>
          <w:rFonts w:ascii="Times New Roman" w:hAnsi="Times New Roman"/>
          <w:sz w:val="20"/>
        </w:rPr>
        <w:t xml:space="preserve"> </w:t>
      </w:r>
    </w:p>
    <w:p>
      <w:pPr>
        <w:pStyle w:val="TextBody"/>
        <w:spacing w:before="360" w:after="0"/>
        <w:jc w:val="both"/>
        <w:rPr/>
      </w:pPr>
      <w:r>
        <w:rPr/>
        <w:t>•</w:t>
      </w:r>
    </w:p>
    <w:p>
      <w:pPr>
        <w:pStyle w:val="TextBody"/>
        <w:spacing w:before="360" w:after="0"/>
        <w:jc w:val="both"/>
        <w:rPr>
          <w:rFonts w:ascii="Times New Roman;serif" w:hAnsi="Times New Roman;serif"/>
          <w:b w:val="false"/>
          <w:sz w:val="20"/>
        </w:rPr>
      </w:pPr>
      <w:r>
        <w:rPr>
          <w:rFonts w:ascii="Times New Roman;serif" w:hAnsi="Times New Roman;serif"/>
          <w:b w:val="false"/>
          <w:sz w:val="20"/>
        </w:rPr>
        <w:t>We are a biopharmaceutical company with a limited operating history and have not generated any revenue to date from drug sales, and may never become profitable.</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have incurred significant operating losses in recent periods and anticipate that we will incur continued losses for the foreseeable future.</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are very early in our development efforts and our IRAK4, IRAKIMiD, STAT3 and MDM2 programs are still in early clinical development. If we are unable to advance them through the clinic for safety or efficacy reasons or commercialize our product candidates or experience significant delays in doing so, our business will be materially harmed.</w:t>
      </w:r>
    </w:p>
    <w:p>
      <w:pPr>
        <w:pStyle w:val="TextBody"/>
        <w:spacing w:before="120" w:after="0"/>
        <w:jc w:val="both"/>
        <w:rPr/>
      </w:pPr>
      <w:r>
        <w:rPr/>
        <w:t>•</w:t>
      </w:r>
    </w:p>
    <w:p>
      <w:pPr>
        <w:pStyle w:val="TextBody"/>
        <w:spacing w:before="120" w:after="0"/>
        <w:jc w:val="both"/>
        <w:rPr/>
      </w:pPr>
      <w:r>
        <w:rPr>
          <w:rFonts w:ascii="Times New Roman;serif" w:hAnsi="Times New Roman;serif"/>
          <w:b w:val="false"/>
          <w:sz w:val="20"/>
        </w:rPr>
        <w:t>Our approach to the discovery and development of product candidates based on our Pegasus</w:t>
      </w:r>
      <w:r>
        <w:rPr>
          <w:rFonts w:ascii="Times New Roman;serif" w:hAnsi="Times New Roman;serif"/>
          <w:b w:val="false"/>
          <w:sz w:val="13"/>
        </w:rPr>
        <w:t>TM</w:t>
      </w:r>
      <w:r>
        <w:rPr/>
        <w:t xml:space="preserve"> </w:t>
      </w:r>
      <w:r>
        <w:rPr>
          <w:rFonts w:ascii="Times New Roman;serif" w:hAnsi="Times New Roman;serif"/>
          <w:b w:val="false"/>
          <w:sz w:val="20"/>
        </w:rPr>
        <w:t>platform is novel and unproven, which makes it difficult to predict the time, cost of development, and likelihood of successfully developing any products.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Business interruptions resulting from the coronavirus disease (COVID-19) pandemic or similar public health crises could cause a disruption to our supply chain or the development of our product candidates and adversely impact our business.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If we experience delays or difficulties in the initiation or enrollment of patients in clinical trials, our receipt of necessary regulatory approvals could be delayed or prevented.</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Even if we receive regulatory approval for any of our current or future product candidates, we will be subject to ongoing obligations and continued regulatory review, which may result in significant additional expense.</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rely, and expect to continue to rely, on third parties to conduct our ongoing and planned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i</w:t>
      </w:r>
    </w:p>
    <w:p>
      <w:pPr>
        <w:pStyle w:val="HorizontalLine"/>
        <w:rPr/>
      </w:pPr>
      <w:r>
        <w:rPr/>
      </w:r>
    </w:p>
    <w:p>
      <w:pPr>
        <w:pStyle w:val="TextBody"/>
        <w:spacing w:before="0" w:after="0"/>
        <w:jc w:val="left"/>
        <w:rPr/>
      </w:pPr>
      <w:r>
        <w:rPr/>
        <w:t> </w:t>
      </w:r>
    </w:p>
    <w:p>
      <w:pPr>
        <w:pStyle w:val="TextBody"/>
        <w:spacing w:before="0" w:after="240"/>
        <w:jc w:val="center"/>
        <w:rPr>
          <w:rFonts w:ascii="Times New Roman;serif" w:hAnsi="Times New Roman;serif"/>
          <w:b/>
          <w:sz w:val="20"/>
        </w:rPr>
      </w:pPr>
      <w:r>
        <w:rPr>
          <w:rFonts w:ascii="Times New Roman;serif" w:hAnsi="Times New Roman;serif"/>
          <w:b/>
          <w:sz w:val="20"/>
        </w:rPr>
        <w:t>SPECIAL NOTE REGARDING FORWARD-LOOKING STATEMENTS</w:t>
      </w:r>
    </w:p>
    <w:p>
      <w:pPr>
        <w:pStyle w:val="TextBody"/>
        <w:spacing w:before="0" w:after="240"/>
        <w:jc w:val="both"/>
        <w:rPr>
          <w:rFonts w:ascii="Times New Roman;serif" w:hAnsi="Times New Roman;serif"/>
          <w:b w:val="false"/>
          <w:sz w:val="20"/>
        </w:rPr>
      </w:pPr>
      <w:r>
        <w:rPr>
          <w:rFonts w:ascii="Times New Roman;serif" w:hAnsi="Times New Roman;serif"/>
          <w:b w:val="false"/>
          <w:sz w:val="20"/>
        </w:rPr>
        <w:t>This Quarterly Report on Form 10-Q, or Quarterly Report, contains forward-looking statements which are made pursuant to the safe harbor provisions of Section 27A of the Securities Act of 1933, as amended, and Section 21E of the Securities Exchange Act of 1934, as amended.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express or implied statements about:</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initiation, timing, progress, results, and cost of our research and development programs, and our current and future preclinical and future clinical studies, including statements regarding the timing of initiation and completion of studies or trials and related preparatory work, the period during which the results of the trials will become available, and our research and development programs;</w:t>
      </w:r>
    </w:p>
    <w:p>
      <w:pPr>
        <w:pStyle w:val="TextBody"/>
        <w:spacing w:before="120" w:after="0"/>
        <w:jc w:val="both"/>
        <w:rPr/>
      </w:pPr>
      <w:r>
        <w:rPr/>
        <w:t>•</w:t>
      </w:r>
    </w:p>
    <w:p>
      <w:pPr>
        <w:pStyle w:val="TextBody"/>
        <w:spacing w:before="120" w:after="0"/>
        <w:jc w:val="both"/>
        <w:rPr/>
      </w:pPr>
      <w:r>
        <w:rPr>
          <w:rFonts w:ascii="Times New Roman;serif" w:hAnsi="Times New Roman;serif"/>
          <w:b w:val="false"/>
          <w:sz w:val="20"/>
        </w:rPr>
        <w:t>our ability to continue to construct Pegasus</w:t>
      </w:r>
      <w:r>
        <w:rPr>
          <w:rFonts w:ascii="Times New Roman;serif" w:hAnsi="Times New Roman;serif"/>
          <w:b w:val="false"/>
          <w:sz w:val="13"/>
        </w:rPr>
        <w:t>TM</w:t>
      </w:r>
      <w:r>
        <w:rPr>
          <w:rFonts w:ascii="Times New Roman;serif" w:hAnsi="Times New Roman;serif"/>
          <w:b w:val="false"/>
          <w:sz w:val="20"/>
        </w:rPr>
        <w:t>, our drug discovery platform, and to enable a rational and effective drug discovery and development engine;</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timing and the success of clinical studies under our IRAK4, IRAKIMiD, STAT3 and MDM2 programs;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plans to submit investigational new drug applications to the FDA for current and future product candidates;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subsequent initiation of planned clinical trials;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ability to identify research priorities and apply a risk-mitigated strategy to efficiently discover and develop product candidates, including by applying learnings from one program to other programs and from one modality to our other modalities;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potential ability to manufacture our drug substances, delivery vehicles, and product candidates for preclinical use, for clinical trials and on a larger scale for commercial use, if approved;</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ability and willingness of our third-party strategic collaborators to continue research and development activities relating to our development candidates and product candidates;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ability to obtain funding for our operations necessary to complete further development and commercialization of our product candidates;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ability to obtain and maintain regulatory approval of our product candidates;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ability to commercialize our products, if approved;</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pricing and reimbursement of our product candidates, if approved;</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implementation of our business model, and strategic plans for our business, product candidates, and technology;</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scope of protection we are able to establish and maintain for intellectual property rights covering our product candidates and technology;</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estimates of our future expenses, revenues, capital requirements, and our needs for additional financing;</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potential benefits of strategic collaboration agreements, our ability to enter into strategic collaborations or arrangements, and our ability to attract collaborators with development, regulatory and commercialization expertise;</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future agreements with third parties in connection with the commercialization of product candidates and any other approved product;</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size and growth potential of the markets for our product candidates, and our ability to serve those markets;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financial performance;</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rate and degree of market acceptance of our product candidates;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regulatory developments in the United States and foreign countries;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ability to contract with third-party suppliers and manufacturers and their ability to perform adequately;</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our ability to produce our products or product candidates with advantages in turnaround times or manufacturing cost;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ii</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success of competing therapies that are or may become available;</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ability to attract and retain key scientific or management personnel;</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impact of laws and regulations;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developments relating to our competitors and our industry;</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effect of COVID-19, and any future pandemics, including mitigation efforts and economic effects, on any of the foregoing or other aspects of our business operations, including but not limited to our preclinical studies and future clinical trials; and</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other risks and uncertainties, including those listed under the caption “Risk Factors.”</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Any forward-looking statements in this Quarterly Report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All of our forward-looking statements are as of the date of this Quarterly Report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or included in our other public disclosures or our other periodic reports or other documents or filings filed with or furnished to the Securities and Exchange Commission, or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even if such results, changes or circumstances make it clear that any forward-looking information will not be realized. Any public statements or disclosures by us following this Quarterly Report that modify or impact any of the forward-looking statements contained in this Quarterly Report will be deemed to modify or supersede such statements in this Quarterly Report.</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Quarterly Report.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iii</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spacing w:before="0" w:after="0"/>
        <w:jc w:val="left"/>
        <w:rPr/>
      </w:pPr>
      <w:r>
        <w:rPr/>
        <w:t> </w:t>
      </w:r>
    </w:p>
    <w:tbl>
      <w:tblPr>
        <w:tblW w:w="8763" w:type="dxa"/>
        <w:jc w:val="left"/>
        <w:tblInd w:w="0" w:type="dxa"/>
        <w:tblCellMar>
          <w:top w:w="28" w:type="dxa"/>
          <w:left w:w="28" w:type="dxa"/>
          <w:bottom w:w="28" w:type="dxa"/>
          <w:right w:w="28" w:type="dxa"/>
        </w:tblCellMar>
      </w:tblPr>
      <w:tblGrid>
        <w:gridCol w:w="886"/>
        <w:gridCol w:w="7366"/>
        <w:gridCol w:w="511"/>
      </w:tblGrid>
      <w:tr>
        <w:trPr/>
        <w:tc>
          <w:tcPr>
            <w:tcW w:w="886" w:type="dxa"/>
            <w:tcBorders/>
            <w:shd w:fill="auto" w:val="clear"/>
            <w:vAlign w:val="center"/>
          </w:tcPr>
          <w:p>
            <w:pPr>
              <w:pStyle w:val="TableContents"/>
              <w:spacing w:before="0" w:after="283"/>
              <w:rPr>
                <w:sz w:val="4"/>
                <w:szCs w:val="4"/>
              </w:rPr>
            </w:pPr>
            <w:r>
              <w:rPr>
                <w:sz w:val="4"/>
                <w:szCs w:val="4"/>
              </w:rPr>
            </w:r>
          </w:p>
        </w:tc>
        <w:tc>
          <w:tcPr>
            <w:tcW w:w="736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financial_information">
              <w:r>
                <w:rPr>
                  <w:rStyle w:val="InternetLink"/>
                  <w:rFonts w:ascii="Times New Roman;serif" w:hAnsi="Times New Roman;serif"/>
                  <w:b w:val="false"/>
                  <w:sz w:val="20"/>
                  <w:u w:val="single"/>
                </w:rPr>
                <w:t>FINANCIAL INFORMATION</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balance_sheets">
              <w:r>
                <w:rPr>
                  <w:rStyle w:val="InternetLink"/>
                  <w:rFonts w:ascii="Times New Roman;serif" w:hAnsi="Times New Roman;serif"/>
                  <w:b w:val="false"/>
                  <w:sz w:val="20"/>
                  <w:u w:val="single"/>
                </w:rPr>
                <w:t>Condensed Consolidated Balance Sheets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statements_operat">
              <w:r>
                <w:rPr>
                  <w:rStyle w:val="InternetLink"/>
                  <w:rFonts w:ascii="Times New Roman;serif" w:hAnsi="Times New Roman;serif"/>
                  <w:b w:val="false"/>
                  <w:sz w:val="20"/>
                  <w:u w:val="single"/>
                </w:rPr>
                <w:t>Condensed Consolidated Statements of Operations and Comprehensive Loss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equity">
              <w:r>
                <w:rPr>
                  <w:rStyle w:val="InternetLink"/>
                  <w:rFonts w:ascii="Times New Roman;serif" w:hAnsi="Times New Roman;serif"/>
                  <w:b w:val="false"/>
                  <w:sz w:val="20"/>
                  <w:u w:val="single"/>
                </w:rPr>
                <w:t>Condensed Consolidated Statements of Stockholders’ Equity</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statements_cash_f">
              <w:r>
                <w:rPr>
                  <w:rStyle w:val="InternetLink"/>
                  <w:rFonts w:ascii="Times New Roman;serif" w:hAnsi="Times New Roman;serif"/>
                  <w:b w:val="false"/>
                  <w:sz w:val="20"/>
                  <w:u w:val="single"/>
                </w:rPr>
                <w:t>Condensed Consolidated Statements of Cash Flows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es_to_condensed_consolidated_financia">
              <w:r>
                <w:rPr>
                  <w:rStyle w:val="InternetLink"/>
                  <w:rFonts w:ascii="Times New Roman;serif" w:hAnsi="Times New Roman;serif"/>
                  <w:b w:val="false"/>
                  <w:sz w:val="20"/>
                  <w:u w:val="single"/>
                </w:rPr>
                <w:t>Notes to Unaudited Condensed Consolidated Financial Statements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ior_information">
              <w:r>
                <w:rPr>
                  <w:rStyle w:val="InternetLink"/>
                  <w:rFonts w:ascii="Times New Roman;serif" w:hAnsi="Times New Roman;serif"/>
                  <w:b w:val="false"/>
                  <w:sz w:val="20"/>
                  <w:u w:val="single"/>
                </w:rPr>
                <w:t>OTHER INFORMATION</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r>
      <w:tr>
        <w:trPr/>
        <w:tc>
          <w:tcPr>
            <w:tcW w:w="825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iv</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 w:name="part_ifinancial_information"/>
      <w:bookmarkEnd w:id="2"/>
      <w:r>
        <w:rPr>
          <w:rFonts w:ascii="Times New Roman;serif" w:hAnsi="Times New Roman;serif"/>
          <w:b/>
          <w:sz w:val="20"/>
        </w:rPr>
        <w:t>PART I—FINANCIAL INFORMATION</w:t>
      </w:r>
    </w:p>
    <w:p>
      <w:pPr>
        <w:pStyle w:val="TextBody"/>
        <w:spacing w:before="240" w:after="0"/>
        <w:jc w:val="both"/>
        <w:rPr>
          <w:rFonts w:ascii="Times New Roman;serif" w:hAnsi="Times New Roman;serif"/>
          <w:b/>
          <w:sz w:val="20"/>
        </w:rPr>
      </w:pPr>
      <w:bookmarkStart w:id="3" w:name="item_1_financial_statements"/>
      <w:bookmarkEnd w:id="3"/>
      <w:r>
        <w:rPr>
          <w:rFonts w:ascii="Times New Roman;serif" w:hAnsi="Times New Roman;serif"/>
          <w:b/>
          <w:sz w:val="20"/>
        </w:rPr>
        <w:t>Item 1. Financial Statements.</w:t>
      </w:r>
    </w:p>
    <w:p>
      <w:pPr>
        <w:pStyle w:val="TextBody"/>
        <w:spacing w:before="240" w:after="0"/>
        <w:jc w:val="center"/>
        <w:rPr>
          <w:rFonts w:ascii="Times New Roman" w:hAnsi="Times New Roman"/>
          <w:sz w:val="20"/>
        </w:rPr>
      </w:pPr>
      <w:r>
        <w:rPr>
          <w:rFonts w:ascii="Times New Roman;serif" w:hAnsi="Times New Roman;serif"/>
          <w:b/>
          <w:sz w:val="20"/>
        </w:rPr>
        <w:t>KYMERA THERAPEUTICS,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4" w:name="condensed_consolidated_balance_sheets"/>
      <w:bookmarkEnd w:id="4"/>
      <w:r>
        <w:rPr>
          <w:rFonts w:ascii="Times New Roman;serif" w:hAnsi="Times New Roman;serif"/>
          <w:b/>
          <w:sz w:val="20"/>
        </w:rPr>
        <w:t>CONDENSED CONSOLIDATED BALANCE SHEETS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(In thousands, except for share and per share amounts)</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242"/>
        <w:gridCol w:w="146"/>
        <w:gridCol w:w="196"/>
        <w:gridCol w:w="751"/>
        <w:gridCol w:w="166"/>
        <w:gridCol w:w="146"/>
        <w:gridCol w:w="196"/>
        <w:gridCol w:w="751"/>
        <w:gridCol w:w="611"/>
      </w:tblGrid>
      <w:tr>
        <w:trPr/>
        <w:tc>
          <w:tcPr>
            <w:tcW w:w="72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724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December 31,</w:t>
              <w:b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242"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Assets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724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724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50,152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68,395</w:t>
            </w:r>
          </w:p>
        </w:tc>
        <w:tc>
          <w:tcPr>
            <w:tcW w:w="611" w:type="dxa"/>
            <w:tcBorders/>
            <w:shd w:fill="auto" w:val="clear"/>
            <w:vAlign w:val="center"/>
          </w:tcPr>
          <w:p>
            <w:pPr>
              <w:pStyle w:val="TableContents"/>
              <w:spacing w:before="0" w:after="0"/>
              <w:ind w:left="0" w:right="0" w:firstLine="200"/>
              <w:jc w:val="left"/>
              <w:rPr/>
            </w:pPr>
            <w:r>
              <w:rPr/>
              <w:t> </w:t>
            </w:r>
          </w:p>
        </w:tc>
      </w:tr>
      <w:tr>
        <w:trPr/>
        <w:tc>
          <w:tcPr>
            <w:tcW w:w="724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Marketable securities (Note 4)</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346,725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338,771</w:t>
            </w:r>
          </w:p>
        </w:tc>
        <w:tc>
          <w:tcPr>
            <w:tcW w:w="611" w:type="dxa"/>
            <w:tcBorders/>
            <w:shd w:fill="auto" w:val="clear"/>
            <w:vAlign w:val="center"/>
          </w:tcPr>
          <w:p>
            <w:pPr>
              <w:pStyle w:val="TableContents"/>
              <w:spacing w:before="0" w:after="0"/>
              <w:ind w:left="0" w:right="0" w:firstLine="200"/>
              <w:jc w:val="left"/>
              <w:rPr/>
            </w:pPr>
            <w:r>
              <w:rPr/>
              <w:t> </w:t>
            </w:r>
          </w:p>
        </w:tc>
      </w:tr>
      <w:tr>
        <w:trPr/>
        <w:tc>
          <w:tcPr>
            <w:tcW w:w="724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Contract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2,537</w:t>
            </w:r>
          </w:p>
        </w:tc>
        <w:tc>
          <w:tcPr>
            <w:tcW w:w="611" w:type="dxa"/>
            <w:tcBorders/>
            <w:shd w:fill="auto" w:val="clear"/>
            <w:vAlign w:val="center"/>
          </w:tcPr>
          <w:p>
            <w:pPr>
              <w:pStyle w:val="TableContents"/>
              <w:spacing w:before="0" w:after="0"/>
              <w:ind w:left="0" w:right="0" w:firstLine="200"/>
              <w:jc w:val="left"/>
              <w:rPr/>
            </w:pPr>
            <w:r>
              <w:rPr/>
              <w:t> </w:t>
            </w:r>
          </w:p>
        </w:tc>
      </w:tr>
      <w:tr>
        <w:trPr/>
        <w:tc>
          <w:tcPr>
            <w:tcW w:w="724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11,353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9,713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24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411,550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419,416</w:t>
            </w:r>
          </w:p>
        </w:tc>
        <w:tc>
          <w:tcPr>
            <w:tcW w:w="611" w:type="dxa"/>
            <w:tcBorders/>
            <w:shd w:fill="auto" w:val="clear"/>
            <w:vAlign w:val="center"/>
          </w:tcPr>
          <w:p>
            <w:pPr>
              <w:pStyle w:val="TableContents"/>
              <w:spacing w:before="0" w:after="0"/>
              <w:ind w:left="0" w:right="0" w:hanging="0"/>
              <w:jc w:val="left"/>
              <w:rPr/>
            </w:pPr>
            <w:r>
              <w:rPr/>
              <w:t> </w:t>
            </w:r>
          </w:p>
        </w:tc>
      </w:tr>
      <w:tr>
        <w:trPr/>
        <w:tc>
          <w:tcPr>
            <w:tcW w:w="724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Marketable securities, non-current (Note 4)</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119,017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152,328</w:t>
            </w:r>
          </w:p>
        </w:tc>
        <w:tc>
          <w:tcPr>
            <w:tcW w:w="611" w:type="dxa"/>
            <w:tcBorders/>
            <w:shd w:fill="auto" w:val="clear"/>
            <w:vAlign w:val="center"/>
          </w:tcPr>
          <w:p>
            <w:pPr>
              <w:pStyle w:val="TableContents"/>
              <w:spacing w:before="0" w:after="0"/>
              <w:ind w:left="0" w:right="0" w:hanging="0"/>
              <w:jc w:val="left"/>
              <w:rPr/>
            </w:pPr>
            <w:r>
              <w:rPr/>
              <w:t> </w:t>
            </w:r>
          </w:p>
        </w:tc>
      </w:tr>
      <w:tr>
        <w:trPr/>
        <w:tc>
          <w:tcPr>
            <w:tcW w:w="724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Property and equipment, net (Note 6)</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17,432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13,334</w:t>
            </w:r>
          </w:p>
        </w:tc>
        <w:tc>
          <w:tcPr>
            <w:tcW w:w="611" w:type="dxa"/>
            <w:tcBorders/>
            <w:shd w:fill="auto" w:val="clear"/>
            <w:vAlign w:val="center"/>
          </w:tcPr>
          <w:p>
            <w:pPr>
              <w:pStyle w:val="TableContents"/>
              <w:spacing w:before="0" w:after="0"/>
              <w:ind w:left="0" w:right="0" w:hanging="0"/>
              <w:jc w:val="left"/>
              <w:rPr/>
            </w:pPr>
            <w:r>
              <w:rPr/>
              <w:t> </w:t>
            </w:r>
          </w:p>
        </w:tc>
      </w:tr>
      <w:tr>
        <w:trPr/>
        <w:tc>
          <w:tcPr>
            <w:tcW w:w="724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Right-of-use assets, operating leases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56,604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8,909</w:t>
            </w:r>
          </w:p>
        </w:tc>
        <w:tc>
          <w:tcPr>
            <w:tcW w:w="611" w:type="dxa"/>
            <w:tcBorders/>
            <w:shd w:fill="auto" w:val="clear"/>
            <w:vAlign w:val="center"/>
          </w:tcPr>
          <w:p>
            <w:pPr>
              <w:pStyle w:val="TableContents"/>
              <w:spacing w:before="0" w:after="0"/>
              <w:ind w:left="0" w:right="0" w:hanging="0"/>
              <w:jc w:val="left"/>
              <w:rPr/>
            </w:pPr>
            <w:r>
              <w:rPr/>
              <w:t> </w:t>
            </w:r>
          </w:p>
        </w:tc>
      </w:tr>
      <w:tr>
        <w:trPr/>
        <w:tc>
          <w:tcPr>
            <w:tcW w:w="724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3,017</w:t>
            </w:r>
          </w:p>
        </w:tc>
        <w:tc>
          <w:tcPr>
            <w:tcW w:w="611" w:type="dxa"/>
            <w:tcBorders/>
            <w:shd w:fill="auto" w:val="clear"/>
            <w:vAlign w:val="center"/>
          </w:tcPr>
          <w:p>
            <w:pPr>
              <w:pStyle w:val="TableContents"/>
              <w:spacing w:before="0" w:after="0"/>
              <w:ind w:left="0" w:right="0" w:hanging="0"/>
              <w:jc w:val="left"/>
              <w:rPr/>
            </w:pPr>
            <w:r>
              <w:rPr/>
              <w:t> </w:t>
            </w:r>
          </w:p>
        </w:tc>
      </w:tr>
      <w:tr>
        <w:trPr/>
        <w:tc>
          <w:tcPr>
            <w:tcW w:w="724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6,147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6,130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24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613,905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603,134</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42"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724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724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6,483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4,335</w:t>
            </w:r>
          </w:p>
        </w:tc>
        <w:tc>
          <w:tcPr>
            <w:tcW w:w="611" w:type="dxa"/>
            <w:tcBorders/>
            <w:shd w:fill="auto" w:val="clear"/>
            <w:vAlign w:val="center"/>
          </w:tcPr>
          <w:p>
            <w:pPr>
              <w:pStyle w:val="TableContents"/>
              <w:spacing w:before="0" w:after="0"/>
              <w:ind w:left="0" w:right="0" w:firstLine="200"/>
              <w:jc w:val="left"/>
              <w:rPr/>
            </w:pPr>
            <w:r>
              <w:rPr/>
              <w:t> </w:t>
            </w:r>
          </w:p>
        </w:tc>
      </w:tr>
      <w:tr>
        <w:trPr/>
        <w:tc>
          <w:tcPr>
            <w:tcW w:w="724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Accrued expenses (Note 8)</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18,502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27,502</w:t>
            </w:r>
          </w:p>
        </w:tc>
        <w:tc>
          <w:tcPr>
            <w:tcW w:w="611" w:type="dxa"/>
            <w:tcBorders/>
            <w:shd w:fill="auto" w:val="clear"/>
            <w:vAlign w:val="center"/>
          </w:tcPr>
          <w:p>
            <w:pPr>
              <w:pStyle w:val="TableContents"/>
              <w:spacing w:before="0" w:after="0"/>
              <w:ind w:left="0" w:right="0" w:firstLine="200"/>
              <w:jc w:val="left"/>
              <w:rPr/>
            </w:pPr>
            <w:r>
              <w:rPr/>
              <w:t> </w:t>
            </w:r>
          </w:p>
        </w:tc>
      </w:tr>
      <w:tr>
        <w:trPr/>
        <w:tc>
          <w:tcPr>
            <w:tcW w:w="724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32,248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35,260</w:t>
            </w:r>
          </w:p>
        </w:tc>
        <w:tc>
          <w:tcPr>
            <w:tcW w:w="611" w:type="dxa"/>
            <w:tcBorders/>
            <w:shd w:fill="auto" w:val="clear"/>
            <w:vAlign w:val="center"/>
          </w:tcPr>
          <w:p>
            <w:pPr>
              <w:pStyle w:val="TableContents"/>
              <w:spacing w:before="0" w:after="0"/>
              <w:ind w:left="0" w:right="0" w:firstLine="200"/>
              <w:jc w:val="left"/>
              <w:rPr/>
            </w:pPr>
            <w:r>
              <w:rPr/>
              <w:t> </w:t>
            </w:r>
          </w:p>
        </w:tc>
      </w:tr>
      <w:tr>
        <w:trPr/>
        <w:tc>
          <w:tcPr>
            <w:tcW w:w="724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2,535</w:t>
            </w:r>
          </w:p>
        </w:tc>
        <w:tc>
          <w:tcPr>
            <w:tcW w:w="611" w:type="dxa"/>
            <w:tcBorders/>
            <w:shd w:fill="auto" w:val="clear"/>
            <w:vAlign w:val="center"/>
          </w:tcPr>
          <w:p>
            <w:pPr>
              <w:pStyle w:val="TableContents"/>
              <w:spacing w:before="0" w:after="0"/>
              <w:ind w:left="0" w:right="0" w:firstLine="200"/>
              <w:jc w:val="left"/>
              <w:rPr/>
            </w:pPr>
            <w:r>
              <w:rPr/>
              <w:t> </w:t>
            </w:r>
          </w:p>
        </w:tc>
      </w:tr>
      <w:tr>
        <w:trPr/>
        <w:tc>
          <w:tcPr>
            <w:tcW w:w="724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Finance lease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1,339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1,408</w:t>
            </w:r>
          </w:p>
        </w:tc>
        <w:tc>
          <w:tcPr>
            <w:tcW w:w="611" w:type="dxa"/>
            <w:tcBorders/>
            <w:shd w:fill="auto" w:val="clear"/>
            <w:vAlign w:val="center"/>
          </w:tcPr>
          <w:p>
            <w:pPr>
              <w:pStyle w:val="TableContents"/>
              <w:spacing w:before="0" w:after="0"/>
              <w:ind w:left="0" w:right="0" w:firstLine="200"/>
              <w:jc w:val="left"/>
              <w:rPr/>
            </w:pPr>
            <w:r>
              <w:rPr/>
              <w:t> </w:t>
            </w:r>
          </w:p>
        </w:tc>
      </w:tr>
      <w:tr>
        <w:trPr/>
        <w:tc>
          <w:tcPr>
            <w:tcW w:w="724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24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61,933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71,343</w:t>
            </w:r>
          </w:p>
        </w:tc>
        <w:tc>
          <w:tcPr>
            <w:tcW w:w="611" w:type="dxa"/>
            <w:tcBorders/>
            <w:shd w:fill="auto" w:val="clear"/>
            <w:vAlign w:val="center"/>
          </w:tcPr>
          <w:p>
            <w:pPr>
              <w:pStyle w:val="TableContents"/>
              <w:spacing w:before="0" w:after="0"/>
              <w:ind w:left="0" w:right="0" w:hanging="0"/>
              <w:jc w:val="left"/>
              <w:rPr/>
            </w:pPr>
            <w:r>
              <w:rPr/>
              <w:t> </w:t>
            </w:r>
          </w:p>
        </w:tc>
      </w:tr>
      <w:tr>
        <w:trPr/>
        <w:tc>
          <w:tcPr>
            <w:tcW w:w="724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724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Deferred revenue,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24,866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28,000</w:t>
            </w:r>
          </w:p>
        </w:tc>
        <w:tc>
          <w:tcPr>
            <w:tcW w:w="611" w:type="dxa"/>
            <w:tcBorders/>
            <w:shd w:fill="auto" w:val="clear"/>
            <w:vAlign w:val="center"/>
          </w:tcPr>
          <w:p>
            <w:pPr>
              <w:pStyle w:val="TableContents"/>
              <w:spacing w:before="0" w:after="0"/>
              <w:ind w:left="0" w:right="0" w:firstLine="200"/>
              <w:jc w:val="left"/>
              <w:rPr/>
            </w:pPr>
            <w:r>
              <w:rPr/>
              <w:t> </w:t>
            </w:r>
          </w:p>
        </w:tc>
      </w:tr>
      <w:tr>
        <w:trPr/>
        <w:tc>
          <w:tcPr>
            <w:tcW w:w="724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Operating lease liabilities,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63,875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12,146</w:t>
            </w:r>
          </w:p>
        </w:tc>
        <w:tc>
          <w:tcPr>
            <w:tcW w:w="611" w:type="dxa"/>
            <w:tcBorders/>
            <w:shd w:fill="auto" w:val="clear"/>
            <w:vAlign w:val="center"/>
          </w:tcPr>
          <w:p>
            <w:pPr>
              <w:pStyle w:val="TableContents"/>
              <w:spacing w:before="0" w:after="0"/>
              <w:ind w:left="0" w:right="0" w:firstLine="200"/>
              <w:jc w:val="left"/>
              <w:rPr/>
            </w:pPr>
            <w:r>
              <w:rPr/>
              <w:t> </w:t>
            </w:r>
          </w:p>
        </w:tc>
      </w:tr>
      <w:tr>
        <w:trPr/>
        <w:tc>
          <w:tcPr>
            <w:tcW w:w="724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Finance lease liabilities,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1,246</w:t>
            </w:r>
          </w:p>
        </w:tc>
        <w:tc>
          <w:tcPr>
            <w:tcW w:w="611" w:type="dxa"/>
            <w:tcBorders/>
            <w:shd w:fill="auto" w:val="clear"/>
            <w:vAlign w:val="center"/>
          </w:tcPr>
          <w:p>
            <w:pPr>
              <w:pStyle w:val="TableContents"/>
              <w:spacing w:before="0" w:after="0"/>
              <w:ind w:left="0" w:right="0" w:firstLine="200"/>
              <w:jc w:val="left"/>
              <w:rPr/>
            </w:pPr>
            <w:r>
              <w:rPr/>
              <w:t> </w:t>
            </w:r>
          </w:p>
        </w:tc>
      </w:tr>
      <w:tr>
        <w:trPr/>
        <w:tc>
          <w:tcPr>
            <w:tcW w:w="724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248</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24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151,900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112,983</w:t>
            </w:r>
          </w:p>
        </w:tc>
        <w:tc>
          <w:tcPr>
            <w:tcW w:w="611" w:type="dxa"/>
            <w:tcBorders/>
            <w:shd w:fill="auto" w:val="clear"/>
            <w:vAlign w:val="center"/>
          </w:tcPr>
          <w:p>
            <w:pPr>
              <w:pStyle w:val="TableContents"/>
              <w:spacing w:before="0" w:after="0"/>
              <w:ind w:left="0" w:right="0" w:hanging="0"/>
              <w:jc w:val="left"/>
              <w:rPr/>
            </w:pPr>
            <w:r>
              <w:rPr/>
              <w:t> </w:t>
            </w:r>
          </w:p>
        </w:tc>
      </w:tr>
      <w:tr>
        <w:trPr/>
        <w:tc>
          <w:tcPr>
            <w:tcW w:w="724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7242"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16"/>
              </w:rPr>
              <w:t>Common stock, $0.0001</w:t>
            </w:r>
            <w:r>
              <w:rPr>
                <w:rFonts w:ascii="Times New Roman" w:hAnsi="Times New Roman"/>
                <w:sz w:val="20"/>
              </w:rPr>
              <w:t> </w:t>
            </w:r>
            <w:r>
              <w:rPr>
                <w:rFonts w:ascii="Times New Roman;serif" w:hAnsi="Times New Roman;serif"/>
                <w:b w:val="false"/>
                <w:sz w:val="16"/>
              </w:rPr>
              <w:t>par value; 150,000,000</w:t>
            </w:r>
            <w:r>
              <w:rPr>
                <w:rFonts w:ascii="Times New Roman" w:hAnsi="Times New Roman"/>
                <w:sz w:val="20"/>
              </w:rPr>
              <w:t> </w:t>
            </w:r>
            <w:r>
              <w:rPr>
                <w:rFonts w:ascii="Times New Roman;serif" w:hAnsi="Times New Roman;serif"/>
                <w:b w:val="false"/>
                <w:sz w:val="16"/>
              </w:rPr>
              <w:t>shares authorized at March 31, 2023 and December 31, 2022, 55,276,226</w:t>
            </w:r>
            <w:r>
              <w:rPr>
                <w:rFonts w:ascii="Times New Roman" w:hAnsi="Times New Roman"/>
                <w:sz w:val="20"/>
              </w:rPr>
              <w:t> </w:t>
            </w:r>
            <w:r>
              <w:rPr>
                <w:rFonts w:ascii="Times New Roman;serif" w:hAnsi="Times New Roman;serif"/>
                <w:b w:val="false"/>
                <w:sz w:val="16"/>
              </w:rPr>
              <w:t>and 55,039,380</w:t>
            </w:r>
            <w:r>
              <w:rPr>
                <w:rFonts w:ascii="Times New Roman" w:hAnsi="Times New Roman"/>
                <w:sz w:val="20"/>
              </w:rPr>
              <w:t> </w:t>
            </w:r>
            <w:r>
              <w:rPr>
                <w:rFonts w:ascii="Times New Roman;serif" w:hAnsi="Times New Roman;serif"/>
                <w:b w:val="false"/>
                <w:sz w:val="16"/>
              </w:rPr>
              <w:t>shares issued and outstanding at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611" w:type="dxa"/>
            <w:tcBorders/>
            <w:shd w:fill="auto" w:val="clear"/>
            <w:vAlign w:val="center"/>
          </w:tcPr>
          <w:p>
            <w:pPr>
              <w:pStyle w:val="TableContents"/>
              <w:spacing w:before="0" w:after="0"/>
              <w:ind w:left="0" w:right="0" w:firstLine="200"/>
              <w:jc w:val="left"/>
              <w:rPr/>
            </w:pPr>
            <w:r>
              <w:rPr/>
              <w:t> </w:t>
            </w:r>
          </w:p>
        </w:tc>
      </w:tr>
      <w:tr>
        <w:trPr/>
        <w:tc>
          <w:tcPr>
            <w:tcW w:w="724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889,755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878,884</w:t>
            </w:r>
          </w:p>
        </w:tc>
        <w:tc>
          <w:tcPr>
            <w:tcW w:w="611" w:type="dxa"/>
            <w:tcBorders/>
            <w:shd w:fill="auto" w:val="clear"/>
            <w:vAlign w:val="center"/>
          </w:tcPr>
          <w:p>
            <w:pPr>
              <w:pStyle w:val="TableContents"/>
              <w:spacing w:before="0" w:after="0"/>
              <w:ind w:left="0" w:right="0" w:firstLine="200"/>
              <w:jc w:val="left"/>
              <w:rPr/>
            </w:pPr>
            <w:r>
              <w:rPr/>
              <w:t> </w:t>
            </w:r>
          </w:p>
        </w:tc>
      </w:tr>
      <w:tr>
        <w:trPr/>
        <w:tc>
          <w:tcPr>
            <w:tcW w:w="724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(424,718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(383,790</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724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(3,038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(4,949</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724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462,005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490,151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24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613,905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603,134</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KYMERA THERAPEUTICS, INC.</w:t>
      </w:r>
    </w:p>
    <w:p>
      <w:pPr>
        <w:pStyle w:val="TextBody"/>
        <w:spacing w:before="0" w:after="0"/>
        <w:jc w:val="center"/>
        <w:rPr>
          <w:rFonts w:ascii="Times New Roman" w:hAnsi="Times New Roman"/>
          <w:sz w:val="20"/>
        </w:rPr>
      </w:pPr>
      <w:bookmarkStart w:id="5" w:name="condensed_consolidated_statements_operat"/>
      <w:bookmarkEnd w:id="5"/>
      <w:r>
        <w:rPr>
          <w:rFonts w:ascii="Times New Roman;serif" w:hAnsi="Times New Roman;serif"/>
          <w:b/>
          <w:sz w:val="20"/>
        </w:rPr>
        <w:t>CONDENSED CONSOLIDATED STATEMENTS OF</w:t>
      </w:r>
      <w:r>
        <w:rPr>
          <w:rFonts w:ascii="Times New Roman" w:hAnsi="Times New Roman"/>
          <w:sz w:val="20"/>
        </w:rPr>
        <w:t xml:space="preserve"> </w:t>
      </w:r>
      <w:r>
        <w:rPr>
          <w:rFonts w:ascii="Times New Roman;serif" w:hAnsi="Times New Roman;serif"/>
          <w:b/>
          <w:sz w:val="20"/>
        </w:rPr>
        <w:t>OPERATIONS AND COMPREHENSIVE LOSS</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Three months ended March 31, 2023 and 2022</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for share and per share amounts)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left"/>
        <w:rPr/>
      </w:pPr>
      <w:r>
        <w:rPr/>
        <w:t> </w:t>
      </w:r>
    </w:p>
    <w:tbl>
      <w:tblPr>
        <w:tblW w:w="9035" w:type="dxa"/>
        <w:jc w:val="left"/>
        <w:tblInd w:w="0" w:type="dxa"/>
        <w:tblCellMar>
          <w:top w:w="28" w:type="dxa"/>
          <w:left w:w="28" w:type="dxa"/>
          <w:bottom w:w="28" w:type="dxa"/>
          <w:right w:w="28" w:type="dxa"/>
        </w:tblCellMar>
      </w:tblPr>
      <w:tblGrid>
        <w:gridCol w:w="5326"/>
        <w:gridCol w:w="146"/>
        <w:gridCol w:w="211"/>
        <w:gridCol w:w="1036"/>
        <w:gridCol w:w="166"/>
        <w:gridCol w:w="146"/>
        <w:gridCol w:w="211"/>
        <w:gridCol w:w="1036"/>
        <w:gridCol w:w="166"/>
        <w:gridCol w:w="591"/>
      </w:tblGrid>
      <w:tr>
        <w:trPr/>
        <w:tc>
          <w:tcPr>
            <w:tcW w:w="5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53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53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5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Collaboration Revenue—from related parties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9,466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5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5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35,944</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5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12,565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10,611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5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54,792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46,555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5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(45,326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(36,933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5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53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and other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53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and other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532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4,398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5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(40,928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(36,684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5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53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(loss) on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5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comprehensive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(39,017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(39,240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53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5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(40,928</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(36,684</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5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5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common stock outstanding,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58,187,038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51,651,125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The accompanying notes are an integral part of these condensed consolidated financial statements.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KYMERA THERAPEUTICS, INC.</w:t>
      </w:r>
    </w:p>
    <w:p>
      <w:pPr>
        <w:pStyle w:val="TextBody"/>
        <w:spacing w:before="0" w:after="0"/>
        <w:jc w:val="center"/>
        <w:rPr>
          <w:rFonts w:ascii="Times New Roman" w:hAnsi="Times New Roman"/>
          <w:sz w:val="20"/>
        </w:rPr>
      </w:pPr>
      <w:bookmarkStart w:id="6" w:name="condensed_consolidated_statements_conver"/>
      <w:bookmarkEnd w:id="6"/>
      <w:r>
        <w:rPr>
          <w:rFonts w:ascii="Times New Roman;serif" w:hAnsi="Times New Roman;serif"/>
          <w:b/>
          <w:sz w:val="20"/>
        </w:rPr>
        <w:t>CONDENSED CONSOLIDATED STATEMENTS OF</w:t>
      </w:r>
      <w:bookmarkStart w:id="7" w:name="condensed_equity"/>
      <w:bookmarkEnd w:id="7"/>
      <w:r>
        <w:rPr>
          <w:rFonts w:ascii="Times New Roman" w:hAnsi="Times New Roman"/>
          <w:sz w:val="20"/>
        </w:rPr>
        <w:t xml:space="preserve"> </w:t>
      </w:r>
      <w:r>
        <w:rPr>
          <w:rFonts w:ascii="Times New Roman;serif" w:hAnsi="Times New Roman;serif"/>
          <w:b/>
          <w:sz w:val="20"/>
        </w:rPr>
        <w:t>STOCKHOLDERS’ EQUITY</w:t>
      </w:r>
    </w:p>
    <w:p>
      <w:pPr>
        <w:pStyle w:val="TextBody"/>
        <w:spacing w:before="0" w:after="0"/>
        <w:jc w:val="center"/>
        <w:rPr>
          <w:rFonts w:ascii="Times New Roman;serif" w:hAnsi="Times New Roman;serif"/>
          <w:b/>
          <w:sz w:val="20"/>
        </w:rPr>
      </w:pPr>
      <w:r>
        <w:rPr>
          <w:rFonts w:ascii="Times New Roman;serif" w:hAnsi="Times New Roman;serif"/>
          <w:b/>
          <w:sz w:val="20"/>
        </w:rPr>
        <w:t>For the three months ended March 31, 2023 and 2022</w:t>
      </w:r>
    </w:p>
    <w:p>
      <w:pPr>
        <w:pStyle w:val="TextBody"/>
        <w:spacing w:before="0" w:after="0"/>
        <w:jc w:val="center"/>
        <w:rPr>
          <w:rFonts w:ascii="Times New Roman" w:hAnsi="Times New Roman"/>
          <w:sz w:val="20"/>
        </w:rPr>
      </w:pPr>
      <w:r>
        <w:rPr>
          <w:rFonts w:ascii="Times New Roman;serif" w:hAnsi="Times New Roman;serif"/>
          <w:b/>
          <w:sz w:val="20"/>
        </w:rPr>
        <w:t>(In thousands, except for share amounts)</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pPr>
      <w:r>
        <w:rPr/>
        <w:t> </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2649"/>
        <w:gridCol w:w="146"/>
        <w:gridCol w:w="916"/>
        <w:gridCol w:w="146"/>
        <w:gridCol w:w="146"/>
        <w:gridCol w:w="196"/>
        <w:gridCol w:w="346"/>
        <w:gridCol w:w="146"/>
        <w:gridCol w:w="146"/>
        <w:gridCol w:w="196"/>
        <w:gridCol w:w="691"/>
        <w:gridCol w:w="146"/>
        <w:gridCol w:w="146"/>
        <w:gridCol w:w="217"/>
        <w:gridCol w:w="834"/>
        <w:gridCol w:w="166"/>
        <w:gridCol w:w="146"/>
        <w:gridCol w:w="310"/>
        <w:gridCol w:w="906"/>
        <w:gridCol w:w="166"/>
        <w:gridCol w:w="146"/>
        <w:gridCol w:w="239"/>
        <w:gridCol w:w="847"/>
        <w:gridCol w:w="212"/>
      </w:tblGrid>
      <w:tr>
        <w:trPr/>
        <w:tc>
          <w:tcPr>
            <w:tcW w:w="264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2649" w:type="dxa"/>
            <w:tcBorders/>
            <w:shd w:fill="auto" w:val="clear"/>
            <w:vAlign w:val="center"/>
          </w:tcPr>
          <w:p>
            <w:pPr>
              <w:pStyle w:val="TableContents"/>
              <w:spacing w:before="0" w:after="0"/>
              <w:ind w:left="0" w:right="0" w:hanging="0"/>
              <w:jc w:val="left"/>
              <w:rPr/>
            </w:pPr>
            <w:r>
              <w:rPr/>
              <w:t> </w:t>
            </w:r>
          </w:p>
        </w:tc>
        <w:tc>
          <w:tcPr>
            <w:tcW w:w="18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br/>
              <w:t>Paid 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b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r>
          </w:p>
        </w:tc>
        <w:tc>
          <w:tcPr>
            <w:tcW w:w="212" w:type="dxa"/>
            <w:tcBorders/>
            <w:shd w:fill="auto" w:val="clear"/>
            <w:vAlign w:val="center"/>
          </w:tcPr>
          <w:p>
            <w:pPr>
              <w:pStyle w:val="TableContents"/>
              <w:spacing w:before="0" w:after="0"/>
              <w:ind w:left="0" w:right="0" w:hanging="0"/>
              <w:jc w:val="center"/>
              <w:rPr/>
            </w:pPr>
            <w:r>
              <w:rPr/>
              <w:t> </w:t>
            </w:r>
          </w:p>
        </w:tc>
      </w:tr>
      <w:tr>
        <w:trPr/>
        <w:tc>
          <w:tcPr>
            <w:tcW w:w="2649" w:type="dxa"/>
            <w:tcBorders/>
            <w:shd w:fill="auto" w:val="clear"/>
            <w:vAlign w:val="center"/>
          </w:tcPr>
          <w:p>
            <w:pPr>
              <w:pStyle w:val="TableContents"/>
              <w:spacing w:before="0" w:after="0"/>
              <w:ind w:left="0" w:right="0" w:hanging="0"/>
              <w:jc w:val="left"/>
              <w:rPr/>
            </w:pPr>
            <w:r>
              <w:rPr/>
              <w:t> </w:t>
            </w:r>
          </w:p>
        </w:tc>
        <w:tc>
          <w:tcPr>
            <w:tcW w:w="10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Gain/(Loss)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December 31, 2021</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51,536,181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689,275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(228,982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(660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459,638</w:t>
            </w:r>
          </w:p>
        </w:tc>
        <w:tc>
          <w:tcPr>
            <w:tcW w:w="212" w:type="dxa"/>
            <w:tcBorders/>
            <w:shd w:fill="auto" w:val="clear"/>
            <w:vAlign w:val="center"/>
          </w:tcPr>
          <w:p>
            <w:pPr>
              <w:pStyle w:val="TableContents"/>
              <w:spacing w:before="0" w:after="0"/>
              <w:ind w:left="0" w:right="0" w:hanging="0"/>
              <w:jc w:val="left"/>
              <w:rPr/>
            </w:pPr>
            <w:r>
              <w:rPr/>
              <w:t> </w:t>
            </w:r>
          </w:p>
        </w:tc>
      </w:tr>
      <w:tr>
        <w:trPr/>
        <w:tc>
          <w:tcPr>
            <w:tcW w:w="26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142,270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90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449</w:t>
            </w:r>
          </w:p>
        </w:tc>
        <w:tc>
          <w:tcPr>
            <w:tcW w:w="212" w:type="dxa"/>
            <w:tcBorders/>
            <w:shd w:fill="auto" w:val="clear"/>
            <w:vAlign w:val="center"/>
          </w:tcPr>
          <w:p>
            <w:pPr>
              <w:pStyle w:val="TableContents"/>
              <w:spacing w:before="0" w:after="0"/>
              <w:ind w:left="0" w:right="0" w:hanging="0"/>
              <w:jc w:val="left"/>
              <w:rPr/>
            </w:pPr>
            <w:r>
              <w:rPr/>
              <w:t> </w:t>
            </w:r>
          </w:p>
        </w:tc>
      </w:tr>
      <w:tr>
        <w:trPr/>
        <w:tc>
          <w:tcPr>
            <w:tcW w:w="26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Vesting restricted stock</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14,215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90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right"/>
              <w:rPr/>
            </w:pPr>
            <w:r>
              <w:rPr/>
              <w:t>—</w:t>
            </w:r>
          </w:p>
        </w:tc>
        <w:tc>
          <w:tcPr>
            <w:tcW w:w="212" w:type="dxa"/>
            <w:tcBorders/>
            <w:shd w:fill="auto" w:val="clear"/>
            <w:vAlign w:val="center"/>
          </w:tcPr>
          <w:p>
            <w:pPr>
              <w:pStyle w:val="TableContents"/>
              <w:spacing w:before="0" w:after="0"/>
              <w:ind w:left="0" w:right="0" w:hanging="0"/>
              <w:jc w:val="left"/>
              <w:rPr/>
            </w:pPr>
            <w:r>
              <w:rPr/>
              <w:t> </w:t>
            </w:r>
          </w:p>
        </w:tc>
      </w:tr>
      <w:tr>
        <w:trPr/>
        <w:tc>
          <w:tcPr>
            <w:tcW w:w="26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7,873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90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7,873</w:t>
            </w:r>
          </w:p>
        </w:tc>
        <w:tc>
          <w:tcPr>
            <w:tcW w:w="212" w:type="dxa"/>
            <w:tcBorders/>
            <w:shd w:fill="auto" w:val="clear"/>
            <w:vAlign w:val="center"/>
          </w:tcPr>
          <w:p>
            <w:pPr>
              <w:pStyle w:val="TableContents"/>
              <w:spacing w:before="0" w:after="0"/>
              <w:ind w:left="0" w:right="0" w:hanging="0"/>
              <w:jc w:val="left"/>
              <w:rPr/>
            </w:pPr>
            <w:r>
              <w:rPr/>
              <w:t> </w:t>
            </w:r>
          </w:p>
        </w:tc>
      </w:tr>
      <w:tr>
        <w:trPr/>
        <w:tc>
          <w:tcPr>
            <w:tcW w:w="26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Unrealized loss on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9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(2,556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(2,556</w:t>
            </w:r>
          </w:p>
        </w:tc>
        <w:tc>
          <w:tcPr>
            <w:tcW w:w="21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6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(36,684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(36,684</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6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March 31, 2022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51,692,666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697,597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(265,666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center"/>
              <w:rPr/>
            </w:pPr>
            <w:r>
              <w:rPr/>
              <w:t> </w:t>
            </w:r>
          </w:p>
        </w:tc>
        <w:tc>
          <w:tcPr>
            <w:tcW w:w="3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(3,216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center"/>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428,720</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49"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86" w:type="dxa"/>
            <w:gridSpan w:val="2"/>
            <w:tcBorders/>
            <w:shd w:fill="auto" w:val="clear"/>
            <w:vAlign w:val="center"/>
          </w:tcPr>
          <w:p>
            <w:pPr>
              <w:pStyle w:val="TableContents"/>
              <w:spacing w:before="0" w:after="0"/>
              <w:ind w:left="0" w:right="0" w:hanging="0"/>
              <w:jc w:val="center"/>
              <w:rPr/>
            </w:pPr>
            <w:r>
              <w:rPr/>
              <w:t> </w:t>
            </w:r>
          </w:p>
        </w:tc>
        <w:tc>
          <w:tcPr>
            <w:tcW w:w="212" w:type="dxa"/>
            <w:tcBorders/>
            <w:shd w:fill="auto" w:val="clear"/>
            <w:vAlign w:val="center"/>
          </w:tcPr>
          <w:p>
            <w:pPr>
              <w:pStyle w:val="TableContents"/>
              <w:spacing w:before="0" w:after="0"/>
              <w:ind w:left="0" w:right="0" w:hanging="0"/>
              <w:jc w:val="center"/>
              <w:rPr/>
            </w:pPr>
            <w:r>
              <w:rPr/>
              <w:t> </w:t>
            </w:r>
          </w:p>
        </w:tc>
      </w:tr>
      <w:tr>
        <w:trPr/>
        <w:tc>
          <w:tcPr>
            <w:tcW w:w="26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55,039,380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878,884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(383,790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(4,949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490,151</w:t>
            </w:r>
          </w:p>
        </w:tc>
        <w:tc>
          <w:tcPr>
            <w:tcW w:w="212" w:type="dxa"/>
            <w:tcBorders/>
            <w:shd w:fill="auto" w:val="clear"/>
            <w:vAlign w:val="center"/>
          </w:tcPr>
          <w:p>
            <w:pPr>
              <w:pStyle w:val="TableContents"/>
              <w:spacing w:before="0" w:after="0"/>
              <w:ind w:left="0" w:right="0" w:hanging="0"/>
              <w:jc w:val="left"/>
              <w:rPr/>
            </w:pPr>
            <w:r>
              <w:rPr/>
              <w:t> </w:t>
            </w:r>
          </w:p>
        </w:tc>
      </w:tr>
      <w:tr>
        <w:trPr/>
        <w:tc>
          <w:tcPr>
            <w:tcW w:w="26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208,705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90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1,486</w:t>
            </w:r>
          </w:p>
        </w:tc>
        <w:tc>
          <w:tcPr>
            <w:tcW w:w="212" w:type="dxa"/>
            <w:tcBorders/>
            <w:shd w:fill="auto" w:val="clear"/>
            <w:vAlign w:val="center"/>
          </w:tcPr>
          <w:p>
            <w:pPr>
              <w:pStyle w:val="TableContents"/>
              <w:spacing w:before="0" w:after="0"/>
              <w:ind w:left="0" w:right="0" w:hanging="0"/>
              <w:jc w:val="left"/>
              <w:rPr/>
            </w:pPr>
            <w:r>
              <w:rPr/>
              <w:t> </w:t>
            </w:r>
          </w:p>
        </w:tc>
      </w:tr>
      <w:tr>
        <w:trPr/>
        <w:tc>
          <w:tcPr>
            <w:tcW w:w="26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Vesting restricted stock</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28,141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90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right"/>
              <w:rPr/>
            </w:pPr>
            <w:r>
              <w:rPr/>
              <w:t>—</w:t>
            </w:r>
          </w:p>
        </w:tc>
        <w:tc>
          <w:tcPr>
            <w:tcW w:w="212" w:type="dxa"/>
            <w:tcBorders/>
            <w:shd w:fill="auto" w:val="clear"/>
            <w:vAlign w:val="center"/>
          </w:tcPr>
          <w:p>
            <w:pPr>
              <w:pStyle w:val="TableContents"/>
              <w:spacing w:before="0" w:after="0"/>
              <w:ind w:left="0" w:right="0" w:hanging="0"/>
              <w:jc w:val="left"/>
              <w:rPr/>
            </w:pPr>
            <w:r>
              <w:rPr/>
              <w:t> </w:t>
            </w:r>
          </w:p>
        </w:tc>
      </w:tr>
      <w:tr>
        <w:trPr/>
        <w:tc>
          <w:tcPr>
            <w:tcW w:w="26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90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9,385</w:t>
            </w:r>
          </w:p>
        </w:tc>
        <w:tc>
          <w:tcPr>
            <w:tcW w:w="212" w:type="dxa"/>
            <w:tcBorders/>
            <w:shd w:fill="auto" w:val="clear"/>
            <w:vAlign w:val="center"/>
          </w:tcPr>
          <w:p>
            <w:pPr>
              <w:pStyle w:val="TableContents"/>
              <w:spacing w:before="0" w:after="0"/>
              <w:ind w:left="0" w:right="0" w:hanging="0"/>
              <w:jc w:val="left"/>
              <w:rPr/>
            </w:pPr>
            <w:r>
              <w:rPr/>
              <w:t> </w:t>
            </w:r>
          </w:p>
        </w:tc>
      </w:tr>
      <w:tr>
        <w:trPr/>
        <w:tc>
          <w:tcPr>
            <w:tcW w:w="26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Unrealized gain on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shd w:fill="auto" w:val="clear"/>
            <w:vAlign w:val="center"/>
          </w:tcPr>
          <w:p>
            <w:pPr>
              <w:pStyle w:val="TableContents"/>
              <w:spacing w:before="0" w:after="0"/>
              <w:ind w:left="0" w:right="0" w:hanging="0"/>
              <w:jc w:val="left"/>
              <w:rPr/>
            </w:pPr>
            <w:r>
              <w:rPr/>
              <w:t> </w:t>
            </w:r>
          </w:p>
        </w:tc>
        <w:tc>
          <w:tcPr>
            <w:tcW w:w="90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1,911</w:t>
            </w:r>
          </w:p>
        </w:tc>
        <w:tc>
          <w:tcPr>
            <w:tcW w:w="212" w:type="dxa"/>
            <w:tcBorders/>
            <w:shd w:fill="auto" w:val="clear"/>
            <w:vAlign w:val="center"/>
          </w:tcPr>
          <w:p>
            <w:pPr>
              <w:pStyle w:val="TableContents"/>
              <w:spacing w:before="0" w:after="0"/>
              <w:ind w:left="0" w:right="0" w:hanging="0"/>
              <w:jc w:val="left"/>
              <w:rPr/>
            </w:pPr>
            <w:r>
              <w:rPr/>
              <w:t> </w:t>
            </w:r>
          </w:p>
        </w:tc>
      </w:tr>
      <w:tr>
        <w:trPr/>
        <w:tc>
          <w:tcPr>
            <w:tcW w:w="26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(40,928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(40,928</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6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March 31, 2023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55,276,226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889,755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(424,718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3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(3,038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462,005</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KYMERA THERAPEUTICS,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8" w:name="condensed_consolidated_statements_cash_f"/>
      <w:bookmarkEnd w:id="8"/>
      <w:r>
        <w:rPr>
          <w:rFonts w:ascii="Times New Roman;serif" w:hAnsi="Times New Roman;serif"/>
          <w:b/>
          <w:sz w:val="20"/>
        </w:rPr>
        <w:t>CONDENSED CONSOLIDATED STATEMENTS OF CASH FLOWS</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For the three months ended March 31, 2023 and 2022</w:t>
      </w:r>
    </w:p>
    <w:p>
      <w:pPr>
        <w:pStyle w:val="TextBody"/>
        <w:spacing w:before="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spacing w:before="0" w:after="0"/>
        <w:jc w:val="center"/>
        <w:rPr/>
      </w:pPr>
      <w:r>
        <w:rPr/>
        <w:t> </w:t>
      </w:r>
    </w:p>
    <w:p>
      <w:pPr>
        <w:pStyle w:val="TextBody"/>
        <w:spacing w:before="0" w:after="0"/>
        <w:jc w:val="left"/>
        <w:rPr/>
      </w:pPr>
      <w:r>
        <w:rPr/>
        <w:t> </w:t>
      </w:r>
    </w:p>
    <w:tbl>
      <w:tblPr>
        <w:tblW w:w="9170" w:type="dxa"/>
        <w:jc w:val="left"/>
        <w:tblInd w:w="0" w:type="dxa"/>
        <w:tblCellMar>
          <w:top w:w="28" w:type="dxa"/>
          <w:left w:w="28" w:type="dxa"/>
          <w:bottom w:w="28" w:type="dxa"/>
          <w:right w:w="28" w:type="dxa"/>
        </w:tblCellMar>
      </w:tblPr>
      <w:tblGrid>
        <w:gridCol w:w="6211"/>
        <w:gridCol w:w="146"/>
        <w:gridCol w:w="196"/>
        <w:gridCol w:w="661"/>
        <w:gridCol w:w="166"/>
        <w:gridCol w:w="146"/>
        <w:gridCol w:w="196"/>
        <w:gridCol w:w="691"/>
        <w:gridCol w:w="166"/>
        <w:gridCol w:w="591"/>
      </w:tblGrid>
      <w:tr>
        <w:trPr/>
        <w:tc>
          <w:tcPr>
            <w:tcW w:w="6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62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62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Operating activities</w:t>
            </w:r>
          </w:p>
        </w:tc>
        <w:tc>
          <w:tcPr>
            <w:tcW w:w="146" w:type="dxa"/>
            <w:tcBorders/>
            <w:shd w:fill="auto" w:val="clear"/>
            <w:vAlign w:val="center"/>
          </w:tcPr>
          <w:p>
            <w:pPr>
              <w:pStyle w:val="TableContents"/>
              <w:spacing w:before="0" w:after="0"/>
              <w:ind w:left="0" w:right="0" w:hanging="0"/>
              <w:jc w:val="left"/>
              <w:rPr/>
            </w:pPr>
            <w:r>
              <w:rPr/>
              <w:t> </w:t>
            </w:r>
          </w:p>
        </w:tc>
        <w:tc>
          <w:tcPr>
            <w:tcW w:w="85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(40,928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(36,684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Adjustments to reconcile net loss to 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85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9,385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7,873</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687</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Premiums and discounts on available-for-sale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(1,326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1,175</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21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Changes in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85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6211"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(1,641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(586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6211"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Contract asset—due from related parties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(783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6211"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(1,437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6211"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Accrued expenses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(10,037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(2,278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6211"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(6,145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(8,359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6211"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Operating lease right-of-use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119</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6211"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1" w:type="dxa"/>
            <w:tcBorders/>
            <w:shd w:fill="auto" w:val="clear"/>
            <w:vAlign w:val="center"/>
          </w:tcPr>
          <w:p>
            <w:pPr>
              <w:pStyle w:val="TableContents"/>
              <w:spacing w:before="0" w:after="0"/>
              <w:ind w:left="0" w:right="0" w:firstLine="400"/>
              <w:jc w:val="left"/>
              <w:rPr/>
            </w:pPr>
            <w:r>
              <w:rPr/>
              <w:t> </w:t>
            </w:r>
          </w:p>
        </w:tc>
      </w:tr>
      <w:tr>
        <w:trPr/>
        <w:tc>
          <w:tcPr>
            <w:tcW w:w="6211"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Other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(43,968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(40,295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Investing activities</w:t>
            </w:r>
          </w:p>
        </w:tc>
        <w:tc>
          <w:tcPr>
            <w:tcW w:w="146" w:type="dxa"/>
            <w:tcBorders/>
            <w:shd w:fill="auto" w:val="clear"/>
            <w:vAlign w:val="center"/>
          </w:tcPr>
          <w:p>
            <w:pPr>
              <w:pStyle w:val="TableContents"/>
              <w:spacing w:before="0" w:after="0"/>
              <w:ind w:left="0" w:right="0" w:hanging="0"/>
              <w:jc w:val="left"/>
              <w:rPr/>
            </w:pPr>
            <w:r>
              <w:rPr/>
              <w:t> </w:t>
            </w:r>
          </w:p>
        </w:tc>
        <w:tc>
          <w:tcPr>
            <w:tcW w:w="85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Purchase of 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(4,009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Purchases of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(61,835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(80,118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Maturities of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90,428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106,463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cash provided by investing activities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24,584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25,863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Financing activities</w:t>
            </w:r>
          </w:p>
        </w:tc>
        <w:tc>
          <w:tcPr>
            <w:tcW w:w="146" w:type="dxa"/>
            <w:tcBorders/>
            <w:shd w:fill="auto" w:val="clear"/>
            <w:vAlign w:val="center"/>
          </w:tcPr>
          <w:p>
            <w:pPr>
              <w:pStyle w:val="TableContents"/>
              <w:spacing w:before="0" w:after="0"/>
              <w:ind w:left="0" w:right="0" w:hanging="0"/>
              <w:jc w:val="left"/>
              <w:rPr/>
            </w:pPr>
            <w:r>
              <w:rPr/>
              <w:t> </w:t>
            </w:r>
          </w:p>
        </w:tc>
        <w:tc>
          <w:tcPr>
            <w:tcW w:w="85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Proceeds from stock option exercises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449</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Payments on finance leases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1,159</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185</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(18,225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(14,247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Cash, cash equivalents and restricted cash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74,524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54,092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Cash, cash equivalents and restricted cash at end of period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56,299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39,845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Supplemental disclosure of cash flow activities</w:t>
            </w:r>
          </w:p>
        </w:tc>
        <w:tc>
          <w:tcPr>
            <w:tcW w:w="146" w:type="dxa"/>
            <w:tcBorders/>
            <w:shd w:fill="auto" w:val="clear"/>
            <w:vAlign w:val="center"/>
          </w:tcPr>
          <w:p>
            <w:pPr>
              <w:pStyle w:val="TableContents"/>
              <w:spacing w:before="0" w:after="0"/>
              <w:ind w:left="0" w:right="0" w:hanging="0"/>
              <w:jc w:val="left"/>
              <w:rPr/>
            </w:pPr>
            <w:r>
              <w:rPr/>
              <w:t> </w:t>
            </w:r>
          </w:p>
        </w:tc>
        <w:tc>
          <w:tcPr>
            <w:tcW w:w="85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Right-of-use assets obtained in exchange for new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48,833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Cash paid for interest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46</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Supplemental disclosure of noncash investing and financing activities</w:t>
            </w:r>
          </w:p>
        </w:tc>
        <w:tc>
          <w:tcPr>
            <w:tcW w:w="146" w:type="dxa"/>
            <w:tcBorders/>
            <w:shd w:fill="auto" w:val="clear"/>
            <w:vAlign w:val="center"/>
          </w:tcPr>
          <w:p>
            <w:pPr>
              <w:pStyle w:val="TableContents"/>
              <w:spacing w:before="0" w:after="0"/>
              <w:ind w:left="0" w:right="0" w:hanging="0"/>
              <w:jc w:val="left"/>
              <w:rPr/>
            </w:pPr>
            <w:r>
              <w:rPr/>
              <w:t> </w:t>
            </w:r>
          </w:p>
        </w:tc>
        <w:tc>
          <w:tcPr>
            <w:tcW w:w="85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Property and equipment purchases included in accounts payable and accrued expenses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126</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2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following table provides a reconciliation of the cash, cash equivalents, and restricted cash balances as of each of the periods shown above:</w:t>
      </w:r>
      <w:r>
        <w:rPr>
          <w:rFonts w:ascii="Times New Roman" w:hAnsi="Times New Roman"/>
          <w:sz w:val="20"/>
        </w:rPr>
        <w:t xml:space="preserve"> </w:t>
      </w:r>
    </w:p>
    <w:p>
      <w:pPr>
        <w:pStyle w:val="TextBody"/>
        <w:spacing w:before="0" w:after="0"/>
        <w:jc w:val="both"/>
        <w:rPr/>
      </w:pPr>
      <w:r>
        <w:rPr/>
        <w:t> </w:t>
      </w:r>
    </w:p>
    <w:tbl>
      <w:tblPr>
        <w:tblW w:w="5704" w:type="dxa"/>
        <w:jc w:val="left"/>
        <w:tblInd w:w="0" w:type="dxa"/>
        <w:tblCellMar>
          <w:top w:w="28" w:type="dxa"/>
          <w:left w:w="28" w:type="dxa"/>
          <w:bottom w:w="28" w:type="dxa"/>
          <w:right w:w="28" w:type="dxa"/>
        </w:tblCellMar>
      </w:tblPr>
      <w:tblGrid>
        <w:gridCol w:w="3481"/>
        <w:gridCol w:w="146"/>
        <w:gridCol w:w="196"/>
        <w:gridCol w:w="601"/>
        <w:gridCol w:w="146"/>
        <w:gridCol w:w="146"/>
        <w:gridCol w:w="196"/>
        <w:gridCol w:w="601"/>
        <w:gridCol w:w="191"/>
      </w:tblGrid>
      <w:tr>
        <w:trPr/>
        <w:tc>
          <w:tcPr>
            <w:tcW w:w="34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50,152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33,733</w:t>
            </w:r>
          </w:p>
        </w:tc>
        <w:tc>
          <w:tcPr>
            <w:tcW w:w="191" w:type="dxa"/>
            <w:tcBorders/>
            <w:shd w:fill="auto" w:val="clear"/>
            <w:vAlign w:val="center"/>
          </w:tcPr>
          <w:p>
            <w:pPr>
              <w:pStyle w:val="TableContents"/>
              <w:spacing w:before="0" w:after="0"/>
              <w:ind w:left="0" w:right="0" w:hanging="0"/>
              <w:jc w:val="lef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6,147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6,112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56,299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39,845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KYMERA THERAPEUTICS, INC.</w:t>
      </w:r>
      <w:r>
        <w:rPr>
          <w:rFonts w:ascii="Times New Roman" w:hAnsi="Times New Roman"/>
          <w:sz w:val="20"/>
        </w:rPr>
        <w:t xml:space="preserve"> </w:t>
      </w:r>
    </w:p>
    <w:p>
      <w:pPr>
        <w:pStyle w:val="TextBody"/>
        <w:spacing w:before="240" w:after="0"/>
        <w:jc w:val="center"/>
        <w:rPr>
          <w:rFonts w:ascii="Times New Roman" w:hAnsi="Times New Roman"/>
          <w:sz w:val="20"/>
        </w:rPr>
      </w:pPr>
      <w:bookmarkStart w:id="9" w:name="notes_to_condensed_consolidated_financia"/>
      <w:bookmarkEnd w:id="9"/>
      <w:r>
        <w:rPr>
          <w:rFonts w:ascii="Times New Roman;serif" w:hAnsi="Times New Roman;serif"/>
          <w:b/>
          <w:sz w:val="20"/>
        </w:rPr>
        <w:t>NOTES TO CONDENSED CONSOLIDATED FINANCIAL STATEMENTS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1. Organization and Nature of Business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Kymera Therapeutics, Inc., together with its subsidiary Kymera Securities Corporation, is referred to on a consolidated basis as the “Company”. The Company is a biopharmaceutical company focused on discovering and developing small molecule therapeutics that selectively degrade disease-causing proteins by harnessing the body’s own natural cellular process, a method known as targeted protein degradation. The Company has devoted its efforts principally to research and development since formation. The Company has not yet completed product development, filed for or obtained regulatory approvals for any products, nor verified the market acceptance and demand for such products. As a result, the Company is subject to a number of risks common to emerging companies in the biotech industry. Principal among these risks are the uncertainties of the product discovery and development process, dependence on key individuals, development of the same or similar technological innovations by the Company’s competitors, protection of proprietary technology, compliance with government regulations and approval requirements, the Company’s ability to access capital and uncertainty of market acceptance of products.</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The Company has historical net losses and anticipates that it will continue to incur losses for the foreseeable future and had an accumulated deficit of $424.7</w:t>
      </w:r>
      <w:r>
        <w:rPr>
          <w:rFonts w:ascii="Times New Roman" w:hAnsi="Times New Roman"/>
          <w:sz w:val="20"/>
        </w:rPr>
        <w:t xml:space="preserve"> </w:t>
      </w:r>
      <w:r>
        <w:rPr>
          <w:rFonts w:ascii="Times New Roman;serif" w:hAnsi="Times New Roman;serif"/>
          <w:b w:val="false"/>
          <w:sz w:val="20"/>
        </w:rPr>
        <w:t>million as of March 31, 2023. The Company has funded these losses principally through issuance of preferred stock, convertible notes, common stock, including its initial public offering and concurrent private placement completed in August 2020 (“IPO”), follow-on offering and concurrent private placement completed in July 2021 (“Follow-on Offering”), August 2022 Private Investment in Public Equity (“PIPE”) offering, and from cash proceeds received in connection with the Company’s collaboration agreements with Vertex Pharmaceuticals Incorporated (“Vertex”) and Genzyme Corporation (“Sanofi”) (see Note 5). The Company expects to continue to incur operating losses and negative cash flows until such time as it generates a level of revenue that is sufficient to support its cost structure.</w:t>
      </w:r>
    </w:p>
    <w:p>
      <w:pPr>
        <w:pStyle w:val="TextBody"/>
        <w:spacing w:before="240" w:after="0"/>
        <w:jc w:val="both"/>
        <w:rPr>
          <w:rFonts w:ascii="Times New Roman" w:hAnsi="Times New Roman"/>
          <w:sz w:val="20"/>
        </w:rPr>
      </w:pPr>
      <w:r>
        <w:rPr>
          <w:rFonts w:ascii="Times New Roman;serif" w:hAnsi="Times New Roman;serif"/>
          <w:b w:val="false"/>
          <w:sz w:val="20"/>
        </w:rPr>
        <w:t>As of March 31, 2023, the Company had cash, cash equivalents and marketable securities of $515.9</w:t>
      </w:r>
      <w:r>
        <w:rPr>
          <w:rFonts w:ascii="Times New Roman" w:hAnsi="Times New Roman"/>
          <w:sz w:val="20"/>
        </w:rPr>
        <w:t xml:space="preserve"> </w:t>
      </w:r>
      <w:r>
        <w:rPr>
          <w:rFonts w:ascii="Times New Roman;serif" w:hAnsi="Times New Roman;serif"/>
          <w:b w:val="false"/>
          <w:sz w:val="20"/>
        </w:rPr>
        <w:t>million. The Company believes these cash, cash equivalents and marketable securities will be sufficient to fund its operations and capital expenditure requirements through at least twelve months from the issuance of these condensed consolidated financial statements.</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The Company expects to finance the future research and development costs of its product portfolio with its existing cash, cash equivalents and marketable securities, or through strategic financing opportunities that could include, but are not limited to future offerings of its equity, collaboration agreements, or the incurrence of debt. However, there is no guarantee that any of these strategic or financing opportunities will be executed or realized on favorable terms, if at all, and some could be dilutive to existing stockholders. If the Company fails to obtain additional future capital, it may be unable to complete its planned preclinical studies and clinical trials.</w:t>
      </w:r>
      <w:r>
        <w:rPr>
          <w:rFonts w:ascii="Times New Roman" w:hAnsi="Times New Roman"/>
          <w:sz w:val="20"/>
        </w:rPr>
        <w:t xml:space="preserve"> </w:t>
      </w:r>
    </w:p>
    <w:p>
      <w:pPr>
        <w:pStyle w:val="TextBody"/>
        <w:spacing w:before="360" w:after="0"/>
        <w:jc w:val="both"/>
        <w:rPr>
          <w:rFonts w:ascii="Times New Roman;serif" w:hAnsi="Times New Roman;serif"/>
          <w:b/>
          <w:i/>
          <w:sz w:val="20"/>
        </w:rPr>
      </w:pPr>
      <w:r>
        <w:rPr>
          <w:rFonts w:ascii="Times New Roman;serif" w:hAnsi="Times New Roman;serif"/>
          <w:b/>
          <w:i/>
          <w:sz w:val="20"/>
        </w:rPr>
        <w:t>Initial Public Offering</w:t>
      </w:r>
    </w:p>
    <w:p>
      <w:pPr>
        <w:pStyle w:val="TextBody"/>
        <w:spacing w:before="120" w:after="0"/>
        <w:jc w:val="both"/>
        <w:rPr>
          <w:rFonts w:ascii="Times New Roman" w:hAnsi="Times New Roman"/>
          <w:sz w:val="20"/>
        </w:rPr>
      </w:pPr>
      <w:r>
        <w:rPr>
          <w:rFonts w:ascii="Times New Roman;serif" w:hAnsi="Times New Roman;serif"/>
          <w:b w:val="false"/>
          <w:sz w:val="20"/>
        </w:rPr>
        <w:t>On August 20, 2020, the Company’s registration statement on Form S-1 relating to its initial public offering of its common stock was declared effective by the Securities and Exchange Commission (“SEC”). In the IPO, which closed on August 25, 2020, the Company issued and sold 9,987,520</w:t>
      </w:r>
      <w:r>
        <w:rPr>
          <w:rFonts w:ascii="Times New Roman" w:hAnsi="Times New Roman"/>
          <w:sz w:val="20"/>
        </w:rPr>
        <w:t xml:space="preserve"> </w:t>
      </w:r>
      <w:r>
        <w:rPr>
          <w:rFonts w:ascii="Times New Roman;serif" w:hAnsi="Times New Roman;serif"/>
          <w:b w:val="false"/>
          <w:sz w:val="20"/>
        </w:rPr>
        <w:t>shares of common stock, including full exercise of the underwriters’ over-allotment option to purchase an additional 1,302,720</w:t>
      </w:r>
      <w:r>
        <w:rPr>
          <w:rFonts w:ascii="Times New Roman" w:hAnsi="Times New Roman"/>
          <w:sz w:val="20"/>
        </w:rPr>
        <w:t xml:space="preserve"> </w:t>
      </w:r>
      <w:r>
        <w:rPr>
          <w:rFonts w:ascii="Times New Roman;serif" w:hAnsi="Times New Roman;serif"/>
          <w:b w:val="false"/>
          <w:sz w:val="20"/>
        </w:rPr>
        <w:t>shares, at a public offering price of $20.00</w:t>
      </w:r>
      <w:r>
        <w:rPr>
          <w:rFonts w:ascii="Times New Roman" w:hAnsi="Times New Roman"/>
          <w:sz w:val="20"/>
        </w:rPr>
        <w:t xml:space="preserve"> </w:t>
      </w:r>
      <w:r>
        <w:rPr>
          <w:rFonts w:ascii="Times New Roman;serif" w:hAnsi="Times New Roman;serif"/>
          <w:b w:val="false"/>
          <w:sz w:val="20"/>
        </w:rPr>
        <w:t>per share and the aggregate gross proceeds before deducting underwriting discounts and commissions, and other estimated offering expenses payable by the Company, were approximately $199.8</w:t>
      </w:r>
      <w:r>
        <w:rPr>
          <w:rFonts w:ascii="Times New Roman" w:hAnsi="Times New Roman"/>
          <w:sz w:val="20"/>
        </w:rPr>
        <w:t xml:space="preserve"> </w:t>
      </w:r>
      <w:r>
        <w:rPr>
          <w:rFonts w:ascii="Times New Roman;serif" w:hAnsi="Times New Roman;serif"/>
          <w:b w:val="false"/>
          <w:sz w:val="20"/>
        </w:rPr>
        <w:t>million. Concurrent with the IPO, the Company issued and sold 676,354</w:t>
      </w:r>
      <w:r>
        <w:rPr>
          <w:rFonts w:ascii="Times New Roman" w:hAnsi="Times New Roman"/>
          <w:sz w:val="20"/>
        </w:rPr>
        <w:t xml:space="preserve"> </w:t>
      </w:r>
      <w:r>
        <w:rPr>
          <w:rFonts w:ascii="Times New Roman;serif" w:hAnsi="Times New Roman;serif"/>
          <w:b w:val="false"/>
          <w:sz w:val="20"/>
        </w:rPr>
        <w:t>shares of common stock at $20.00</w:t>
      </w:r>
      <w:r>
        <w:rPr>
          <w:rFonts w:ascii="Times New Roman" w:hAnsi="Times New Roman"/>
          <w:sz w:val="20"/>
        </w:rPr>
        <w:t xml:space="preserve"> </w:t>
      </w:r>
      <w:r>
        <w:rPr>
          <w:rFonts w:ascii="Times New Roman;serif" w:hAnsi="Times New Roman;serif"/>
          <w:b w:val="false"/>
          <w:sz w:val="20"/>
        </w:rPr>
        <w:t>per share in a private placement to Vertex and the aggregate proceeds were $13.5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spacing w:before="360" w:after="0"/>
        <w:jc w:val="both"/>
        <w:rPr>
          <w:rFonts w:ascii="Times New Roman;serif" w:hAnsi="Times New Roman;serif"/>
          <w:b/>
          <w:i/>
          <w:sz w:val="20"/>
        </w:rPr>
      </w:pPr>
      <w:r>
        <w:rPr>
          <w:rFonts w:ascii="Times New Roman;serif" w:hAnsi="Times New Roman;serif"/>
          <w:b/>
          <w:i/>
          <w:sz w:val="20"/>
        </w:rPr>
        <w:t>Follow-on Public Offering</w:t>
      </w:r>
    </w:p>
    <w:p>
      <w:pPr>
        <w:pStyle w:val="TextBody"/>
        <w:spacing w:before="240" w:after="0"/>
        <w:jc w:val="both"/>
        <w:rPr>
          <w:rFonts w:ascii="Times New Roman" w:hAnsi="Times New Roman"/>
          <w:sz w:val="20"/>
        </w:rPr>
      </w:pPr>
      <w:r>
        <w:rPr>
          <w:rFonts w:ascii="Times New Roman;serif" w:hAnsi="Times New Roman;serif"/>
          <w:b w:val="false"/>
          <w:sz w:val="20"/>
        </w:rPr>
        <w:t>On July 6, 2021, the Company completed a follow-on offering of its common stock and issued and sold 5,468,250</w:t>
      </w:r>
      <w:r>
        <w:rPr>
          <w:rFonts w:ascii="Times New Roman" w:hAnsi="Times New Roman"/>
          <w:sz w:val="20"/>
        </w:rPr>
        <w:t xml:space="preserve"> </w:t>
      </w:r>
      <w:r>
        <w:rPr>
          <w:rFonts w:ascii="Times New Roman;serif" w:hAnsi="Times New Roman;serif"/>
          <w:b w:val="false"/>
          <w:sz w:val="20"/>
        </w:rPr>
        <w:t>shares of common stock, including full exercise of the underwriters’ over-allotment option to purchase an additional 713,250</w:t>
      </w:r>
      <w:r>
        <w:rPr>
          <w:rFonts w:ascii="Times New Roman" w:hAnsi="Times New Roman"/>
          <w:sz w:val="20"/>
        </w:rPr>
        <w:t xml:space="preserve"> </w:t>
      </w:r>
      <w:r>
        <w:rPr>
          <w:rFonts w:ascii="Times New Roman;serif" w:hAnsi="Times New Roman;serif"/>
          <w:b w:val="false"/>
          <w:sz w:val="20"/>
        </w:rPr>
        <w:t>shares, at a public offering price of $47.00</w:t>
      </w:r>
      <w:r>
        <w:rPr>
          <w:rFonts w:ascii="Times New Roman" w:hAnsi="Times New Roman"/>
          <w:sz w:val="20"/>
        </w:rPr>
        <w:t xml:space="preserve"> </w:t>
      </w:r>
      <w:r>
        <w:rPr>
          <w:rFonts w:ascii="Times New Roman;serif" w:hAnsi="Times New Roman;serif"/>
          <w:b w:val="false"/>
          <w:sz w:val="20"/>
        </w:rPr>
        <w:t>per share. The aggregate gross proceeds before deducting underwriting discounts and commissions, and other estimated offering expenses payable by the Company were approximately $257.0</w:t>
      </w:r>
      <w:r>
        <w:rPr>
          <w:rFonts w:ascii="Times New Roman" w:hAnsi="Times New Roman"/>
          <w:sz w:val="20"/>
        </w:rPr>
        <w:t xml:space="preserve"> </w:t>
      </w:r>
      <w:r>
        <w:rPr>
          <w:rFonts w:ascii="Times New Roman;serif" w:hAnsi="Times New Roman;serif"/>
          <w:b w:val="false"/>
          <w:sz w:val="20"/>
        </w:rPr>
        <w:t>million. Concurrent with the follow-on offering, the Company issued and sold 49,928</w:t>
      </w:r>
      <w:r>
        <w:rPr>
          <w:rFonts w:ascii="Times New Roman" w:hAnsi="Times New Roman"/>
          <w:sz w:val="20"/>
        </w:rPr>
        <w:t xml:space="preserve"> </w:t>
      </w:r>
      <w:r>
        <w:rPr>
          <w:rFonts w:ascii="Times New Roman;serif" w:hAnsi="Times New Roman;serif"/>
          <w:b w:val="false"/>
          <w:sz w:val="20"/>
        </w:rPr>
        <w:t>shares of common stock at $47.00</w:t>
      </w:r>
      <w:r>
        <w:rPr>
          <w:rFonts w:ascii="Times New Roman" w:hAnsi="Times New Roman"/>
          <w:sz w:val="20"/>
        </w:rPr>
        <w:t xml:space="preserve"> </w:t>
      </w:r>
      <w:r>
        <w:rPr>
          <w:rFonts w:ascii="Times New Roman;serif" w:hAnsi="Times New Roman;serif"/>
          <w:b w:val="false"/>
          <w:sz w:val="20"/>
        </w:rPr>
        <w:t>per share in a private placement to Vertex and the aggregate proceeds were $2.3</w:t>
      </w:r>
      <w:r>
        <w:rPr>
          <w:rFonts w:ascii="Times New Roman" w:hAnsi="Times New Roman"/>
          <w:sz w:val="20"/>
        </w:rPr>
        <w:t xml:space="preserve"> </w:t>
      </w:r>
      <w:r>
        <w:rPr>
          <w:rFonts w:ascii="Times New Roman;serif" w:hAnsi="Times New Roman;serif"/>
          <w:b w:val="false"/>
          <w:sz w:val="20"/>
        </w:rPr>
        <w:t>million.</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360" w:after="0"/>
        <w:jc w:val="both"/>
        <w:rPr>
          <w:rFonts w:ascii="Times New Roman;serif" w:hAnsi="Times New Roman;serif"/>
          <w:b/>
          <w:i/>
          <w:sz w:val="20"/>
        </w:rPr>
      </w:pPr>
      <w:r>
        <w:rPr>
          <w:rFonts w:ascii="Times New Roman;serif" w:hAnsi="Times New Roman;serif"/>
          <w:b/>
          <w:i/>
          <w:sz w:val="20"/>
        </w:rPr>
        <w:t>Private Investment in Public Equity “PIPE” offering</w:t>
      </w:r>
    </w:p>
    <w:p>
      <w:pPr>
        <w:pStyle w:val="TextBody"/>
        <w:spacing w:before="120" w:after="0"/>
        <w:jc w:val="both"/>
        <w:rPr>
          <w:rFonts w:ascii="Times New Roman" w:hAnsi="Times New Roman"/>
          <w:sz w:val="20"/>
        </w:rPr>
      </w:pPr>
      <w:r>
        <w:rPr>
          <w:rFonts w:ascii="Times New Roman;serif" w:hAnsi="Times New Roman;serif"/>
          <w:b w:val="false"/>
          <w:sz w:val="20"/>
        </w:rPr>
        <w:t>On August 18, 2022, the Company and certain accredited investors entered into a securities purchase agreement pursuant to which the Company agreed to sell and issue to such investors in a private placement (i) an aggregate of 2,769,228</w:t>
      </w:r>
      <w:r>
        <w:rPr>
          <w:rFonts w:ascii="Times New Roman" w:hAnsi="Times New Roman"/>
          <w:sz w:val="20"/>
        </w:rPr>
        <w:t xml:space="preserve"> </w:t>
      </w:r>
      <w:r>
        <w:rPr>
          <w:rFonts w:ascii="Times New Roman;serif" w:hAnsi="Times New Roman;serif"/>
          <w:b w:val="false"/>
          <w:sz w:val="20"/>
        </w:rPr>
        <w:t>shares of the Company’s common stock at a purchase price of $26.00</w:t>
      </w:r>
      <w:r>
        <w:rPr>
          <w:rFonts w:ascii="Times New Roman" w:hAnsi="Times New Roman"/>
          <w:sz w:val="20"/>
        </w:rPr>
        <w:t xml:space="preserve"> </w:t>
      </w:r>
      <w:r>
        <w:rPr>
          <w:rFonts w:ascii="Times New Roman;serif" w:hAnsi="Times New Roman;serif"/>
          <w:b w:val="false"/>
          <w:sz w:val="20"/>
        </w:rPr>
        <w:t>per share, and (ii) 3,000,000</w:t>
      </w:r>
      <w:r>
        <w:rPr>
          <w:rFonts w:ascii="Times New Roman" w:hAnsi="Times New Roman"/>
          <w:sz w:val="20"/>
        </w:rPr>
        <w:t xml:space="preserve"> </w:t>
      </w:r>
      <w:r>
        <w:rPr>
          <w:rFonts w:ascii="Times New Roman;serif" w:hAnsi="Times New Roman;serif"/>
          <w:b w:val="false"/>
          <w:sz w:val="20"/>
        </w:rPr>
        <w:t>pre-funded warrants to purchase common stock, at a purchase price of $25.9999</w:t>
      </w:r>
      <w:r>
        <w:rPr>
          <w:rFonts w:ascii="Times New Roman" w:hAnsi="Times New Roman"/>
          <w:sz w:val="20"/>
        </w:rPr>
        <w:t xml:space="preserve"> </w:t>
      </w:r>
      <w:r>
        <w:rPr>
          <w:rFonts w:ascii="Times New Roman;serif" w:hAnsi="Times New Roman;serif"/>
          <w:b w:val="false"/>
          <w:sz w:val="20"/>
        </w:rPr>
        <w:t>per Pre-Funded Warrant. The Pre-Funded Warrants will have an exercise price of $0.0001</w:t>
      </w:r>
      <w:r>
        <w:rPr>
          <w:rFonts w:ascii="Times New Roman" w:hAnsi="Times New Roman"/>
          <w:sz w:val="20"/>
        </w:rPr>
        <w:t xml:space="preserve"> </w:t>
      </w:r>
      <w:r>
        <w:rPr>
          <w:rFonts w:ascii="Times New Roman;serif" w:hAnsi="Times New Roman;serif"/>
          <w:b w:val="false"/>
          <w:sz w:val="20"/>
        </w:rPr>
        <w:t>per share of common stock. The offering closed on August 22, 2022, resulting in net proceeds of $149.8</w:t>
      </w:r>
      <w:r>
        <w:rPr>
          <w:rFonts w:ascii="Times New Roman" w:hAnsi="Times New Roman"/>
          <w:sz w:val="20"/>
        </w:rPr>
        <w:t xml:space="preserve"> </w:t>
      </w:r>
      <w:r>
        <w:rPr>
          <w:rFonts w:ascii="Times New Roman;serif" w:hAnsi="Times New Roman;serif"/>
          <w:b w:val="false"/>
          <w:sz w:val="20"/>
        </w:rPr>
        <w:t>million after offering expenses.</w:t>
      </w:r>
    </w:p>
    <w:p>
      <w:pPr>
        <w:pStyle w:val="TextBody"/>
        <w:spacing w:before="120" w:after="0"/>
        <w:jc w:val="both"/>
        <w:rPr>
          <w:rFonts w:ascii="Times New Roman" w:hAnsi="Times New Roman"/>
          <w:sz w:val="20"/>
        </w:rPr>
      </w:pPr>
      <w:r>
        <w:rPr>
          <w:rFonts w:ascii="Times New Roman;serif" w:hAnsi="Times New Roman;serif"/>
          <w:b w:val="false"/>
          <w:sz w:val="20"/>
        </w:rPr>
        <w:t>As the pre-funded warrants are indexed to the Company’s common stock (and otherwise meet the requirements to be classified in equity), the Company recorded the consideration received from the issuance of the pre-funded warrants as additional paid-in capital on the Company’s consolidated balance sheets. The pre-funded warrants are exercisable at any time. The holders of Pre-Funded Warrants may not exercise the warrant if the holder, together with its affiliates, would beneficially own more than 4.99% of the number of shares of the Common Stock outstanding immediately after giving effect to such exercise. The holders of Pre-Funded Warrants may increase or decrease such percentages not in excess of 19.99% by providing at least 61</w:t>
      </w:r>
      <w:r>
        <w:rPr>
          <w:rFonts w:ascii="Times New Roman" w:hAnsi="Times New Roman"/>
          <w:sz w:val="20"/>
        </w:rPr>
        <w:t xml:space="preserve"> </w:t>
      </w:r>
      <w:r>
        <w:rPr>
          <w:rFonts w:ascii="Times New Roman;serif" w:hAnsi="Times New Roman;serif"/>
          <w:b w:val="false"/>
          <w:sz w:val="20"/>
        </w:rPr>
        <w:t>days’ prior notice to the Company.</w:t>
      </w:r>
    </w:p>
    <w:p>
      <w:pPr>
        <w:pStyle w:val="TextBody"/>
        <w:spacing w:before="120" w:after="0"/>
        <w:jc w:val="both"/>
        <w:rPr>
          <w:rFonts w:ascii="Times New Roman" w:hAnsi="Times New Roman"/>
          <w:sz w:val="20"/>
        </w:rPr>
      </w:pPr>
      <w:r>
        <w:rPr>
          <w:rFonts w:ascii="Times New Roman;serif" w:hAnsi="Times New Roman;serif"/>
          <w:b w:val="false"/>
          <w:sz w:val="20"/>
        </w:rPr>
        <w:t>During the three months ended March 31, 2023, no</w:t>
      </w:r>
      <w:r>
        <w:rPr>
          <w:rFonts w:ascii="Times New Roman" w:hAnsi="Times New Roman"/>
          <w:sz w:val="20"/>
        </w:rPr>
        <w:t xml:space="preserve"> </w:t>
      </w:r>
      <w:r>
        <w:rPr>
          <w:rFonts w:ascii="Times New Roman;serif" w:hAnsi="Times New Roman;serif"/>
          <w:b w:val="false"/>
          <w:sz w:val="20"/>
        </w:rPr>
        <w:t>pre-funded warrants were exercised. As of March 31, 2023, there were 3,000,000</w:t>
      </w:r>
      <w:r>
        <w:rPr>
          <w:rFonts w:ascii="Times New Roman" w:hAnsi="Times New Roman"/>
          <w:sz w:val="20"/>
        </w:rPr>
        <w:t xml:space="preserve"> </w:t>
      </w:r>
      <w:r>
        <w:rPr>
          <w:rFonts w:ascii="Times New Roman;serif" w:hAnsi="Times New Roman;serif"/>
          <w:b w:val="false"/>
          <w:sz w:val="20"/>
        </w:rPr>
        <w:t>pre-funded warrants outstanding.</w:t>
      </w:r>
    </w:p>
    <w:p>
      <w:pPr>
        <w:pStyle w:val="TextBody"/>
        <w:spacing w:before="240" w:after="0"/>
        <w:jc w:val="both"/>
        <w:rPr>
          <w:rFonts w:ascii="Times New Roman" w:hAnsi="Times New Roman"/>
          <w:sz w:val="20"/>
        </w:rPr>
      </w:pPr>
      <w:r>
        <w:rPr>
          <w:rFonts w:ascii="Times New Roman;serif" w:hAnsi="Times New Roman;serif"/>
          <w:b/>
          <w:sz w:val="20"/>
        </w:rPr>
        <w:t>2. Summary of Significant Accounting Policies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accompanying condensed consolidated financial statements reflect the application of certain significant accounting policies as described in this note, and elsewhere in the accompanying condensed consolidated financial statements and notes.</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i/>
          <w:sz w:val="20"/>
        </w:rPr>
        <w:t>Principles of Consolidation</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accompanying condensed consolidated financial statements include the accounts of the Company and its wholly owned subsidiary Kymera Securities Corporation. All intercompany transactions and balances have been eliminated in consolidation.</w:t>
      </w:r>
    </w:p>
    <w:p>
      <w:pPr>
        <w:pStyle w:val="TextBody"/>
        <w:spacing w:before="120" w:after="0"/>
        <w:jc w:val="both"/>
        <w:rPr>
          <w:rFonts w:ascii="Times New Roman;serif" w:hAnsi="Times New Roman;serif"/>
          <w:b/>
          <w:i/>
          <w:sz w:val="20"/>
        </w:rPr>
      </w:pPr>
      <w:r>
        <w:rPr>
          <w:rFonts w:ascii="Times New Roman;serif" w:hAnsi="Times New Roman;serif"/>
          <w:b/>
          <w:i/>
          <w:sz w:val="20"/>
        </w:rPr>
        <w:t>Basis of Presentation</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 Certain information and footnote disclosures normally included in financial statements prepared in accordance with GAAP have been condensed or omitted from this report, as is permitted by such rules and regulations. Accordingly, these condensed consolidated financial statements should be read in conjunction with the Company’s audited consolidated financial statements and the notes thereto for the year ended December 31, 2022 included in the Company’s Annual Report on Form 10-K, filed with the SEC on February 23, 2023.</w:t>
      </w:r>
    </w:p>
    <w:p>
      <w:pPr>
        <w:pStyle w:val="TextBody"/>
        <w:spacing w:before="0" w:after="0"/>
        <w:jc w:val="left"/>
        <w:rPr/>
      </w:pPr>
      <w:r>
        <w:rPr/>
        <w:t>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unaudited interim condensed consolidated financial statements have been prepared on the same basis as the audited consolidated financial statements as of and for the year ended December 31, 2022, and, in the opinion of management, reflect all adjustments necessary, all of which were normal and recurring, for the fair statement of the Company’s financial position as of March 31, 2023, and the results of operations and cash flows for the three months ended March 31, 2023 and 2022. The results for the three months ended March 31, 2023 are not necessarily indicative of the results for the year ended December 31, 2023 or for any future period.</w:t>
      </w:r>
    </w:p>
    <w:p>
      <w:pPr>
        <w:pStyle w:val="TextBody"/>
        <w:spacing w:before="120" w:after="0"/>
        <w:jc w:val="both"/>
        <w:rPr>
          <w:rFonts w:ascii="Times New Roman" w:hAnsi="Times New Roman"/>
          <w:sz w:val="20"/>
        </w:rPr>
      </w:pPr>
      <w:r>
        <w:rPr>
          <w:rFonts w:ascii="Times New Roman;serif" w:hAnsi="Times New Roman;serif"/>
          <w:b/>
          <w:i/>
          <w:sz w:val="20"/>
        </w:rPr>
        <w:t>Significant Accounting Policies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significant accounting policies used in preparation of these condensed consolidated financial statements for the three months ended March 31, 2023 are consistent with those discussed in Note 2 to the consolidated financial statements in the 2022 Annual Report on Form 10-K.</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360" w:after="0"/>
        <w:jc w:val="both"/>
        <w:rPr>
          <w:rFonts w:ascii="Times New Roman" w:hAnsi="Times New Roman"/>
          <w:sz w:val="20"/>
        </w:rPr>
      </w:pPr>
      <w:r>
        <w:rPr>
          <w:rFonts w:ascii="Times New Roman;serif" w:hAnsi="Times New Roman;serif"/>
          <w:b/>
          <w:sz w:val="20"/>
        </w:rPr>
        <w:t>3. Fair Value Measurements</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following tables present information about the Company’s financial assets measured at fair value on a recurring basis and indicates the level of the fair value hierarchy utilized to determine such fair values as of March 31, 2023 and December 31, 2022 (in thousands):</w:t>
      </w:r>
    </w:p>
    <w:p>
      <w:pPr>
        <w:pStyle w:val="TextBody"/>
        <w:spacing w:before="0" w:after="0"/>
        <w:jc w:val="both"/>
        <w:rPr/>
      </w:pPr>
      <w:r>
        <w:rPr/>
        <w:t> </w:t>
      </w:r>
    </w:p>
    <w:tbl>
      <w:tblPr>
        <w:tblW w:w="8115" w:type="dxa"/>
        <w:jc w:val="left"/>
        <w:tblInd w:w="0" w:type="dxa"/>
        <w:tblCellMar>
          <w:top w:w="28" w:type="dxa"/>
          <w:left w:w="28" w:type="dxa"/>
          <w:bottom w:w="28" w:type="dxa"/>
          <w:right w:w="28" w:type="dxa"/>
        </w:tblCellMar>
      </w:tblPr>
      <w:tblGrid>
        <w:gridCol w:w="2896"/>
        <w:gridCol w:w="146"/>
        <w:gridCol w:w="211"/>
        <w:gridCol w:w="781"/>
        <w:gridCol w:w="146"/>
        <w:gridCol w:w="146"/>
        <w:gridCol w:w="211"/>
        <w:gridCol w:w="781"/>
        <w:gridCol w:w="146"/>
        <w:gridCol w:w="146"/>
        <w:gridCol w:w="239"/>
        <w:gridCol w:w="391"/>
        <w:gridCol w:w="146"/>
        <w:gridCol w:w="146"/>
        <w:gridCol w:w="211"/>
        <w:gridCol w:w="781"/>
        <w:gridCol w:w="591"/>
      </w:tblGrid>
      <w:tr>
        <w:trPr/>
        <w:tc>
          <w:tcPr>
            <w:tcW w:w="28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28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82"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 Measurements at</w:t>
              <w:br/>
              <w:t>March 31, 2023: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47,829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47,829</w:t>
            </w:r>
          </w:p>
        </w:tc>
        <w:tc>
          <w:tcPr>
            <w:tcW w:w="591" w:type="dxa"/>
            <w:tcBorders/>
            <w:shd w:fill="auto" w:val="clear"/>
            <w:vAlign w:val="center"/>
          </w:tcPr>
          <w:p>
            <w:pPr>
              <w:pStyle w:val="TableContents"/>
              <w:spacing w:before="0" w:after="0"/>
              <w:ind w:left="0" w:right="0" w:hanging="0"/>
              <w:jc w:val="lef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 current</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67,070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67,070</w:t>
            </w:r>
          </w:p>
        </w:tc>
        <w:tc>
          <w:tcPr>
            <w:tcW w:w="5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127,706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127,706</w:t>
            </w:r>
          </w:p>
        </w:tc>
        <w:tc>
          <w:tcPr>
            <w:tcW w:w="5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151,949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151,949</w:t>
            </w:r>
          </w:p>
        </w:tc>
        <w:tc>
          <w:tcPr>
            <w:tcW w:w="591" w:type="dxa"/>
            <w:tcBorders/>
            <w:shd w:fill="auto" w:val="clear"/>
            <w:vAlign w:val="center"/>
          </w:tcPr>
          <w:p>
            <w:pPr>
              <w:pStyle w:val="TableContents"/>
              <w:spacing w:before="0" w:after="0"/>
              <w:ind w:left="0" w:right="0" w:hanging="0"/>
              <w:jc w:val="lef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 non-current</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5,840</w:t>
            </w:r>
          </w:p>
        </w:tc>
        <w:tc>
          <w:tcPr>
            <w:tcW w:w="5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72,180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72,180</w:t>
            </w:r>
          </w:p>
        </w:tc>
        <w:tc>
          <w:tcPr>
            <w:tcW w:w="5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40,997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40,997</w:t>
            </w:r>
          </w:p>
        </w:tc>
        <w:tc>
          <w:tcPr>
            <w:tcW w:w="591" w:type="dxa"/>
            <w:tcBorders/>
            <w:shd w:fill="auto" w:val="clear"/>
            <w:vAlign w:val="center"/>
          </w:tcPr>
          <w:p>
            <w:pPr>
              <w:pStyle w:val="TableContents"/>
              <w:spacing w:before="0" w:after="0"/>
              <w:ind w:left="0" w:right="0" w:hanging="0"/>
              <w:jc w:val="lef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6,147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6,147</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89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126,886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392,832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519,718</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tbl>
      <w:tblPr>
        <w:tblW w:w="8115" w:type="dxa"/>
        <w:jc w:val="left"/>
        <w:tblInd w:w="0" w:type="dxa"/>
        <w:tblCellMar>
          <w:top w:w="28" w:type="dxa"/>
          <w:left w:w="28" w:type="dxa"/>
          <w:bottom w:w="28" w:type="dxa"/>
          <w:right w:w="28" w:type="dxa"/>
        </w:tblCellMar>
      </w:tblPr>
      <w:tblGrid>
        <w:gridCol w:w="2896"/>
        <w:gridCol w:w="146"/>
        <w:gridCol w:w="211"/>
        <w:gridCol w:w="781"/>
        <w:gridCol w:w="146"/>
        <w:gridCol w:w="146"/>
        <w:gridCol w:w="211"/>
        <w:gridCol w:w="781"/>
        <w:gridCol w:w="146"/>
        <w:gridCol w:w="146"/>
        <w:gridCol w:w="239"/>
        <w:gridCol w:w="391"/>
        <w:gridCol w:w="146"/>
        <w:gridCol w:w="146"/>
        <w:gridCol w:w="211"/>
        <w:gridCol w:w="781"/>
        <w:gridCol w:w="591"/>
      </w:tblGrid>
      <w:tr>
        <w:trPr/>
        <w:tc>
          <w:tcPr>
            <w:tcW w:w="28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28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82"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 Measurements at</w:t>
              <w:br/>
              <w:t>December 31, 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50,551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50,551</w:t>
            </w:r>
          </w:p>
        </w:tc>
        <w:tc>
          <w:tcPr>
            <w:tcW w:w="591" w:type="dxa"/>
            <w:tcBorders/>
            <w:shd w:fill="auto" w:val="clear"/>
            <w:vAlign w:val="center"/>
          </w:tcPr>
          <w:p>
            <w:pPr>
              <w:pStyle w:val="TableContents"/>
              <w:spacing w:before="0" w:after="0"/>
              <w:ind w:left="0" w:right="0" w:hanging="0"/>
              <w:jc w:val="lef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 current</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74,045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74,045</w:t>
            </w:r>
          </w:p>
        </w:tc>
        <w:tc>
          <w:tcPr>
            <w:tcW w:w="5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120,467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120,467</w:t>
            </w:r>
          </w:p>
        </w:tc>
        <w:tc>
          <w:tcPr>
            <w:tcW w:w="5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144,259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144,259</w:t>
            </w:r>
          </w:p>
        </w:tc>
        <w:tc>
          <w:tcPr>
            <w:tcW w:w="591" w:type="dxa"/>
            <w:tcBorders/>
            <w:shd w:fill="auto" w:val="clear"/>
            <w:vAlign w:val="center"/>
          </w:tcPr>
          <w:p>
            <w:pPr>
              <w:pStyle w:val="TableContents"/>
              <w:spacing w:before="0" w:after="0"/>
              <w:ind w:left="0" w:right="0" w:hanging="0"/>
              <w:jc w:val="lef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 non-current</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19,804</w:t>
            </w:r>
          </w:p>
        </w:tc>
        <w:tc>
          <w:tcPr>
            <w:tcW w:w="5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58,653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58,653</w:t>
            </w:r>
          </w:p>
        </w:tc>
        <w:tc>
          <w:tcPr>
            <w:tcW w:w="5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73,871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73,871</w:t>
            </w:r>
          </w:p>
        </w:tc>
        <w:tc>
          <w:tcPr>
            <w:tcW w:w="591" w:type="dxa"/>
            <w:tcBorders/>
            <w:shd w:fill="auto" w:val="clear"/>
            <w:vAlign w:val="center"/>
          </w:tcPr>
          <w:p>
            <w:pPr>
              <w:pStyle w:val="TableContents"/>
              <w:spacing w:before="0" w:after="0"/>
              <w:ind w:left="0" w:right="0" w:hanging="0"/>
              <w:jc w:val="lef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6,130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6,130</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89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150,530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397,250</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547,780</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During the three months ended March 31, 2023 and the year ended December 31, 2022, there were no</w:t>
      </w:r>
      <w:r>
        <w:rPr>
          <w:rFonts w:ascii="Times New Roman" w:hAnsi="Times New Roman"/>
          <w:sz w:val="20"/>
        </w:rPr>
        <w:t xml:space="preserve"> </w:t>
      </w:r>
      <w:r>
        <w:rPr>
          <w:rFonts w:ascii="Times New Roman;serif" w:hAnsi="Times New Roman;serif"/>
          <w:b w:val="false"/>
          <w:sz w:val="20"/>
        </w:rPr>
        <w:t>transfers in or out of Level 3.</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360" w:after="0"/>
        <w:jc w:val="both"/>
        <w:rPr>
          <w:rFonts w:ascii="Times New Roman" w:hAnsi="Times New Roman"/>
          <w:sz w:val="20"/>
        </w:rPr>
      </w:pPr>
      <w:r>
        <w:rPr>
          <w:rFonts w:ascii="Times New Roman;serif" w:hAnsi="Times New Roman;serif"/>
          <w:b/>
          <w:sz w:val="20"/>
        </w:rPr>
        <w:t>4. Marketable Securities</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following tables summarize the available-for-sale debt securities held at March 31, 2023 and December 31, 2022 (in thousands):</w:t>
      </w:r>
    </w:p>
    <w:tbl>
      <w:tblPr>
        <w:tblW w:w="7520" w:type="dxa"/>
        <w:jc w:val="left"/>
        <w:tblInd w:w="0" w:type="dxa"/>
        <w:tblCellMar>
          <w:top w:w="28" w:type="dxa"/>
          <w:left w:w="28" w:type="dxa"/>
          <w:bottom w:w="28" w:type="dxa"/>
          <w:right w:w="28" w:type="dxa"/>
        </w:tblCellMar>
      </w:tblPr>
      <w:tblGrid>
        <w:gridCol w:w="2131"/>
        <w:gridCol w:w="146"/>
        <w:gridCol w:w="211"/>
        <w:gridCol w:w="781"/>
        <w:gridCol w:w="146"/>
        <w:gridCol w:w="146"/>
        <w:gridCol w:w="295"/>
        <w:gridCol w:w="591"/>
        <w:gridCol w:w="146"/>
        <w:gridCol w:w="146"/>
        <w:gridCol w:w="222"/>
        <w:gridCol w:w="664"/>
        <w:gridCol w:w="166"/>
        <w:gridCol w:w="146"/>
        <w:gridCol w:w="211"/>
        <w:gridCol w:w="781"/>
        <w:gridCol w:w="591"/>
      </w:tblGrid>
      <w:tr>
        <w:trPr/>
        <w:tc>
          <w:tcPr>
            <w:tcW w:w="21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Description</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w:t>
              <w:br/>
              <w:t>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w:t>
              <w:b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w:t>
              <w:br/>
              <w:t>Value</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March 31, 2023</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21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73,589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72,910</w:t>
            </w:r>
          </w:p>
        </w:tc>
        <w:tc>
          <w:tcPr>
            <w:tcW w:w="591" w:type="dxa"/>
            <w:tcBorders/>
            <w:shd w:fill="auto" w:val="clear"/>
            <w:vAlign w:val="center"/>
          </w:tcPr>
          <w:p>
            <w:pPr>
              <w:pStyle w:val="TableContents"/>
              <w:spacing w:before="0" w:after="0"/>
              <w:ind w:left="0" w:right="0" w:firstLine="200"/>
              <w:jc w:val="left"/>
              <w:rPr/>
            </w:pPr>
            <w:r>
              <w:rPr/>
              <w:t> </w:t>
            </w:r>
          </w:p>
        </w:tc>
      </w:tr>
      <w:tr>
        <w:trPr/>
        <w:tc>
          <w:tcPr>
            <w:tcW w:w="21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201,161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199,886</w:t>
            </w:r>
          </w:p>
        </w:tc>
        <w:tc>
          <w:tcPr>
            <w:tcW w:w="591" w:type="dxa"/>
            <w:tcBorders/>
            <w:shd w:fill="auto" w:val="clear"/>
            <w:vAlign w:val="center"/>
          </w:tcPr>
          <w:p>
            <w:pPr>
              <w:pStyle w:val="TableContents"/>
              <w:spacing w:before="0" w:after="0"/>
              <w:ind w:left="0" w:right="0" w:firstLine="200"/>
              <w:jc w:val="left"/>
              <w:rPr/>
            </w:pPr>
            <w:r>
              <w:rPr/>
              <w:t> </w:t>
            </w:r>
          </w:p>
        </w:tc>
      </w:tr>
      <w:tr>
        <w:trPr/>
        <w:tc>
          <w:tcPr>
            <w:tcW w:w="21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194,027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192,946</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1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468,777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465,742</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tbl>
      <w:tblPr>
        <w:tblW w:w="7520" w:type="dxa"/>
        <w:jc w:val="left"/>
        <w:tblInd w:w="0" w:type="dxa"/>
        <w:tblCellMar>
          <w:top w:w="28" w:type="dxa"/>
          <w:left w:w="28" w:type="dxa"/>
          <w:bottom w:w="28" w:type="dxa"/>
          <w:right w:w="28" w:type="dxa"/>
        </w:tblCellMar>
      </w:tblPr>
      <w:tblGrid>
        <w:gridCol w:w="2131"/>
        <w:gridCol w:w="146"/>
        <w:gridCol w:w="211"/>
        <w:gridCol w:w="781"/>
        <w:gridCol w:w="146"/>
        <w:gridCol w:w="146"/>
        <w:gridCol w:w="354"/>
        <w:gridCol w:w="532"/>
        <w:gridCol w:w="146"/>
        <w:gridCol w:w="146"/>
        <w:gridCol w:w="222"/>
        <w:gridCol w:w="664"/>
        <w:gridCol w:w="166"/>
        <w:gridCol w:w="146"/>
        <w:gridCol w:w="211"/>
        <w:gridCol w:w="781"/>
        <w:gridCol w:w="591"/>
      </w:tblGrid>
      <w:tr>
        <w:trPr/>
        <w:tc>
          <w:tcPr>
            <w:tcW w:w="21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Description</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w:t>
              <w:br/>
              <w:t>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w:t>
              <w:b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w:t>
              <w:br/>
              <w:t>Value</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3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December 31, 2022</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21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94,958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93,850</w:t>
            </w:r>
          </w:p>
        </w:tc>
        <w:tc>
          <w:tcPr>
            <w:tcW w:w="591" w:type="dxa"/>
            <w:tcBorders/>
            <w:shd w:fill="auto" w:val="clear"/>
            <w:vAlign w:val="center"/>
          </w:tcPr>
          <w:p>
            <w:pPr>
              <w:pStyle w:val="TableContents"/>
              <w:spacing w:before="0" w:after="0"/>
              <w:ind w:left="0" w:right="0" w:firstLine="200"/>
              <w:jc w:val="left"/>
              <w:rPr/>
            </w:pPr>
            <w:r>
              <w:rPr/>
              <w:t> </w:t>
            </w:r>
          </w:p>
        </w:tc>
      </w:tr>
      <w:tr>
        <w:trPr/>
        <w:tc>
          <w:tcPr>
            <w:tcW w:w="21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180,967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179,119</w:t>
            </w:r>
          </w:p>
        </w:tc>
        <w:tc>
          <w:tcPr>
            <w:tcW w:w="591" w:type="dxa"/>
            <w:tcBorders/>
            <w:shd w:fill="auto" w:val="clear"/>
            <w:vAlign w:val="center"/>
          </w:tcPr>
          <w:p>
            <w:pPr>
              <w:pStyle w:val="TableContents"/>
              <w:spacing w:before="0" w:after="0"/>
              <w:ind w:left="0" w:right="0" w:firstLine="200"/>
              <w:jc w:val="left"/>
              <w:rPr/>
            </w:pPr>
            <w:r>
              <w:rPr/>
              <w:t> </w:t>
            </w:r>
          </w:p>
        </w:tc>
      </w:tr>
      <w:tr>
        <w:trPr/>
        <w:tc>
          <w:tcPr>
            <w:tcW w:w="21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Corporate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220,119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218,130</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13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496,044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(4,998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491,099</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As of March 31, 2023, the Company held 130</w:t>
      </w:r>
      <w:r>
        <w:rPr>
          <w:rFonts w:ascii="Times New Roman" w:hAnsi="Times New Roman"/>
          <w:sz w:val="20"/>
        </w:rPr>
        <w:t xml:space="preserve"> </w:t>
      </w:r>
      <w:r>
        <w:rPr>
          <w:rFonts w:ascii="Times New Roman;serif" w:hAnsi="Times New Roman;serif"/>
          <w:b w:val="false"/>
          <w:sz w:val="20"/>
        </w:rPr>
        <w:t>securities that had been in an unrealized loss position for less than 12 months with an aggregate fair value of</w:t>
      </w:r>
      <w:r>
        <w:rPr>
          <w:rFonts w:ascii="Times New Roman" w:hAnsi="Times New Roman"/>
          <w:sz w:val="20"/>
        </w:rPr>
        <w:t xml:space="preserve"> </w:t>
      </w:r>
      <w:r>
        <w:rPr>
          <w:rFonts w:ascii="Times New Roman;serif" w:hAnsi="Times New Roman;serif"/>
          <w:b w:val="false"/>
          <w:sz w:val="20"/>
        </w:rPr>
        <w:t>$291.7</w:t>
      </w:r>
      <w:r>
        <w:rPr>
          <w:rFonts w:ascii="Times New Roman" w:hAnsi="Times New Roman"/>
          <w:sz w:val="20"/>
        </w:rPr>
        <w:t xml:space="preserve"> </w:t>
      </w:r>
      <w:r>
        <w:rPr>
          <w:rFonts w:ascii="Times New Roman;serif" w:hAnsi="Times New Roman;serif"/>
          <w:b w:val="false"/>
          <w:sz w:val="20"/>
        </w:rPr>
        <w:t>million. As of December 31, 2022, the Company held 149</w:t>
      </w:r>
      <w:r>
        <w:rPr>
          <w:rFonts w:ascii="Times New Roman" w:hAnsi="Times New Roman"/>
          <w:sz w:val="20"/>
        </w:rPr>
        <w:t xml:space="preserve"> </w:t>
      </w:r>
      <w:r>
        <w:rPr>
          <w:rFonts w:ascii="Times New Roman;serif" w:hAnsi="Times New Roman;serif"/>
          <w:b w:val="false"/>
          <w:sz w:val="20"/>
        </w:rPr>
        <w:t>securities that had been in an unrealized loss position for less than 12 months with an aggregate fair value of $330.9</w:t>
      </w:r>
      <w:r>
        <w:rPr>
          <w:rFonts w:ascii="Times New Roman" w:hAnsi="Times New Roman"/>
          <w:sz w:val="20"/>
        </w:rPr>
        <w:t xml:space="preserve"> </w:t>
      </w:r>
      <w:r>
        <w:rPr>
          <w:rFonts w:ascii="Times New Roman;serif" w:hAnsi="Times New Roman;serif"/>
          <w:b w:val="false"/>
          <w:sz w:val="20"/>
        </w:rPr>
        <w:t>million. As of March 31, 2023, the Company held 38</w:t>
      </w:r>
      <w:r>
        <w:rPr>
          <w:rFonts w:ascii="Times New Roman" w:hAnsi="Times New Roman"/>
          <w:sz w:val="20"/>
        </w:rPr>
        <w:t xml:space="preserve"> </w:t>
      </w:r>
      <w:r>
        <w:rPr>
          <w:rFonts w:ascii="Times New Roman;serif" w:hAnsi="Times New Roman;serif"/>
          <w:b w:val="false"/>
          <w:sz w:val="20"/>
        </w:rPr>
        <w:t>securities that had been in an unrealized loss position for greater than 12 months with an aggregate fair value of $102.5</w:t>
      </w:r>
      <w:r>
        <w:rPr>
          <w:rFonts w:ascii="Times New Roman" w:hAnsi="Times New Roman"/>
          <w:sz w:val="20"/>
        </w:rPr>
        <w:t xml:space="preserve"> </w:t>
      </w:r>
      <w:r>
        <w:rPr>
          <w:rFonts w:ascii="Times New Roman;serif" w:hAnsi="Times New Roman;serif"/>
          <w:b w:val="false"/>
          <w:sz w:val="20"/>
        </w:rPr>
        <w:t>million. As of</w:t>
      </w:r>
      <w:r>
        <w:rPr>
          <w:rFonts w:ascii="Times New Roman" w:hAnsi="Times New Roman"/>
          <w:sz w:val="20"/>
        </w:rPr>
        <w:t xml:space="preserve"> </w:t>
      </w:r>
      <w:r>
        <w:rPr>
          <w:rFonts w:ascii="Times New Roman;serif" w:hAnsi="Times New Roman;serif"/>
          <w:b w:val="false"/>
          <w:sz w:val="20"/>
        </w:rPr>
        <w:t>December 31, 2022, the Company held 36</w:t>
      </w:r>
      <w:r>
        <w:rPr>
          <w:rFonts w:ascii="Times New Roman" w:hAnsi="Times New Roman"/>
          <w:sz w:val="20"/>
        </w:rPr>
        <w:t xml:space="preserve"> </w:t>
      </w:r>
      <w:r>
        <w:rPr>
          <w:rFonts w:ascii="Times New Roman;serif" w:hAnsi="Times New Roman;serif"/>
          <w:b w:val="false"/>
          <w:sz w:val="20"/>
        </w:rPr>
        <w:t>securities that had been in an unrealized loss position for greater than 12 months with an aggregate fair value of $115.0</w:t>
      </w:r>
      <w:r>
        <w:rPr>
          <w:rFonts w:ascii="Times New Roman" w:hAnsi="Times New Roman"/>
          <w:sz w:val="20"/>
        </w:rPr>
        <w:t xml:space="preserve"> </w:t>
      </w:r>
      <w:r>
        <w:rPr>
          <w:rFonts w:ascii="Times New Roman;serif" w:hAnsi="Times New Roman;serif"/>
          <w:b w:val="false"/>
          <w:sz w:val="20"/>
        </w:rPr>
        <w:t>million.</w:t>
      </w:r>
    </w:p>
    <w:p>
      <w:pPr>
        <w:pStyle w:val="TextBody"/>
        <w:spacing w:before="0" w:after="0"/>
        <w:jc w:val="both"/>
        <w:rPr/>
      </w:pPr>
      <w:r>
        <w:rPr/>
        <w:t> </w:t>
      </w:r>
    </w:p>
    <w:p>
      <w:pPr>
        <w:pStyle w:val="TextBody"/>
        <w:spacing w:before="40" w:after="0"/>
        <w:jc w:val="both"/>
        <w:rPr>
          <w:rFonts w:ascii="Times New Roman" w:hAnsi="Times New Roman"/>
          <w:sz w:val="20"/>
        </w:rPr>
      </w:pPr>
      <w:r>
        <w:rPr>
          <w:rFonts w:ascii="Times New Roman;serif" w:hAnsi="Times New Roman;serif"/>
          <w:b w:val="false"/>
          <w:sz w:val="20"/>
        </w:rPr>
        <w:t>As of March 31, 2023, the Company had</w:t>
      </w:r>
      <w:r>
        <w:rPr>
          <w:rFonts w:ascii="Times New Roman" w:hAnsi="Times New Roman"/>
          <w:sz w:val="20"/>
        </w:rPr>
        <w:t xml:space="preserve"> </w:t>
      </w:r>
      <w:r>
        <w:rPr>
          <w:rFonts w:ascii="Times New Roman;serif" w:hAnsi="Times New Roman;serif"/>
          <w:b w:val="false"/>
          <w:sz w:val="20"/>
        </w:rPr>
        <w:t>139</w:t>
      </w:r>
      <w:r>
        <w:rPr>
          <w:rFonts w:ascii="Times New Roman" w:hAnsi="Times New Roman"/>
          <w:sz w:val="20"/>
        </w:rPr>
        <w:t xml:space="preserve"> </w:t>
      </w:r>
      <w:r>
        <w:rPr>
          <w:rFonts w:ascii="Times New Roman;serif" w:hAnsi="Times New Roman;serif"/>
          <w:b w:val="false"/>
          <w:sz w:val="20"/>
        </w:rPr>
        <w:t>securities with a fair value of $346.7</w:t>
      </w:r>
      <w:r>
        <w:rPr>
          <w:rFonts w:ascii="Times New Roman" w:hAnsi="Times New Roman"/>
          <w:sz w:val="20"/>
        </w:rPr>
        <w:t xml:space="preserve"> </w:t>
      </w:r>
      <w:r>
        <w:rPr>
          <w:rFonts w:ascii="Times New Roman;serif" w:hAnsi="Times New Roman;serif"/>
          <w:b w:val="false"/>
          <w:sz w:val="20"/>
        </w:rPr>
        <w:t>million with a contractual maturity of less than 12 months and 61</w:t>
      </w:r>
      <w:r>
        <w:rPr>
          <w:rFonts w:ascii="Times New Roman" w:hAnsi="Times New Roman"/>
          <w:sz w:val="20"/>
        </w:rPr>
        <w:t xml:space="preserve"> </w:t>
      </w:r>
      <w:r>
        <w:rPr>
          <w:rFonts w:ascii="Times New Roman;serif" w:hAnsi="Times New Roman;serif"/>
          <w:b w:val="false"/>
          <w:sz w:val="20"/>
        </w:rPr>
        <w:t>securities with a fair value of $119.0</w:t>
      </w:r>
      <w:r>
        <w:rPr>
          <w:rFonts w:ascii="Times New Roman" w:hAnsi="Times New Roman"/>
          <w:sz w:val="20"/>
        </w:rPr>
        <w:t xml:space="preserve"> </w:t>
      </w:r>
      <w:r>
        <w:rPr>
          <w:rFonts w:ascii="Times New Roman;serif" w:hAnsi="Times New Roman;serif"/>
          <w:b w:val="false"/>
          <w:sz w:val="20"/>
        </w:rPr>
        <w:t>million with a contractual maturity of greater than 12 months. As of December 31, 2022 the Company had 118</w:t>
      </w:r>
      <w:r>
        <w:rPr>
          <w:rFonts w:ascii="Times New Roman" w:hAnsi="Times New Roman"/>
          <w:sz w:val="20"/>
        </w:rPr>
        <w:t xml:space="preserve"> </w:t>
      </w:r>
      <w:r>
        <w:rPr>
          <w:rFonts w:ascii="Times New Roman;serif" w:hAnsi="Times New Roman;serif"/>
          <w:b w:val="false"/>
          <w:sz w:val="20"/>
        </w:rPr>
        <w:t>securities with a fair value of $338.8</w:t>
      </w:r>
      <w:r>
        <w:rPr>
          <w:rFonts w:ascii="Times New Roman" w:hAnsi="Times New Roman"/>
          <w:sz w:val="20"/>
        </w:rPr>
        <w:t xml:space="preserve"> </w:t>
      </w:r>
      <w:r>
        <w:rPr>
          <w:rFonts w:ascii="Times New Roman;serif" w:hAnsi="Times New Roman;serif"/>
          <w:b w:val="false"/>
          <w:sz w:val="20"/>
        </w:rPr>
        <w:t>million with a contractual maturity of less than 12 months and 81</w:t>
      </w:r>
      <w:r>
        <w:rPr>
          <w:rFonts w:ascii="Times New Roman" w:hAnsi="Times New Roman"/>
          <w:sz w:val="20"/>
        </w:rPr>
        <w:t xml:space="preserve"> </w:t>
      </w:r>
      <w:r>
        <w:rPr>
          <w:rFonts w:ascii="Times New Roman;serif" w:hAnsi="Times New Roman;serif"/>
          <w:b w:val="false"/>
          <w:sz w:val="20"/>
        </w:rPr>
        <w:t>securities with a fair value of $152.3</w:t>
      </w:r>
      <w:r>
        <w:rPr>
          <w:rFonts w:ascii="Times New Roman" w:hAnsi="Times New Roman"/>
          <w:sz w:val="20"/>
        </w:rPr>
        <w:t xml:space="preserve"> </w:t>
      </w:r>
      <w:r>
        <w:rPr>
          <w:rFonts w:ascii="Times New Roman;serif" w:hAnsi="Times New Roman;serif"/>
          <w:b w:val="false"/>
          <w:sz w:val="20"/>
        </w:rPr>
        <w:t>million with a contractual maturity of greater than 12 months. There were no</w:t>
      </w:r>
      <w:r>
        <w:rPr>
          <w:rFonts w:ascii="Times New Roman" w:hAnsi="Times New Roman"/>
          <w:sz w:val="20"/>
        </w:rPr>
        <w:t xml:space="preserve"> </w:t>
      </w:r>
      <w:r>
        <w:rPr>
          <w:rFonts w:ascii="Times New Roman;serif" w:hAnsi="Times New Roman;serif"/>
          <w:b w:val="false"/>
          <w:sz w:val="20"/>
        </w:rPr>
        <w:t>sales of marketable securities during the three months ending March 31, 2023 and 2022.</w:t>
      </w:r>
      <w:r>
        <w:rPr>
          <w:rFonts w:ascii="Times New Roman" w:hAnsi="Times New Roman"/>
          <w:sz w:val="20"/>
        </w:rPr>
        <w:t xml:space="preserve"> </w:t>
      </w:r>
    </w:p>
    <w:p>
      <w:pPr>
        <w:pStyle w:val="TextBody"/>
        <w:spacing w:before="40" w:after="0"/>
        <w:jc w:val="both"/>
        <w:rPr/>
      </w:pPr>
      <w:r>
        <w:rPr/>
        <w:t> </w:t>
      </w:r>
    </w:p>
    <w:p>
      <w:pPr>
        <w:pStyle w:val="TextBody"/>
        <w:spacing w:before="40" w:after="0"/>
        <w:jc w:val="both"/>
        <w:rPr>
          <w:rFonts w:ascii="Times New Roman;serif" w:hAnsi="Times New Roman;serif"/>
          <w:b w:val="false"/>
          <w:sz w:val="20"/>
        </w:rPr>
      </w:pPr>
      <w:r>
        <w:rPr>
          <w:rFonts w:ascii="Times New Roman;serif" w:hAnsi="Times New Roman;serif"/>
          <w:b w:val="false"/>
          <w:sz w:val="20"/>
        </w:rPr>
        <w:t>The Company is required to determine whether a decline in the fair value below the amortized cost basis of available-for-sale securities is due to credit-related factors. 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pStyle w:val="TextBody"/>
        <w:spacing w:before="40" w:after="0"/>
        <w:jc w:val="both"/>
        <w:rPr/>
      </w:pPr>
      <w:r>
        <w:rPr/>
        <w:t> </w:t>
      </w:r>
    </w:p>
    <w:p>
      <w:pPr>
        <w:pStyle w:val="TextBody"/>
        <w:spacing w:before="40" w:after="0"/>
        <w:jc w:val="both"/>
        <w:rPr>
          <w:rFonts w:ascii="Times New Roman;serif" w:hAnsi="Times New Roman;serif"/>
          <w:b w:val="false"/>
          <w:sz w:val="20"/>
        </w:rPr>
      </w:pPr>
      <w:r>
        <w:rPr>
          <w:rFonts w:ascii="Times New Roman;serif" w:hAnsi="Times New Roman;serif"/>
          <w:b w:val="false"/>
          <w:sz w:val="20"/>
        </w:rPr>
        <w:t>Unrealized losses on available-for-sale securities presented in the previous table have not been recognized in the condensed consolidated statements of operations because the securities are high credit quality, investment grade securities that the Company does not intend to sell and will not be required to sell prior to their anticipated recovery, and the decline in fair value is attributable to factors other than credit losses. Based on its evaluation, the Company determined it does not have any credit losses related to its available-for-sale securities as of March 31, 2023 and December 31, 2022.</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360" w:after="0"/>
        <w:jc w:val="both"/>
        <w:rPr>
          <w:rFonts w:ascii="Times New Roman" w:hAnsi="Times New Roman"/>
          <w:sz w:val="20"/>
        </w:rPr>
      </w:pPr>
      <w:r>
        <w:rPr>
          <w:rFonts w:ascii="Times New Roman;serif" w:hAnsi="Times New Roman;serif"/>
          <w:b/>
          <w:sz w:val="20"/>
        </w:rPr>
        <w:t>5. Collaborations</w:t>
      </w:r>
      <w:r>
        <w:rPr>
          <w:rFonts w:ascii="Times New Roman" w:hAnsi="Times New Roman"/>
          <w:sz w:val="20"/>
        </w:rPr>
        <w:t xml:space="preserve"> </w:t>
      </w:r>
    </w:p>
    <w:p>
      <w:pPr>
        <w:pStyle w:val="TextBody"/>
        <w:spacing w:before="120" w:after="0"/>
        <w:jc w:val="both"/>
        <w:rPr>
          <w:rFonts w:ascii="Times New Roman;serif" w:hAnsi="Times New Roman;serif"/>
          <w:b/>
          <w:i/>
          <w:sz w:val="20"/>
        </w:rPr>
      </w:pPr>
      <w:r>
        <w:rPr>
          <w:rFonts w:ascii="Times New Roman;serif" w:hAnsi="Times New Roman;serif"/>
          <w:b/>
          <w:i/>
          <w:sz w:val="20"/>
        </w:rPr>
        <w:t>Sanofi Collaboration Arrangement</w:t>
      </w:r>
    </w:p>
    <w:p>
      <w:pPr>
        <w:pStyle w:val="TextBody"/>
        <w:spacing w:before="120" w:after="0"/>
        <w:jc w:val="both"/>
        <w:rPr>
          <w:rFonts w:ascii="Times New Roman;serif" w:hAnsi="Times New Roman;serif"/>
          <w:b w:val="false"/>
          <w:i/>
          <w:sz w:val="20"/>
        </w:rPr>
      </w:pPr>
      <w:r>
        <w:rPr>
          <w:rFonts w:ascii="Times New Roman;serif" w:hAnsi="Times New Roman;serif"/>
          <w:b w:val="false"/>
          <w:i/>
          <w:sz w:val="20"/>
        </w:rPr>
        <w:t>Agreement Terms</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On July 7, 2020, the Company entered into a collaboration agreement, or the Sanofi Agreement, with Sanofi, to co-develop drug candidates directed to two biological targets. Under the Sanofi Agreement, the Company granted to Sanofi a worldwide exclusive license to develop, manufacture and commercialize certain lead compounds generated during the collaboration directed against IRAK4, or Collaboration Target 1, and one additional undisclosed target in an undisclosed field of use, or Collaboration Target 2. Such license is exercisable on a collaboration target-by-collaboration target basis only after specified milestones. For compounds directed against IRAK4, the field of use includes diagnosis, treatment, cure, mitigation or prevention of any diseases, disorders or conditions, excluding oncology and immuno-oncology.</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Pursuant to the Sanofi Agreement, the Company is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In addition, pursuant to the Sanofi Agreement, Sanofi will grant to the Company an exclusive option, or Opt-In Right, exercisable on a collaboration target-by-collaboration target basis that will include the right to (i) to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the Company exercises the Opt-In Right, Sanofi will grant to the Company an exclusive option, applicable to each collaboration target, which upon exercise will allow the Company to conduct certain co-promotion activities in the field in the United States.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Sanofi Agreement, unless earlier terminated, will expire on a product-by-product basis on the date of expiration of all payment obligations under the Sanofi Agreement with respect to such product. The Company or Sanofi may terminate the agreement upon the other party’s material breach or insolvency or for certain patent challenges. In addition, Sanofi may terminate the Sanofi Agreement for convenience or for a material safety event upon advance prior written notice, and the Company may terminate the Sanofi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pStyle w:val="TextBody"/>
        <w:spacing w:before="240" w:after="0"/>
        <w:jc w:val="both"/>
        <w:rPr>
          <w:rFonts w:ascii="Times New Roman" w:hAnsi="Times New Roman"/>
          <w:sz w:val="20"/>
        </w:rPr>
      </w:pPr>
      <w:r>
        <w:rPr>
          <w:rFonts w:ascii="Times New Roman;serif" w:hAnsi="Times New Roman;serif"/>
          <w:b w:val="false"/>
          <w:sz w:val="20"/>
        </w:rPr>
        <w:t>In consideration for the exclusive licenses granted to Sanofi under the Sanofi Agreement, Sanofi paid to the Company an upfront payment of $150.0</w:t>
      </w:r>
      <w:r>
        <w:rPr>
          <w:rFonts w:ascii="Times New Roman" w:hAnsi="Times New Roman"/>
          <w:sz w:val="20"/>
        </w:rPr>
        <w:t xml:space="preserve"> </w:t>
      </w:r>
      <w:r>
        <w:rPr>
          <w:rFonts w:ascii="Times New Roman;serif" w:hAnsi="Times New Roman;serif"/>
          <w:b w:val="false"/>
          <w:sz w:val="20"/>
        </w:rPr>
        <w:t>million. The Company will also be reimbursed for certain research activities for a certain backup degrader under the IRAK4 program as well as contract manufacturing costs for the lead 474 program, unless certain criteria are not met for an initial IRAK4 degrader. In addition to the upfront payment and the reimbursements, the Company is eligible to receive certain development milestone payments of up to $1.48</w:t>
      </w:r>
      <w:r>
        <w:rPr>
          <w:rFonts w:ascii="Times New Roman" w:hAnsi="Times New Roman"/>
          <w:sz w:val="20"/>
        </w:rPr>
        <w:t xml:space="preserve"> </w:t>
      </w:r>
      <w:r>
        <w:rPr>
          <w:rFonts w:ascii="Times New Roman;serif" w:hAnsi="Times New Roman;serif"/>
          <w:b w:val="false"/>
          <w:sz w:val="20"/>
        </w:rPr>
        <w:t>billion in the aggregate, of which more than $1.0</w:t>
      </w:r>
      <w:r>
        <w:rPr>
          <w:rFonts w:ascii="Times New Roman" w:hAnsi="Times New Roman"/>
          <w:sz w:val="20"/>
        </w:rPr>
        <w:t xml:space="preserve"> </w:t>
      </w:r>
      <w:r>
        <w:rPr>
          <w:rFonts w:ascii="Times New Roman;serif" w:hAnsi="Times New Roman;serif"/>
          <w:b w:val="false"/>
          <w:sz w:val="20"/>
        </w:rPr>
        <w:t>billion relates to the IRAK4 program, upon the achievement of certain developmental or regulatory events. The Company will be eligible to receive certain commercial milestone payments up to $700.0</w:t>
      </w:r>
      <w:r>
        <w:rPr>
          <w:rFonts w:ascii="Times New Roman" w:hAnsi="Times New Roman"/>
          <w:sz w:val="20"/>
        </w:rPr>
        <w:t xml:space="preserve"> </w:t>
      </w:r>
      <w:r>
        <w:rPr>
          <w:rFonts w:ascii="Times New Roman;serif" w:hAnsi="Times New Roman;serif"/>
          <w:b w:val="false"/>
          <w:sz w:val="20"/>
        </w:rPr>
        <w:t>million in the aggregate, of which $400.0</w:t>
      </w:r>
      <w:r>
        <w:rPr>
          <w:rFonts w:ascii="Times New Roman" w:hAnsi="Times New Roman"/>
          <w:sz w:val="20"/>
        </w:rPr>
        <w:t xml:space="preserve"> </w:t>
      </w:r>
      <w:r>
        <w:rPr>
          <w:rFonts w:ascii="Times New Roman;serif" w:hAnsi="Times New Roman;serif"/>
          <w:b w:val="false"/>
          <w:sz w:val="20"/>
        </w:rPr>
        <w:t>million relates to the IRAK4 program, which are payable upon the achievement of certain net sales thresholds. The Company will be eligible to receive tiered royalties for each program on net sales ranging from the high-single digits to high teens, subject to low-single digits upward adjustments in certain circumstances.</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Additionally with respect to Sanofi, on December 2, 2022, Sanofi provided the Company with written notice of its intention to advance the collaboration target 1 candidate, KT-474, into Phase 2 clinical trials. The Company is entitled to receive milestone payments upon the dosing of the first Phase 2 patient(s) per indication up to a specified number of indications as further set forth in the Amended Sanofi Agreement.</w:t>
      </w:r>
    </w:p>
    <w:p>
      <w:pPr>
        <w:pStyle w:val="TextBody"/>
        <w:spacing w:before="160" w:after="0"/>
        <w:jc w:val="both"/>
        <w:rPr>
          <w:rFonts w:ascii="Times New Roman" w:hAnsi="Times New Roman"/>
          <w:sz w:val="20"/>
        </w:rPr>
      </w:pPr>
      <w:r>
        <w:rPr>
          <w:rFonts w:ascii="Times New Roman;serif" w:hAnsi="Times New Roman;serif"/>
          <w:b w:val="false"/>
          <w:i/>
          <w:sz w:val="20"/>
        </w:rPr>
        <w:t>Accounting Treatment</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Company analyzed the discovery and pre-clinical research activities as well as the exclusive license grants under the Sanofi Agreement and concluded that the arrangement was indicative of a vendor-customer relationship and would be accounted for under ASC 606.</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240" w:after="0"/>
        <w:jc w:val="both"/>
        <w:rPr>
          <w:rFonts w:ascii="Times New Roman" w:hAnsi="Times New Roman"/>
          <w:sz w:val="20"/>
        </w:rPr>
      </w:pPr>
      <w:r>
        <w:rPr>
          <w:rFonts w:ascii="Times New Roman;serif" w:hAnsi="Times New Roman;serif"/>
          <w:b w:val="false"/>
          <w:sz w:val="20"/>
        </w:rPr>
        <w:t>The Company identified the following material promises under the arrangement: (1) research services for Collaboration Target 1, (2) research license for Collaboration Target 1, (3) exclusive license for Collaboration Target 1, (4) research services for Collaboration Target 2, (5) research license for Collaboration Target 2, (6) exclusive license for Collaboration Target 2, (7) option to extend the research term, and (8) optional research services during the development period.</w:t>
      </w:r>
      <w:r>
        <w:rPr>
          <w:rFonts w:ascii="Times New Roman" w:hAnsi="Times New Roman"/>
          <w:sz w:val="20"/>
        </w:rPr>
        <w:t xml:space="preserve"> </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The Company determined that Collaboration Targets 1 and 2 are distinct from each other. The research associated with degraders directed to each target is at different stages and the licensed field, should development activities be successful, are different from each other. As such, all promises associated with each target are considered distinct from promises associated with the other target.</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The research and development services for each collaboration target were determined not to be distinct from the research license and the exclusive license and have been combined into a single performance obligation for each collaboration target. That is, two performance obligations were identified, the combined research services, research license and exclusive license for Collaboration Target 1 and the combined research services, research license and exclusive license for Collaboration Target 2. The exclusive license for each target is not distinct from the pre-clinical and clinical research and development services under the Sanofi Agreement, primarily due to the highly specialized nature of the research and novel technology involved with developing protein degraders – the pre-clinical activities and studies and first phase 1 clinical trial could not be conducted by another party in the manner required.</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The option to extend the research term and optional research services during the development period were evaluated as material rights. The fees associated with each option are at or above the standalone selling price. As such, the underlying options are not performance obligations and fees associated with each option are excluded from the transaction price until the underlying option is exercised.</w:t>
      </w:r>
    </w:p>
    <w:p>
      <w:pPr>
        <w:pStyle w:val="TextBody"/>
        <w:spacing w:before="240" w:after="0"/>
        <w:jc w:val="both"/>
        <w:rPr>
          <w:rFonts w:ascii="Times New Roman" w:hAnsi="Times New Roman"/>
          <w:sz w:val="20"/>
        </w:rPr>
      </w:pPr>
      <w:r>
        <w:rPr>
          <w:rFonts w:ascii="Times New Roman;serif" w:hAnsi="Times New Roman;serif"/>
          <w:b w:val="false"/>
          <w:sz w:val="20"/>
        </w:rPr>
        <w:t>The Company determined the total transaction price to be $150.0</w:t>
      </w:r>
      <w:r>
        <w:rPr>
          <w:rFonts w:ascii="Times New Roman" w:hAnsi="Times New Roman"/>
          <w:sz w:val="20"/>
        </w:rPr>
        <w:t xml:space="preserve"> </w:t>
      </w:r>
      <w:r>
        <w:rPr>
          <w:rFonts w:ascii="Times New Roman;serif" w:hAnsi="Times New Roman;serif"/>
          <w:b w:val="false"/>
          <w:sz w:val="20"/>
        </w:rPr>
        <w:t>million, which consists solely of the upfront payment. All milestone payments and option payments are constrained as the achievement of such milestones are contingent upon the success of the underlying research and development activities and are generally outside the control of the Company. The reimbursement of costs for the IRAK4 backup degrader is also treated as constrained variable consideration as the criteria for reimbursement may not always be met, under which circumstances the Company would be responsible for the costs related to the backup degrader. Upon becoming unconstrained, the reimbursement consideration will be added to the transaction price and allocated to Collaboration Target 1.</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The Company allocated the upfront payment to each performance obligation based on the relative standalone selling price, as follows:</w:t>
      </w:r>
    </w:p>
    <w:p>
      <w:pPr>
        <w:pStyle w:val="TextBody"/>
        <w:spacing w:before="120" w:after="0"/>
        <w:jc w:val="both"/>
        <w:rPr/>
      </w:pPr>
      <w:r>
        <w:rPr/>
        <w:t>•</w:t>
      </w:r>
    </w:p>
    <w:p>
      <w:pPr>
        <w:pStyle w:val="TextBody"/>
        <w:spacing w:before="120" w:after="0"/>
        <w:jc w:val="both"/>
        <w:rPr>
          <w:rFonts w:ascii="Times New Roman;serif" w:hAnsi="Times New Roman;serif"/>
          <w:sz w:val="24"/>
        </w:rPr>
      </w:pPr>
      <w:r>
        <w:rPr>
          <w:rFonts w:ascii="Times New Roman;serif" w:hAnsi="Times New Roman;serif"/>
          <w:b w:val="false"/>
          <w:sz w:val="20"/>
        </w:rPr>
        <w:t>Collaboration Target 1: $120.0</w:t>
      </w:r>
      <w:r>
        <w:rPr>
          <w:rFonts w:ascii="Times New Roman;serif" w:hAnsi="Times New Roman;serif"/>
          <w:sz w:val="24"/>
        </w:rPr>
        <w:t xml:space="preserve"> </w:t>
      </w:r>
      <w:r>
        <w:rPr>
          <w:rFonts w:ascii="Times New Roman;serif" w:hAnsi="Times New Roman;serif"/>
          <w:b w:val="false"/>
          <w:sz w:val="20"/>
        </w:rPr>
        <w:t>million</w:t>
      </w:r>
    </w:p>
    <w:p>
      <w:pPr>
        <w:pStyle w:val="TextBody"/>
        <w:spacing w:before="120" w:after="0"/>
        <w:jc w:val="both"/>
        <w:rPr/>
      </w:pPr>
      <w:r>
        <w:rPr/>
        <w:t>•</w:t>
      </w:r>
    </w:p>
    <w:p>
      <w:pPr>
        <w:pStyle w:val="TextBody"/>
        <w:spacing w:before="120" w:after="283"/>
        <w:jc w:val="both"/>
        <w:rPr>
          <w:rFonts w:ascii="Times New Roman;serif" w:hAnsi="Times New Roman;serif"/>
          <w:sz w:val="24"/>
        </w:rPr>
      </w:pPr>
      <w:r>
        <w:rPr>
          <w:rFonts w:ascii="Times New Roman;serif" w:hAnsi="Times New Roman;serif"/>
          <w:b w:val="false"/>
          <w:sz w:val="20"/>
        </w:rPr>
        <w:t>Collaboration Target 2: $30.0</w:t>
      </w:r>
      <w:r>
        <w:rPr>
          <w:rFonts w:ascii="Times New Roman;serif" w:hAnsi="Times New Roman;serif"/>
          <w:sz w:val="24"/>
        </w:rPr>
        <w:t xml:space="preserve"> </w:t>
      </w:r>
      <w:r>
        <w:rPr>
          <w:rFonts w:ascii="Times New Roman;serif" w:hAnsi="Times New Roman;serif"/>
          <w:b w:val="false"/>
          <w:sz w:val="20"/>
        </w:rPr>
        <w:t>million</w:t>
      </w:r>
    </w:p>
    <w:p>
      <w:pPr>
        <w:pStyle w:val="TextBody"/>
        <w:spacing w:before="240" w:after="0"/>
        <w:jc w:val="both"/>
        <w:rPr>
          <w:rFonts w:ascii="Times New Roman" w:hAnsi="Times New Roman"/>
          <w:sz w:val="20"/>
        </w:rPr>
      </w:pPr>
      <w:r>
        <w:rPr>
          <w:rFonts w:ascii="Times New Roman;serif" w:hAnsi="Times New Roman;serif"/>
          <w:b w:val="false"/>
          <w:sz w:val="20"/>
        </w:rPr>
        <w:t>The Company determined the allocation of the $150.0</w:t>
      </w:r>
      <w:r>
        <w:rPr>
          <w:rFonts w:ascii="Times New Roman" w:hAnsi="Times New Roman"/>
          <w:sz w:val="20"/>
        </w:rPr>
        <w:t xml:space="preserve"> </w:t>
      </w:r>
      <w:r>
        <w:rPr>
          <w:rFonts w:ascii="Times New Roman;serif" w:hAnsi="Times New Roman;serif"/>
          <w:b w:val="false"/>
          <w:sz w:val="20"/>
        </w:rPr>
        <w:t>million transaction price between Collaboration Target 1 and Collaboration Target 2 based on the value of the research and development for the programs from projected research and development costs for each collaboration target plus a developer’s profit and the total potential milestones for each collaboration target.</w:t>
      </w:r>
    </w:p>
    <w:p>
      <w:pPr>
        <w:pStyle w:val="TextBody"/>
        <w:spacing w:before="240" w:after="0"/>
        <w:jc w:val="both"/>
        <w:rPr>
          <w:rFonts w:ascii="Times New Roman" w:hAnsi="Times New Roman"/>
          <w:sz w:val="20"/>
        </w:rPr>
      </w:pPr>
      <w:r>
        <w:rPr>
          <w:rFonts w:ascii="Times New Roman;serif" w:hAnsi="Times New Roman;serif"/>
          <w:b w:val="false"/>
          <w:sz w:val="20"/>
        </w:rPr>
        <w:t>The Company recognizes revenue associated with each performance obligation as the research and development services are provided using an input method, according to costs incurred as related to the research and development activities for each individual program and the costs expected to be incurred in the future to satisfy that individual performance obligation. The transfer of control occurs over this time period and, in management’s judgment, is the best measure of progress towards satisfying each performance obligation. The amounts received that have not yet been recognized as revenue are deferred as a contract liability on the Company’s consolidated balance sheet and will be recognized over the remaining research and development period until the performance obligation is satisfied. Reimbursement consideration added to the transaction price will be recognized as revenue on the same pattern as Collaboration Target 1, with a cumulative catch-up upon becoming unconstrained. The performance obligations have not been fully satisfied as of March 31, 2023. In the three months ended March 31, 2023, the Company recognized $7.7</w:t>
      </w:r>
      <w:r>
        <w:rPr>
          <w:rFonts w:ascii="Times New Roman" w:hAnsi="Times New Roman"/>
          <w:sz w:val="20"/>
        </w:rPr>
        <w:t xml:space="preserve"> </w:t>
      </w:r>
      <w:r>
        <w:rPr>
          <w:rFonts w:ascii="Times New Roman;serif" w:hAnsi="Times New Roman;serif"/>
          <w:b w:val="false"/>
          <w:sz w:val="20"/>
        </w:rPr>
        <w:t>million in revenue under the Sanofi Agreement, of which $7.1</w:t>
      </w:r>
      <w:r>
        <w:rPr>
          <w:rFonts w:ascii="Times New Roman" w:hAnsi="Times New Roman"/>
          <w:sz w:val="20"/>
        </w:rPr>
        <w:t xml:space="preserve"> </w:t>
      </w:r>
      <w:r>
        <w:rPr>
          <w:rFonts w:ascii="Times New Roman;serif" w:hAnsi="Times New Roman;serif"/>
          <w:b w:val="false"/>
          <w:sz w:val="20"/>
        </w:rPr>
        <w:t>million was associated with Collaboration Target 1 and $0.6</w:t>
      </w:r>
      <w:r>
        <w:rPr>
          <w:rFonts w:ascii="Times New Roman" w:hAnsi="Times New Roman"/>
          <w:sz w:val="20"/>
        </w:rPr>
        <w:t xml:space="preserve"> </w:t>
      </w:r>
      <w:r>
        <w:rPr>
          <w:rFonts w:ascii="Times New Roman;serif" w:hAnsi="Times New Roman;serif"/>
          <w:b w:val="false"/>
          <w:sz w:val="20"/>
        </w:rPr>
        <w:t>million was associated with Collaboration Target 2. In the three months ended March 31, 2022, the Company recognized $6.6</w:t>
      </w:r>
      <w:r>
        <w:rPr>
          <w:rFonts w:ascii="Times New Roman" w:hAnsi="Times New Roman"/>
          <w:sz w:val="20"/>
        </w:rPr>
        <w:t xml:space="preserve"> </w:t>
      </w:r>
      <w:r>
        <w:rPr>
          <w:rFonts w:ascii="Times New Roman;serif" w:hAnsi="Times New Roman;serif"/>
          <w:b w:val="false"/>
          <w:sz w:val="20"/>
        </w:rPr>
        <w:t>million in revenue under the Sanofi Agreement, of which $4.2</w:t>
      </w:r>
      <w:r>
        <w:rPr>
          <w:rFonts w:ascii="Times New Roman" w:hAnsi="Times New Roman"/>
          <w:sz w:val="20"/>
        </w:rPr>
        <w:t xml:space="preserve"> </w:t>
      </w:r>
      <w:r>
        <w:rPr>
          <w:rFonts w:ascii="Times New Roman;serif" w:hAnsi="Times New Roman;serif"/>
          <w:b w:val="false"/>
          <w:sz w:val="20"/>
        </w:rPr>
        <w:t>million was associated with Collaboration Target 1 and $2.4</w:t>
      </w:r>
      <w:r>
        <w:rPr>
          <w:rFonts w:ascii="Times New Roman" w:hAnsi="Times New Roman"/>
          <w:sz w:val="20"/>
        </w:rPr>
        <w:t xml:space="preserve"> </w:t>
      </w:r>
      <w:r>
        <w:rPr>
          <w:rFonts w:ascii="Times New Roman;serif" w:hAnsi="Times New Roman;serif"/>
          <w:b w:val="false"/>
          <w:sz w:val="20"/>
        </w:rPr>
        <w:t>million was associated with Collaboration Target 2. Of the $7.7</w:t>
      </w:r>
      <w:r>
        <w:rPr>
          <w:rFonts w:ascii="Times New Roman" w:hAnsi="Times New Roman"/>
          <w:sz w:val="20"/>
        </w:rPr>
        <w:t xml:space="preserve"> </w:t>
      </w:r>
      <w:r>
        <w:rPr>
          <w:rFonts w:ascii="Times New Roman;serif" w:hAnsi="Times New Roman;serif"/>
          <w:b w:val="false"/>
          <w:sz w:val="20"/>
        </w:rPr>
        <w:t>million of revenue recognized in the three months ended March 31, 2023, $5.5</w:t>
      </w:r>
      <w:r>
        <w:rPr>
          <w:rFonts w:ascii="Times New Roman" w:hAnsi="Times New Roman"/>
          <w:sz w:val="20"/>
        </w:rPr>
        <w:t xml:space="preserve"> </w:t>
      </w:r>
      <w:r>
        <w:rPr>
          <w:rFonts w:ascii="Times New Roman;serif" w:hAnsi="Times New Roman;serif"/>
          <w:b w:val="false"/>
          <w:sz w:val="20"/>
        </w:rPr>
        <w:t>million was recognized from amounts that were recorded in deferred revenue as of December 31, 2022. The aggregate amount of the transaction price allocated to the Company’s unsatisfied performance obligations and recorded in deferred revenue at March 31, 2023 and December 31, 2022 is $50.5</w:t>
      </w:r>
      <w:r>
        <w:rPr>
          <w:rFonts w:ascii="Times New Roman" w:hAnsi="Times New Roman"/>
          <w:sz w:val="20"/>
        </w:rPr>
        <w:t xml:space="preserve"> </w:t>
      </w:r>
      <w:r>
        <w:rPr>
          <w:rFonts w:ascii="Times New Roman;serif" w:hAnsi="Times New Roman;serif"/>
          <w:b w:val="false"/>
          <w:sz w:val="20"/>
        </w:rPr>
        <w:t>million and $54.9</w:t>
      </w:r>
      <w:r>
        <w:rPr>
          <w:rFonts w:ascii="Times New Roman" w:hAnsi="Times New Roman"/>
          <w:sz w:val="20"/>
        </w:rPr>
        <w:t xml:space="preserve"> </w:t>
      </w:r>
      <w:r>
        <w:rPr>
          <w:rFonts w:ascii="Times New Roman;serif" w:hAnsi="Times New Roman;serif"/>
          <w:b w:val="false"/>
          <w:sz w:val="20"/>
        </w:rPr>
        <w:t>million, respectively. During the three months ended March 31, 2023, the Company received $2.5</w:t>
      </w:r>
      <w:r>
        <w:rPr>
          <w:rFonts w:ascii="Times New Roman" w:hAnsi="Times New Roman"/>
          <w:sz w:val="20"/>
        </w:rPr>
        <w:t xml:space="preserve"> </w:t>
      </w:r>
      <w:r>
        <w:rPr>
          <w:rFonts w:ascii="Times New Roman;serif" w:hAnsi="Times New Roman;serif"/>
          <w:b w:val="false"/>
          <w:sz w:val="20"/>
        </w:rPr>
        <w:t>million in cost reimbursement payments. No</w:t>
      </w:r>
      <w:r>
        <w:rPr>
          <w:rFonts w:ascii="Times New Roman" w:hAnsi="Times New Roman"/>
          <w:sz w:val="20"/>
        </w:rPr>
        <w:t xml:space="preserve"> </w:t>
      </w:r>
      <w:r>
        <w:rPr>
          <w:rFonts w:ascii="Times New Roman;serif" w:hAnsi="Times New Roman;serif"/>
          <w:b w:val="false"/>
          <w:sz w:val="20"/>
        </w:rPr>
        <w:t>milestone or royalty payments have been received under the Sanofi Agreement. As of March 31, 2023, the Company recorded a contract asset for unbilled accounts receivable of $3.3</w:t>
      </w:r>
      <w:r>
        <w:rPr>
          <w:rFonts w:ascii="Times New Roman" w:hAnsi="Times New Roman"/>
          <w:sz w:val="20"/>
        </w:rPr>
        <w:t xml:space="preserve"> </w:t>
      </w:r>
      <w:r>
        <w:rPr>
          <w:rFonts w:ascii="Times New Roman;serif" w:hAnsi="Times New Roman;serif"/>
          <w:b w:val="false"/>
          <w:sz w:val="20"/>
        </w:rPr>
        <w:t>million related to reimbursable research and development costs</w:t>
      </w:r>
      <w:r>
        <w:rPr>
          <w:rFonts w:ascii="Times New Roman" w:hAnsi="Times New Roman"/>
          <w:sz w:val="20"/>
        </w:rPr>
        <w:t xml:space="preserve"> </w:t>
      </w:r>
      <w:r>
        <w:rPr>
          <w:rFonts w:ascii="Times New Roman;serif" w:hAnsi="Times New Roman;serif"/>
          <w:b w:val="false"/>
          <w:sz w:val="20"/>
        </w:rPr>
        <w:t>under the Sanofi Agreement for activities performed during the first quarter of 2023. As of March 31, 2023, the Company did not have any amounts recorded in accounts receivable under the Sanofi Agreement. The Company will recognize the deferred revenue related to the remaining</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240" w:after="0"/>
        <w:jc w:val="both"/>
        <w:rPr>
          <w:rFonts w:ascii="Times New Roman" w:hAnsi="Times New Roman"/>
          <w:sz w:val="20"/>
        </w:rPr>
      </w:pPr>
      <w:r>
        <w:rPr>
          <w:rFonts w:ascii="Times New Roman;serif" w:hAnsi="Times New Roman;serif"/>
          <w:b w:val="false"/>
          <w:sz w:val="20"/>
        </w:rPr>
        <w:t>performance obligations based on a cost input method, as described, over the remaining research term, which is approximately</w:t>
      </w:r>
      <w:r>
        <w:rPr>
          <w:rFonts w:ascii="Times New Roman" w:hAnsi="Times New Roman"/>
          <w:sz w:val="20"/>
        </w:rPr>
        <w:t xml:space="preserve"> </w:t>
      </w:r>
      <w:r>
        <w:rPr>
          <w:rFonts w:ascii="Times New Roman;serif" w:hAnsi="Times New Roman;serif"/>
          <w:b w:val="false"/>
          <w:sz w:val="20"/>
        </w:rPr>
        <w:t>2.8</w:t>
      </w:r>
      <w:r>
        <w:rPr>
          <w:rFonts w:ascii="Times New Roman" w:hAnsi="Times New Roman"/>
          <w:sz w:val="20"/>
        </w:rPr>
        <w:t xml:space="preserve"> </w:t>
      </w:r>
      <w:r>
        <w:rPr>
          <w:rFonts w:ascii="Times New Roman;serif" w:hAnsi="Times New Roman;serif"/>
          <w:b w:val="false"/>
          <w:sz w:val="20"/>
        </w:rPr>
        <w:t>years as of March 31, 2023.</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Any consideration related to performance-based milestones will be recognized when the risk of probable reversal is resolved, at which point the Company shall adjust the transaction price determined for the agreement accordingly and recognize revenue on a cumulative-catch up basis, reallocating the revised arrangement consideration to the performance obligations. Any consideration related to sales milestone payments and royalties will be recognized when the related milestone events or sales occur and therefore are recognized at the later of when the related sales occur or the relevant performance obligation is satisfied. As part of its evaluation of constraining the milestones, the Company considered numerous factors, including the fact that the achievement of the research and development milestones are contingent upon the results of the underlying research and development activities and are thus outside of the control of the Company.</w:t>
      </w:r>
    </w:p>
    <w:p>
      <w:pPr>
        <w:pStyle w:val="TextBody"/>
        <w:spacing w:before="240" w:after="0"/>
        <w:jc w:val="both"/>
        <w:rPr>
          <w:rFonts w:ascii="Times New Roman" w:hAnsi="Times New Roman"/>
          <w:sz w:val="20"/>
        </w:rPr>
      </w:pPr>
      <w:r>
        <w:rPr>
          <w:rFonts w:ascii="Times New Roman;serif" w:hAnsi="Times New Roman;serif"/>
          <w:b/>
          <w:i/>
          <w:sz w:val="20"/>
        </w:rPr>
        <w:t>Vertex Agreement</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On May 9, 2019 (the “Effective Date”), the Company entered into a collaboration agreement (the “Vertex Agreement”) with Vertex to advance small molecule protein degraders against up to six targets. Under the Vertex Agreement, Vertex has the exclusive option to license the rights to the product candidates developed for the designated targets at which point Vertex will control development and commercialization. Pursuant to the Vertex Agreement, the Company is only responsible for discovery and preclinical research on the targets, and Vertex is responsible for development, manufacturing, and commercialization of the product candidates after it exercises its option to license. The initial research term of the collaboration is four (4) years, extendable for an additional one (1) year period upon mutual agreement by the parties and payment by Vertex of certain per-target fees.</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Vertex provided the Company with a non-refundable upfront payment of $50.0</w:t>
      </w:r>
      <w:r>
        <w:rPr>
          <w:rFonts w:ascii="Times New Roman" w:hAnsi="Times New Roman"/>
          <w:sz w:val="20"/>
        </w:rPr>
        <w:t xml:space="preserve"> </w:t>
      </w:r>
      <w:r>
        <w:rPr>
          <w:rFonts w:ascii="Times New Roman;serif" w:hAnsi="Times New Roman;serif"/>
          <w:b w:val="false"/>
          <w:sz w:val="20"/>
        </w:rPr>
        <w:t>million and purchased 3,059,695</w:t>
      </w:r>
      <w:r>
        <w:rPr>
          <w:rFonts w:ascii="Times New Roman" w:hAnsi="Times New Roman"/>
          <w:sz w:val="20"/>
        </w:rPr>
        <w:t xml:space="preserve"> </w:t>
      </w:r>
      <w:r>
        <w:rPr>
          <w:rFonts w:ascii="Times New Roman;serif" w:hAnsi="Times New Roman;serif"/>
          <w:b w:val="false"/>
          <w:sz w:val="20"/>
        </w:rPr>
        <w:t>shares of the Company’s Series B-1 Convertible Preferred Stock (the “Series B-1 Preferred Stock”) at $6.54</w:t>
      </w:r>
      <w:r>
        <w:rPr>
          <w:rFonts w:ascii="Times New Roman" w:hAnsi="Times New Roman"/>
          <w:sz w:val="20"/>
        </w:rPr>
        <w:t xml:space="preserve"> </w:t>
      </w:r>
      <w:r>
        <w:rPr>
          <w:rFonts w:ascii="Times New Roman;serif" w:hAnsi="Times New Roman;serif"/>
          <w:b w:val="false"/>
          <w:sz w:val="20"/>
        </w:rPr>
        <w:t>a share, pursuant to a separate, but simultaneously executed Share Purchase Agreement. The shares were purchased at a premium of $5.9</w:t>
      </w:r>
      <w:r>
        <w:rPr>
          <w:rFonts w:ascii="Times New Roman" w:hAnsi="Times New Roman"/>
          <w:sz w:val="20"/>
        </w:rPr>
        <w:t xml:space="preserve"> </w:t>
      </w:r>
      <w:r>
        <w:rPr>
          <w:rFonts w:ascii="Times New Roman;serif" w:hAnsi="Times New Roman;serif"/>
          <w:b w:val="false"/>
          <w:sz w:val="20"/>
        </w:rPr>
        <w:t>million, which was included in the transaction price and will be recognized as revenue over the period of performance. As a result of this purchase, Vertex is considered a related party.</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The Company is eligible to receive up to $170.0</w:t>
      </w:r>
      <w:r>
        <w:rPr>
          <w:rFonts w:ascii="Times New Roman" w:hAnsi="Times New Roman"/>
          <w:sz w:val="20"/>
        </w:rPr>
        <w:t xml:space="preserve"> </w:t>
      </w:r>
      <w:r>
        <w:rPr>
          <w:rFonts w:ascii="Times New Roman;serif" w:hAnsi="Times New Roman;serif"/>
          <w:b w:val="false"/>
          <w:sz w:val="20"/>
        </w:rPr>
        <w:t>million in payments per target, including development, regulatory and commercial milestones as well as option exercise payments. In addition, Vertex is obligated to pay the Company tiered royalties on future net sales on any products that may result from the Vertex Agreement. None of the payments under the Vertex Agreement are refundable. The Company may also perform follow-on research for an optioned target upon Vertex’s request and at Vertex’s expense.</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The term of the Vertex Agreement began on the Effective Date and expires upon the expiration of all payment obligations from Vertex to Company under the Vertex Agreement or, if Vertex does not exercise any of its options, the lapse of all Vertex’s option rights under the Vertex Agreement. Vertex also has the ability to terminate for convenience with prior written notice to the Company, and either party may terminate for an uncured material breach.</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i/>
          <w:sz w:val="20"/>
        </w:rPr>
        <w:t>Accounting Treatment</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Company analyzed the joint research activities required under the Vertex Agreement and concluded that the arrangement was indicative of a vendor-customer relationship and would be accounted for under ASC 606.</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The Company identified the following material promises under the arrangement: (1) the non-exclusive, royalty-free research license; (2) the research and development services to be performed on up to six targets; and (3) the option to license each of the targets for development, manufacturing, and commercialization efforts. The research and development services were determined not to be distinct from the research and development license and have been combined into a single performance obligation. The Company determined that the option to license the targets in the future was not priced at a discount, and that the option exercise fee for each target is at or above the standalone selling price for research at this stage of development; as such, the options and the underlying licenses are excluded from the performance obligation and the option exercise fees are excluded from the transaction price until the underlying option is exercised.</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As part of its evaluation of constraining the research and development milestones, the Company considered numerous factors, including the fact that the achievement of the research and development milestones is contingent upon the results of the underlying research and development activities and is thus outside of the control of the Company.</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At the commencement of the arrangement, two units of accounting were identified: the issuance of 3,059,695</w:t>
      </w:r>
      <w:r>
        <w:rPr>
          <w:rFonts w:ascii="Times New Roman" w:hAnsi="Times New Roman"/>
          <w:sz w:val="20"/>
        </w:rPr>
        <w:t xml:space="preserve"> </w:t>
      </w:r>
      <w:r>
        <w:rPr>
          <w:rFonts w:ascii="Times New Roman;serif" w:hAnsi="Times New Roman;serif"/>
          <w:b w:val="false"/>
          <w:sz w:val="20"/>
        </w:rPr>
        <w:t>shares of the Series B-1 Preferred Stock and the research activities the Company will perform over the Research Term. The Company determined the total transaction price to be $55.9</w:t>
      </w:r>
      <w:r>
        <w:rPr>
          <w:rFonts w:ascii="Times New Roman" w:hAnsi="Times New Roman"/>
          <w:sz w:val="20"/>
        </w:rPr>
        <w:t xml:space="preserve"> </w:t>
      </w:r>
      <w:r>
        <w:rPr>
          <w:rFonts w:ascii="Times New Roman;serif" w:hAnsi="Times New Roman;serif"/>
          <w:b w:val="false"/>
          <w:sz w:val="20"/>
        </w:rPr>
        <w:t>million, which consists of $5.9</w:t>
      </w:r>
      <w:r>
        <w:rPr>
          <w:rFonts w:ascii="Times New Roman" w:hAnsi="Times New Roman"/>
          <w:sz w:val="20"/>
        </w:rPr>
        <w:t xml:space="preserve"> </w:t>
      </w:r>
      <w:r>
        <w:rPr>
          <w:rFonts w:ascii="Times New Roman;serif" w:hAnsi="Times New Roman;serif"/>
          <w:b w:val="false"/>
          <w:sz w:val="20"/>
        </w:rPr>
        <w:t>million attributed to the premium from the shares of Series B-1 Preferred Stock sold to Vertex and the $50.0</w:t>
      </w:r>
      <w:r>
        <w:rPr>
          <w:rFonts w:ascii="Times New Roman" w:hAnsi="Times New Roman"/>
          <w:sz w:val="20"/>
        </w:rPr>
        <w:t xml:space="preserve"> </w:t>
      </w:r>
      <w:r>
        <w:rPr>
          <w:rFonts w:ascii="Times New Roman;serif" w:hAnsi="Times New Roman;serif"/>
          <w:b w:val="false"/>
          <w:sz w:val="20"/>
        </w:rPr>
        <w:t>million upfront payment. To determine the fair value of the Series B-1 Preferred Stock issued to Vertex, the Company performed a valuation of the shares of the Company’s common and preferred stock, which took into consideration recent financings, and the Company’s recent development and future exit strategies, as well as a discount for lack of marketability.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240" w:after="0"/>
        <w:jc w:val="both"/>
        <w:rPr>
          <w:rFonts w:ascii="Times New Roman" w:hAnsi="Times New Roman"/>
          <w:sz w:val="20"/>
        </w:rPr>
      </w:pPr>
      <w:r>
        <w:rPr>
          <w:rFonts w:ascii="Times New Roman;serif" w:hAnsi="Times New Roman;serif"/>
          <w:b w:val="false"/>
          <w:sz w:val="20"/>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amounts received that have not yet been recognized as revenue are deferred as a contract liability on the Company’s consolidated balance sheet and will be recognized over the remaining research and development period until the performance obligation is satisfied. The performance obligation has not been fully satisfied as of March 31, 2023. During the three months ended March 31, 2023 and 2022, the Company recognized $1.8</w:t>
      </w:r>
      <w:r>
        <w:rPr>
          <w:rFonts w:ascii="Times New Roman" w:hAnsi="Times New Roman"/>
          <w:sz w:val="20"/>
        </w:rPr>
        <w:t xml:space="preserve"> </w:t>
      </w:r>
      <w:r>
        <w:rPr>
          <w:rFonts w:ascii="Times New Roman;serif" w:hAnsi="Times New Roman;serif"/>
          <w:b w:val="false"/>
          <w:sz w:val="20"/>
        </w:rPr>
        <w:t>million and $3.0</w:t>
      </w:r>
      <w:r>
        <w:rPr>
          <w:rFonts w:ascii="Times New Roman" w:hAnsi="Times New Roman"/>
          <w:sz w:val="20"/>
        </w:rPr>
        <w:t xml:space="preserve"> </w:t>
      </w:r>
      <w:r>
        <w:rPr>
          <w:rFonts w:ascii="Times New Roman;serif" w:hAnsi="Times New Roman;serif"/>
          <w:b w:val="false"/>
          <w:sz w:val="20"/>
        </w:rPr>
        <w:t>million, respectively, under the Vertex Agreement. All $1.8</w:t>
      </w:r>
      <w:r>
        <w:rPr>
          <w:rFonts w:ascii="Times New Roman" w:hAnsi="Times New Roman"/>
          <w:sz w:val="20"/>
        </w:rPr>
        <w:t xml:space="preserve"> </w:t>
      </w:r>
      <w:r>
        <w:rPr>
          <w:rFonts w:ascii="Times New Roman;serif" w:hAnsi="Times New Roman;serif"/>
          <w:b w:val="false"/>
          <w:sz w:val="20"/>
        </w:rPr>
        <w:t>million of revenue recognized in the three months ended March 31, 2023 was recognized from amounts that were recorded in deferred revenue as of December 31, 2022. The aggregate amount of the transaction price allocated to the Company’s</w:t>
      </w:r>
      <w:r>
        <w:rPr>
          <w:rFonts w:ascii="Times New Roman" w:hAnsi="Times New Roman"/>
          <w:sz w:val="20"/>
        </w:rPr>
        <w:t xml:space="preserve"> </w:t>
      </w:r>
      <w:r>
        <w:rPr>
          <w:rFonts w:ascii="Times New Roman;serif" w:hAnsi="Times New Roman;serif"/>
          <w:b w:val="false"/>
          <w:sz w:val="20"/>
        </w:rPr>
        <w:t>unsatisfied performance obligation and recorded in deferred revenue at March 31, 2023 and December 31, 2022 is $6.6</w:t>
      </w:r>
      <w:r>
        <w:rPr>
          <w:rFonts w:ascii="Times New Roman" w:hAnsi="Times New Roman"/>
          <w:sz w:val="20"/>
        </w:rPr>
        <w:t xml:space="preserve"> </w:t>
      </w:r>
      <w:r>
        <w:rPr>
          <w:rFonts w:ascii="Times New Roman;serif" w:hAnsi="Times New Roman;serif"/>
          <w:b w:val="false"/>
          <w:sz w:val="20"/>
        </w:rPr>
        <w:t>million and $8.4</w:t>
      </w:r>
      <w:r>
        <w:rPr>
          <w:rFonts w:ascii="Times New Roman" w:hAnsi="Times New Roman"/>
          <w:sz w:val="20"/>
        </w:rPr>
        <w:t xml:space="preserve"> </w:t>
      </w:r>
      <w:r>
        <w:rPr>
          <w:rFonts w:ascii="Times New Roman;serif" w:hAnsi="Times New Roman;serif"/>
          <w:b w:val="false"/>
          <w:sz w:val="20"/>
        </w:rPr>
        <w:t>million, respectively. The Company will recognize the deferred revenue related to the remaining performance obligation based on a cost input method, as described, over the remaining research term.</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Kymera expects that the collaboration will expire upon completion of the initial research term. Accordingly, the Company expects to fully satisfy its performance obligation and recognize any remaining deferred revenue at that time.</w:t>
      </w:r>
    </w:p>
    <w:p>
      <w:pPr>
        <w:pStyle w:val="TextBody"/>
        <w:spacing w:before="240" w:after="0"/>
        <w:jc w:val="both"/>
        <w:rPr>
          <w:rFonts w:ascii="Times New Roman" w:hAnsi="Times New Roman"/>
          <w:sz w:val="20"/>
        </w:rPr>
      </w:pPr>
      <w:r>
        <w:rPr>
          <w:rFonts w:ascii="Times New Roman;serif" w:hAnsi="Times New Roman;serif"/>
          <w:b w:val="false"/>
          <w:sz w:val="20"/>
        </w:rPr>
        <w:t>Any consideration related to sales milestone payments (including royalties) will be recognized when the related milestone events or sales occur and therefore is recognized at the later of when the related sales occur or the relevant performance obligation is satisfied.</w:t>
      </w:r>
      <w:r>
        <w:rPr>
          <w:rFonts w:ascii="Times New Roman" w:hAnsi="Times New Roman"/>
          <w:sz w:val="20"/>
        </w:rPr>
        <w:t xml:space="preserve"> </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The following table presents the changes in accounts receivable, contract assets and contract liabilities for the three months ended March 31, 2023 (in thousands):</w:t>
      </w:r>
    </w:p>
    <w:p>
      <w:pPr>
        <w:pStyle w:val="TextBody"/>
        <w:spacing w:before="0" w:after="0"/>
        <w:jc w:val="both"/>
        <w:rPr/>
      </w:pPr>
      <w:r>
        <w:rPr/>
        <w:t> </w:t>
      </w:r>
    </w:p>
    <w:tbl>
      <w:tblPr>
        <w:tblW w:w="8706" w:type="dxa"/>
        <w:jc w:val="left"/>
        <w:tblInd w:w="0" w:type="dxa"/>
        <w:tblCellMar>
          <w:top w:w="28" w:type="dxa"/>
          <w:left w:w="28" w:type="dxa"/>
          <w:bottom w:w="28" w:type="dxa"/>
          <w:right w:w="28" w:type="dxa"/>
        </w:tblCellMar>
      </w:tblPr>
      <w:tblGrid>
        <w:gridCol w:w="3766"/>
        <w:gridCol w:w="146"/>
        <w:gridCol w:w="260"/>
        <w:gridCol w:w="835"/>
        <w:gridCol w:w="146"/>
        <w:gridCol w:w="146"/>
        <w:gridCol w:w="214"/>
        <w:gridCol w:w="582"/>
        <w:gridCol w:w="146"/>
        <w:gridCol w:w="146"/>
        <w:gridCol w:w="225"/>
        <w:gridCol w:w="676"/>
        <w:gridCol w:w="166"/>
        <w:gridCol w:w="146"/>
        <w:gridCol w:w="217"/>
        <w:gridCol w:w="698"/>
        <w:gridCol w:w="191"/>
      </w:tblGrid>
      <w:tr>
        <w:trPr/>
        <w:tc>
          <w:tcPr>
            <w:tcW w:w="37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Balance at </w:t>
              <w:br/>
              <w:t>December 31,</w:t>
              <w:b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Deductions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Balance at </w:t>
              <w:br/>
              <w:t>March 31,</w:t>
              <w:br/>
              <w:t>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and contract assets:</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Billed receivables - Sanofi</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Unbilled receivables - Sanofi</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accounts receivable and contract assets</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5,857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(5,074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 Vertex</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6,574</w:t>
            </w:r>
          </w:p>
        </w:tc>
        <w:tc>
          <w:tcPr>
            <w:tcW w:w="191" w:type="dxa"/>
            <w:tcBorders/>
            <w:shd w:fill="auto" w:val="clear"/>
            <w:vAlign w:val="center"/>
          </w:tcPr>
          <w:p>
            <w:pPr>
              <w:pStyle w:val="TableContents"/>
              <w:spacing w:before="0" w:after="0"/>
              <w:ind w:left="0" w:right="0" w:hanging="0"/>
              <w:jc w:val="left"/>
              <w:rPr/>
            </w:pPr>
            <w:r>
              <w:rPr/>
              <w:t> </w:t>
            </w:r>
          </w:p>
        </w:tc>
      </w:tr>
      <w:tr>
        <w:trPr/>
        <w:tc>
          <w:tcPr>
            <w:tcW w:w="3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 Sanofi</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54,861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(7,641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50,540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contract liabilities</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63,260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(9,466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57,114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120" w:after="0"/>
        <w:jc w:val="both"/>
        <w:rPr>
          <w:rFonts w:ascii="Times New Roman" w:hAnsi="Times New Roman"/>
          <w:sz w:val="20"/>
        </w:rPr>
      </w:pPr>
      <w:r>
        <w:rPr>
          <w:rFonts w:ascii="Times New Roman;serif" w:hAnsi="Times New Roman;serif"/>
          <w:b/>
          <w:sz w:val="20"/>
        </w:rPr>
        <w:t>6. Property and Equipment</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Property and equipment consists of the following as of March 31, 2023 and December 31, 2022 (in thousands):</w:t>
      </w:r>
      <w:r>
        <w:rPr>
          <w:rFonts w:ascii="Times New Roman" w:hAnsi="Times New Roman"/>
          <w:sz w:val="20"/>
        </w:rPr>
        <w:t xml:space="preserve"> </w:t>
      </w:r>
    </w:p>
    <w:p>
      <w:pPr>
        <w:pStyle w:val="TextBody"/>
        <w:spacing w:before="0" w:after="0"/>
        <w:jc w:val="left"/>
        <w:rPr/>
      </w:pPr>
      <w:r>
        <w:rPr/>
        <w:t> </w:t>
      </w:r>
    </w:p>
    <w:tbl>
      <w:tblPr>
        <w:tblW w:w="7437" w:type="dxa"/>
        <w:jc w:val="left"/>
        <w:tblInd w:w="0" w:type="dxa"/>
        <w:tblCellMar>
          <w:top w:w="28" w:type="dxa"/>
          <w:left w:w="28" w:type="dxa"/>
          <w:bottom w:w="28" w:type="dxa"/>
          <w:right w:w="28" w:type="dxa"/>
        </w:tblCellMar>
      </w:tblPr>
      <w:tblGrid>
        <w:gridCol w:w="4786"/>
        <w:gridCol w:w="146"/>
        <w:gridCol w:w="211"/>
        <w:gridCol w:w="676"/>
        <w:gridCol w:w="166"/>
        <w:gridCol w:w="146"/>
        <w:gridCol w:w="260"/>
        <w:gridCol w:w="835"/>
        <w:gridCol w:w="211"/>
      </w:tblGrid>
      <w:tr>
        <w:trPr/>
        <w:tc>
          <w:tcPr>
            <w:tcW w:w="47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7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Lab and office equipment under finance right-of-use asset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5,475</w:t>
            </w:r>
          </w:p>
        </w:tc>
        <w:tc>
          <w:tcPr>
            <w:tcW w:w="21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Lab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4,383</w:t>
            </w:r>
          </w:p>
        </w:tc>
        <w:tc>
          <w:tcPr>
            <w:tcW w:w="21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357</w:t>
            </w:r>
          </w:p>
        </w:tc>
        <w:tc>
          <w:tcPr>
            <w:tcW w:w="21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&amp; fixtures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1,064</w:t>
            </w:r>
          </w:p>
        </w:tc>
        <w:tc>
          <w:tcPr>
            <w:tcW w:w="21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7,802</w:t>
            </w:r>
          </w:p>
        </w:tc>
        <w:tc>
          <w:tcPr>
            <w:tcW w:w="21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Assets not yet in service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20,227</w:t>
            </w:r>
          </w:p>
        </w:tc>
        <w:tc>
          <w:tcPr>
            <w:tcW w:w="21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(7,791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(6,893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17,432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13,334</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Depreciation expense for the three months ended March 31, 2023 and 2022 was $0.9</w:t>
      </w:r>
      <w:r>
        <w:rPr>
          <w:rFonts w:ascii="Times New Roman" w:hAnsi="Times New Roman"/>
          <w:sz w:val="20"/>
        </w:rPr>
        <w:t xml:space="preserve"> </w:t>
      </w:r>
      <w:r>
        <w:rPr>
          <w:rFonts w:ascii="Times New Roman;serif" w:hAnsi="Times New Roman;serif"/>
          <w:b w:val="false"/>
          <w:sz w:val="20"/>
        </w:rPr>
        <w:t>million and $0.7</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Included in property and equipment is lab and office equipment right-of-use assets under finance leases with a cost basis of $5.5</w:t>
      </w:r>
      <w:r>
        <w:rPr>
          <w:rFonts w:ascii="Times New Roman" w:hAnsi="Times New Roman"/>
          <w:sz w:val="20"/>
        </w:rPr>
        <w:t xml:space="preserve"> </w:t>
      </w:r>
      <w:r>
        <w:rPr>
          <w:rFonts w:ascii="Times New Roman;serif" w:hAnsi="Times New Roman;serif"/>
          <w:b w:val="false"/>
          <w:sz w:val="20"/>
        </w:rPr>
        <w:t>million and $5.5</w:t>
      </w:r>
      <w:r>
        <w:rPr>
          <w:rFonts w:ascii="Times New Roman" w:hAnsi="Times New Roman"/>
          <w:sz w:val="20"/>
        </w:rPr>
        <w:t xml:space="preserve"> </w:t>
      </w:r>
      <w:r>
        <w:rPr>
          <w:rFonts w:ascii="Times New Roman;serif" w:hAnsi="Times New Roman;serif"/>
          <w:b w:val="false"/>
          <w:sz w:val="20"/>
        </w:rPr>
        <w:t>million and accumulated amortization expense of $3.0</w:t>
      </w:r>
      <w:r>
        <w:rPr>
          <w:rFonts w:ascii="Times New Roman" w:hAnsi="Times New Roman"/>
          <w:sz w:val="20"/>
        </w:rPr>
        <w:t xml:space="preserve"> </w:t>
      </w:r>
      <w:r>
        <w:rPr>
          <w:rFonts w:ascii="Times New Roman;serif" w:hAnsi="Times New Roman;serif"/>
          <w:b w:val="false"/>
          <w:sz w:val="20"/>
        </w:rPr>
        <w:t>million and $2.7</w:t>
      </w:r>
      <w:r>
        <w:rPr>
          <w:rFonts w:ascii="Times New Roman" w:hAnsi="Times New Roman"/>
          <w:sz w:val="20"/>
        </w:rPr>
        <w:t xml:space="preserve"> </w:t>
      </w:r>
      <w:r>
        <w:rPr>
          <w:rFonts w:ascii="Times New Roman;serif" w:hAnsi="Times New Roman;serif"/>
          <w:b w:val="false"/>
          <w:sz w:val="20"/>
        </w:rPr>
        <w:t>million as of March 31, 2023 and December 31, 2022, respectively.</w:t>
      </w:r>
    </w:p>
    <w:p>
      <w:pPr>
        <w:pStyle w:val="TextBody"/>
        <w:spacing w:before="240" w:after="0"/>
        <w:jc w:val="both"/>
        <w:rPr>
          <w:rFonts w:ascii="Times New Roman" w:hAnsi="Times New Roman"/>
          <w:sz w:val="20"/>
        </w:rPr>
      </w:pPr>
      <w:r>
        <w:rPr>
          <w:rFonts w:ascii="Times New Roman;serif" w:hAnsi="Times New Roman;serif"/>
          <w:b w:val="false"/>
          <w:sz w:val="20"/>
        </w:rPr>
        <w:t>Amortization expense related to right-of-use assets during the three months ended March 31, 2023 and 2022 was $0.4</w:t>
      </w:r>
      <w:r>
        <w:rPr>
          <w:rFonts w:ascii="Times New Roman" w:hAnsi="Times New Roman"/>
          <w:sz w:val="20"/>
        </w:rPr>
        <w:t xml:space="preserve"> </w:t>
      </w:r>
      <w:r>
        <w:rPr>
          <w:rFonts w:ascii="Times New Roman;serif" w:hAnsi="Times New Roman;serif"/>
          <w:b w:val="false"/>
          <w:sz w:val="20"/>
        </w:rPr>
        <w:t>million and $0.3</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360" w:after="0"/>
        <w:jc w:val="both"/>
        <w:rPr>
          <w:rFonts w:ascii="Times New Roman" w:hAnsi="Times New Roman"/>
          <w:sz w:val="20"/>
        </w:rPr>
      </w:pPr>
      <w:r>
        <w:rPr>
          <w:rFonts w:ascii="Times New Roman;serif" w:hAnsi="Times New Roman;serif"/>
          <w:b/>
          <w:sz w:val="20"/>
        </w:rPr>
        <w:t>7. Leases</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In October 2019, the Company entered into a noncancelable facility lease agreement (the “the 2019 Lease”) for 34,522</w:t>
      </w:r>
      <w:r>
        <w:rPr>
          <w:rFonts w:ascii="Times New Roman" w:hAnsi="Times New Roman"/>
          <w:sz w:val="20"/>
        </w:rPr>
        <w:t xml:space="preserve"> </w:t>
      </w:r>
      <w:r>
        <w:rPr>
          <w:rFonts w:ascii="Times New Roman;serif" w:hAnsi="Times New Roman;serif"/>
          <w:b w:val="false"/>
          <w:sz w:val="20"/>
        </w:rPr>
        <w:t>square feet of research and development and office space in Watertown, Massachusetts. The term of the 2019 Lease is 120</w:t>
      </w:r>
      <w:r>
        <w:rPr>
          <w:rFonts w:ascii="Times New Roman" w:hAnsi="Times New Roman"/>
          <w:sz w:val="20"/>
        </w:rPr>
        <w:t xml:space="preserve"> </w:t>
      </w:r>
      <w:r>
        <w:rPr>
          <w:rFonts w:ascii="Times New Roman;serif" w:hAnsi="Times New Roman;serif"/>
          <w:b w:val="false"/>
          <w:sz w:val="20"/>
        </w:rPr>
        <w:t>months and expires on March 31, 2030. The 2019 Lease has an option to be extended for an additional five years. The lease is not reasonably certain to be extended and as such the additional term is not included in the measurement of the lease. The 2019 Lease includes a rent escalation clause, and rent expense is being recorded on a straight-line basis. In accordance with the lease agreement, the Company is required to maintain a security deposit and provided a letter of credit to the landlord for $1.6</w:t>
      </w:r>
      <w:r>
        <w:rPr>
          <w:rFonts w:ascii="Times New Roman" w:hAnsi="Times New Roman"/>
          <w:sz w:val="20"/>
        </w:rPr>
        <w:t xml:space="preserve"> </w:t>
      </w:r>
      <w:r>
        <w:rPr>
          <w:rFonts w:ascii="Times New Roman;serif" w:hAnsi="Times New Roman;serif"/>
          <w:b w:val="false"/>
          <w:sz w:val="20"/>
        </w:rPr>
        <w:t>million, which is recorded in restricted cash as of March 31, 2023 and December 31, 2022.</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In December 2021, the Company entered into a noncancelable lease (the “2021 Lease”) for 100,624</w:t>
      </w:r>
      <w:r>
        <w:rPr>
          <w:rFonts w:ascii="Times New Roman" w:hAnsi="Times New Roman"/>
          <w:sz w:val="20"/>
        </w:rPr>
        <w:t xml:space="preserve"> </w:t>
      </w:r>
      <w:r>
        <w:rPr>
          <w:rFonts w:ascii="Times New Roman;serif" w:hAnsi="Times New Roman;serif"/>
          <w:b w:val="false"/>
          <w:sz w:val="20"/>
        </w:rPr>
        <w:t>square feet of office and laboratory space in Watertown, Massachusetts, which the Company expects to begin occupying in</w:t>
      </w:r>
      <w:r>
        <w:rPr>
          <w:rFonts w:ascii="Times New Roman" w:hAnsi="Times New Roman"/>
          <w:sz w:val="20"/>
        </w:rPr>
        <w:t xml:space="preserve"> </w:t>
      </w:r>
      <w:r>
        <w:rPr>
          <w:rFonts w:ascii="Times New Roman;serif" w:hAnsi="Times New Roman;serif"/>
          <w:b w:val="false"/>
          <w:sz w:val="20"/>
        </w:rPr>
        <w:t>November 2023. The 2021 Lease is subject to base rent of $0.8</w:t>
      </w:r>
      <w:r>
        <w:rPr>
          <w:rFonts w:ascii="Times New Roman" w:hAnsi="Times New Roman"/>
          <w:sz w:val="20"/>
        </w:rPr>
        <w:t xml:space="preserve"> </w:t>
      </w:r>
      <w:r>
        <w:rPr>
          <w:rFonts w:ascii="Times New Roman;serif" w:hAnsi="Times New Roman;serif"/>
          <w:b w:val="false"/>
          <w:sz w:val="20"/>
        </w:rPr>
        <w:t>million per month beginning two months after the commencement date, plus the Company’s ratable share of taxes, maintenance and other operating expenses. Base rent is subject to a 3% annual increase over the lease term of approximately 134</w:t>
      </w:r>
      <w:r>
        <w:rPr>
          <w:rFonts w:ascii="Times New Roman" w:hAnsi="Times New Roman"/>
          <w:sz w:val="20"/>
        </w:rPr>
        <w:t xml:space="preserve"> </w:t>
      </w:r>
      <w:r>
        <w:rPr>
          <w:rFonts w:ascii="Times New Roman;serif" w:hAnsi="Times New Roman;serif"/>
          <w:b w:val="false"/>
          <w:sz w:val="20"/>
        </w:rPr>
        <w:t>months following the commencement date. The Company also has two consecutive options to extend the term of the lease for five years</w:t>
      </w:r>
      <w:r>
        <w:rPr>
          <w:rFonts w:ascii="Times New Roman" w:hAnsi="Times New Roman"/>
          <w:sz w:val="20"/>
        </w:rPr>
        <w:t xml:space="preserve"> </w:t>
      </w:r>
      <w:r>
        <w:rPr>
          <w:rFonts w:ascii="Times New Roman;serif" w:hAnsi="Times New Roman;serif"/>
          <w:b w:val="false"/>
          <w:sz w:val="20"/>
        </w:rPr>
        <w:t>each at then-market rates. The 2021 Lease also includes a tenant improvement allowance of approximately $20.1</w:t>
      </w:r>
      <w:r>
        <w:rPr>
          <w:rFonts w:ascii="Times New Roman" w:hAnsi="Times New Roman"/>
          <w:sz w:val="20"/>
        </w:rPr>
        <w:t xml:space="preserve"> </w:t>
      </w:r>
      <w:r>
        <w:rPr>
          <w:rFonts w:ascii="Times New Roman;serif" w:hAnsi="Times New Roman;serif"/>
          <w:b w:val="false"/>
          <w:sz w:val="20"/>
        </w:rPr>
        <w:t>million. In connection with the signing of the 2021 Lease, the Company issued a letter of credit for $4.5</w:t>
      </w:r>
      <w:r>
        <w:rPr>
          <w:rFonts w:ascii="Times New Roman" w:hAnsi="Times New Roman"/>
          <w:sz w:val="20"/>
        </w:rPr>
        <w:t xml:space="preserve"> </w:t>
      </w:r>
      <w:r>
        <w:rPr>
          <w:rFonts w:ascii="Times New Roman;serif" w:hAnsi="Times New Roman;serif"/>
          <w:b w:val="false"/>
          <w:sz w:val="20"/>
        </w:rPr>
        <w:t>million which is classified as restricted cash as of March 31, 2023 and December 31, 2022. The Company also paid first month’s rent of $0.8</w:t>
      </w:r>
      <w:r>
        <w:rPr>
          <w:rFonts w:ascii="Times New Roman" w:hAnsi="Times New Roman"/>
          <w:sz w:val="20"/>
        </w:rPr>
        <w:t xml:space="preserve"> </w:t>
      </w:r>
      <w:r>
        <w:rPr>
          <w:rFonts w:ascii="Times New Roman;serif" w:hAnsi="Times New Roman;serif"/>
          <w:b w:val="false"/>
          <w:sz w:val="20"/>
        </w:rPr>
        <w:t>million upon execution of the 2021 Lease in December 2021 which is classified as other non-current assets as of March 31, 2023 and December 31, 2022.</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The 2021 Lease required the landlord to build-out the base building prior to the construction of the Company’s premises. The Company concluded the accounting commencement date occurred when the landlord completed the build-out of the base building and control passed to the Company, which occurred in early January 2023. The Company assessed the classification of the 2021 Lease at the accounting commencement date and concluded the lease should be accounted for as an operating lease. The Company recorded an operating lease liability of $48.9</w:t>
      </w:r>
      <w:r>
        <w:rPr>
          <w:rFonts w:ascii="Times New Roman" w:hAnsi="Times New Roman"/>
          <w:sz w:val="20"/>
        </w:rPr>
        <w:t xml:space="preserve"> </w:t>
      </w:r>
      <w:r>
        <w:rPr>
          <w:rFonts w:ascii="Times New Roman;serif" w:hAnsi="Times New Roman;serif"/>
          <w:b w:val="false"/>
          <w:sz w:val="20"/>
        </w:rPr>
        <w:t>million, measured as the present value of the remaining lease payments discounted using the incremental borrowing rate as of the accounting commencement date. The Company recorded an operating lease right-of-use asset of $48.9</w:t>
      </w:r>
      <w:r>
        <w:rPr>
          <w:rFonts w:ascii="Times New Roman" w:hAnsi="Times New Roman"/>
          <w:sz w:val="20"/>
        </w:rPr>
        <w:t xml:space="preserve"> </w:t>
      </w:r>
      <w:r>
        <w:rPr>
          <w:rFonts w:ascii="Times New Roman;serif" w:hAnsi="Times New Roman;serif"/>
          <w:b w:val="false"/>
          <w:sz w:val="20"/>
        </w:rPr>
        <w:t>million, measured as the present value of the remaining lease payments, net of the tenant incentives.</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The Company concluded the improvements paid for by the landlord in connection with the tenant improvement allowance represent lessee assets and therefore recorded $2.2</w:t>
      </w:r>
      <w:r>
        <w:rPr>
          <w:rFonts w:ascii="Times New Roman" w:hAnsi="Times New Roman"/>
          <w:sz w:val="20"/>
        </w:rPr>
        <w:t xml:space="preserve"> </w:t>
      </w:r>
      <w:r>
        <w:rPr>
          <w:rFonts w:ascii="Times New Roman;serif" w:hAnsi="Times New Roman;serif"/>
          <w:b w:val="false"/>
          <w:sz w:val="20"/>
        </w:rPr>
        <w:t>million of leasehold improvements in property and equipment. The Company recorded an additional $1.4</w:t>
      </w:r>
      <w:r>
        <w:rPr>
          <w:rFonts w:ascii="Times New Roman" w:hAnsi="Times New Roman"/>
          <w:sz w:val="20"/>
        </w:rPr>
        <w:t xml:space="preserve"> </w:t>
      </w:r>
      <w:r>
        <w:rPr>
          <w:rFonts w:ascii="Times New Roman;serif" w:hAnsi="Times New Roman;serif"/>
          <w:b w:val="false"/>
          <w:sz w:val="20"/>
        </w:rPr>
        <w:t>million of leasehold improvements in excess of the tenant improvement allowance, all of which were not placed in service as of March 31, 2023.</w:t>
        <w:br/>
        <w:br/>
      </w:r>
      <w:r>
        <w:rPr>
          <w:rFonts w:ascii="Times New Roman" w:hAnsi="Times New Roman"/>
          <w:sz w:val="20"/>
        </w:rPr>
        <w:t> </w:t>
      </w:r>
    </w:p>
    <w:p>
      <w:pPr>
        <w:pStyle w:val="TextBody"/>
        <w:spacing w:before="240" w:after="0"/>
        <w:jc w:val="both"/>
        <w:rPr>
          <w:rFonts w:ascii="Times New Roman" w:hAnsi="Times New Roman"/>
          <w:sz w:val="20"/>
        </w:rPr>
      </w:pPr>
      <w:r>
        <w:rPr>
          <w:rFonts w:ascii="Times New Roman;serif" w:hAnsi="Times New Roman;serif"/>
          <w:b w:val="false"/>
          <w:sz w:val="20"/>
        </w:rPr>
        <w:t>The Company’s finance lease obligations consist of certain property and equipment financed through finance leases.</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The components of the lease costs for the three months ended March 31, 2023 and 2022, were as follows (in thousands):</w:t>
      </w:r>
      <w:r>
        <w:rPr>
          <w:rFonts w:ascii="Times New Roman" w:hAnsi="Times New Roman"/>
          <w:sz w:val="20"/>
        </w:rPr>
        <w:t xml:space="preserve"> </w:t>
      </w:r>
    </w:p>
    <w:p>
      <w:pPr>
        <w:pStyle w:val="TextBody"/>
        <w:spacing w:before="0" w:after="0"/>
        <w:jc w:val="left"/>
        <w:rPr/>
      </w:pPr>
      <w:r>
        <w:rPr/>
        <w:t> </w:t>
      </w:r>
    </w:p>
    <w:tbl>
      <w:tblPr>
        <w:tblW w:w="6519" w:type="dxa"/>
        <w:jc w:val="left"/>
        <w:tblInd w:w="0" w:type="dxa"/>
        <w:tblCellMar>
          <w:top w:w="28" w:type="dxa"/>
          <w:left w:w="28" w:type="dxa"/>
          <w:bottom w:w="28" w:type="dxa"/>
          <w:right w:w="28" w:type="dxa"/>
        </w:tblCellMar>
      </w:tblPr>
      <w:tblGrid>
        <w:gridCol w:w="4126"/>
        <w:gridCol w:w="146"/>
        <w:gridCol w:w="211"/>
        <w:gridCol w:w="571"/>
        <w:gridCol w:w="146"/>
        <w:gridCol w:w="146"/>
        <w:gridCol w:w="211"/>
        <w:gridCol w:w="571"/>
        <w:gridCol w:w="391"/>
      </w:tblGrid>
      <w:tr>
        <w:trPr/>
        <w:tc>
          <w:tcPr>
            <w:tcW w:w="41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1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524</w:t>
            </w:r>
          </w:p>
        </w:tc>
        <w:tc>
          <w:tcPr>
            <w:tcW w:w="391" w:type="dxa"/>
            <w:tcBorders/>
            <w:shd w:fill="auto" w:val="cle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costs:</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4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right-to-use assets, finance leases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279</w:t>
            </w:r>
          </w:p>
        </w:tc>
        <w:tc>
          <w:tcPr>
            <w:tcW w:w="391" w:type="dxa"/>
            <w:tcBorders/>
            <w:shd w:fill="auto" w:val="clear"/>
            <w:vAlign w:val="center"/>
          </w:tcPr>
          <w:p>
            <w:pPr>
              <w:pStyle w:val="TableContents"/>
              <w:spacing w:before="0" w:after="0"/>
              <w:ind w:left="0" w:right="0" w:firstLine="200"/>
              <w:jc w:val="left"/>
              <w:rPr/>
            </w:pPr>
            <w:r>
              <w:rPr/>
              <w:t> </w:t>
            </w:r>
          </w:p>
        </w:tc>
      </w:tr>
      <w:tr>
        <w:trPr/>
        <w:tc>
          <w:tcPr>
            <w:tcW w:w="4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 for finance lease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391" w:type="dxa"/>
            <w:tcBorders/>
            <w:shd w:fill="auto" w:val="cle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Variable lease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Supplemental cash flow information relating to the Company’s leases for the three months ended March 31, 2023 and 2022, were as follows (in thousands):</w:t>
      </w:r>
      <w:r>
        <w:rPr>
          <w:rFonts w:ascii="Times New Roman" w:hAnsi="Times New Roman"/>
          <w:sz w:val="20"/>
        </w:rPr>
        <w:t xml:space="preserve"> </w:t>
      </w:r>
    </w:p>
    <w:p>
      <w:pPr>
        <w:pStyle w:val="TextBody"/>
        <w:spacing w:before="0" w:after="0"/>
        <w:jc w:val="left"/>
        <w:rPr/>
      </w:pPr>
      <w:r>
        <w:rPr/>
        <w:t> </w:t>
      </w:r>
    </w:p>
    <w:tbl>
      <w:tblPr>
        <w:tblW w:w="6460" w:type="dxa"/>
        <w:jc w:val="left"/>
        <w:tblInd w:w="0" w:type="dxa"/>
        <w:tblCellMar>
          <w:top w:w="28" w:type="dxa"/>
          <w:left w:w="28" w:type="dxa"/>
          <w:bottom w:w="28" w:type="dxa"/>
          <w:right w:w="28" w:type="dxa"/>
        </w:tblCellMar>
      </w:tblPr>
      <w:tblGrid>
        <w:gridCol w:w="4321"/>
        <w:gridCol w:w="146"/>
        <w:gridCol w:w="217"/>
        <w:gridCol w:w="434"/>
        <w:gridCol w:w="150"/>
        <w:gridCol w:w="150"/>
        <w:gridCol w:w="217"/>
        <w:gridCol w:w="434"/>
        <w:gridCol w:w="391"/>
      </w:tblGrid>
      <w:tr>
        <w:trPr/>
        <w:tc>
          <w:tcPr>
            <w:tcW w:w="43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3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0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0" w:type="dxa"/>
            <w:tcBorders/>
            <w:shd w:fill="auto" w:val="clear"/>
            <w:vAlign w:val="center"/>
          </w:tcPr>
          <w:p>
            <w:pPr>
              <w:pStyle w:val="TableContents"/>
              <w:spacing w:before="0" w:after="0"/>
              <w:ind w:left="0" w:right="0" w:hanging="0"/>
              <w:jc w:val="left"/>
              <w:rPr/>
            </w:pPr>
            <w:r>
              <w:rPr/>
              <w:t> </w:t>
            </w:r>
          </w:p>
        </w:tc>
        <w:tc>
          <w:tcPr>
            <w:tcW w:w="6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amounts included in the measurement</w:t>
              <w:br/>
              <w:t>   of lease liabilities:</w:t>
            </w:r>
          </w:p>
        </w:tc>
        <w:tc>
          <w:tcPr>
            <w:tcW w:w="146" w:type="dxa"/>
            <w:tcBorders/>
            <w:shd w:fill="auto" w:val="clear"/>
            <w:vAlign w:val="center"/>
          </w:tcPr>
          <w:p>
            <w:pPr>
              <w:pStyle w:val="TableContents"/>
              <w:spacing w:before="0" w:after="0"/>
              <w:ind w:left="0" w:right="0" w:hanging="0"/>
              <w:jc w:val="left"/>
              <w:rPr/>
            </w:pPr>
            <w:r>
              <w:rPr/>
              <w:t> </w:t>
            </w:r>
          </w:p>
        </w:tc>
        <w:tc>
          <w:tcPr>
            <w:tcW w:w="651" w:type="dxa"/>
            <w:gridSpan w:val="2"/>
            <w:tcBorders/>
            <w:shd w:fill="auto" w:val="clear"/>
            <w:vAlign w:val="center"/>
          </w:tcPr>
          <w:p>
            <w:pPr>
              <w:pStyle w:val="TableContents"/>
              <w:spacing w:before="0" w:after="0"/>
              <w:ind w:left="0" w:right="0" w:hanging="0"/>
              <w:jc w:val="right"/>
              <w:rPr/>
            </w:pPr>
            <w:r>
              <w:rPr/>
              <w:t> </w:t>
            </w:r>
          </w:p>
        </w:tc>
        <w:tc>
          <w:tcPr>
            <w:tcW w:w="150" w:type="dxa"/>
            <w:tcBorders/>
            <w:shd w:fill="auto" w:val="clear"/>
            <w:vAlign w:val="center"/>
          </w:tcPr>
          <w:p>
            <w:pPr>
              <w:pStyle w:val="TableContents"/>
              <w:spacing w:before="0" w:after="0"/>
              <w:ind w:left="0" w:right="0" w:hanging="0"/>
              <w:jc w:val="right"/>
              <w:rPr/>
            </w:pPr>
            <w:r>
              <w:rPr/>
              <w:t> </w:t>
            </w:r>
          </w:p>
        </w:tc>
        <w:tc>
          <w:tcPr>
            <w:tcW w:w="150" w:type="dxa"/>
            <w:tcBorders/>
            <w:shd w:fill="auto" w:val="clear"/>
            <w:vAlign w:val="center"/>
          </w:tcPr>
          <w:p>
            <w:pPr>
              <w:pStyle w:val="TableContents"/>
              <w:spacing w:before="0" w:after="0"/>
              <w:ind w:left="0" w:right="0" w:hanging="0"/>
              <w:jc w:val="left"/>
              <w:rPr/>
            </w:pPr>
            <w:r>
              <w:rPr/>
              <w:t> </w:t>
            </w:r>
          </w:p>
        </w:tc>
        <w:tc>
          <w:tcPr>
            <w:tcW w:w="651"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432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Operating cash flows used in operating leases</w:t>
            </w:r>
          </w:p>
        </w:tc>
        <w:tc>
          <w:tcPr>
            <w:tcW w:w="146" w:type="dxa"/>
            <w:tcBorders/>
            <w:shd w:fill="auto" w:val="clear"/>
            <w:vAlign w:val="center"/>
          </w:tcPr>
          <w:p>
            <w:pPr>
              <w:pStyle w:val="TableContents"/>
              <w:spacing w:before="0" w:after="0"/>
              <w:ind w:left="20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651</w:t>
            </w:r>
          </w:p>
        </w:tc>
        <w:tc>
          <w:tcPr>
            <w:tcW w:w="150" w:type="dxa"/>
            <w:tcBorders/>
            <w:shd w:fill="auto" w:val="clear"/>
            <w:vAlign w:val="center"/>
          </w:tcPr>
          <w:p>
            <w:pPr>
              <w:pStyle w:val="TableContents"/>
              <w:spacing w:before="0" w:after="0"/>
              <w:ind w:left="0" w:right="0" w:hanging="0"/>
              <w:jc w:val="left"/>
              <w:rPr/>
            </w:pPr>
            <w:r>
              <w:rPr/>
              <w:t> </w:t>
            </w:r>
          </w:p>
        </w:tc>
        <w:tc>
          <w:tcPr>
            <w:tcW w:w="150"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631</w:t>
            </w:r>
          </w:p>
        </w:tc>
        <w:tc>
          <w:tcPr>
            <w:tcW w:w="39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Operating cash flows used in finance leases</w:t>
            </w:r>
          </w:p>
        </w:tc>
        <w:tc>
          <w:tcPr>
            <w:tcW w:w="146" w:type="dxa"/>
            <w:tcBorders/>
            <w:shd w:fill="auto" w:val="clear"/>
            <w:vAlign w:val="center"/>
          </w:tcPr>
          <w:p>
            <w:pPr>
              <w:pStyle w:val="TableContents"/>
              <w:spacing w:before="0" w:after="0"/>
              <w:ind w:left="20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w:t>
            </w:r>
          </w:p>
        </w:tc>
        <w:tc>
          <w:tcPr>
            <w:tcW w:w="150" w:type="dxa"/>
            <w:tcBorders/>
            <w:shd w:fill="auto" w:val="clear"/>
            <w:vAlign w:val="center"/>
          </w:tcPr>
          <w:p>
            <w:pPr>
              <w:pStyle w:val="TableContents"/>
              <w:spacing w:before="0" w:after="0"/>
              <w:ind w:left="0" w:right="0" w:hanging="0"/>
              <w:jc w:val="left"/>
              <w:rPr/>
            </w:pPr>
            <w:r>
              <w:rPr/>
              <w:t> </w:t>
            </w:r>
          </w:p>
        </w:tc>
        <w:tc>
          <w:tcPr>
            <w:tcW w:w="150"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w:t>
            </w:r>
          </w:p>
        </w:tc>
        <w:tc>
          <w:tcPr>
            <w:tcW w:w="391" w:type="dxa"/>
            <w:tcBorders/>
            <w:shd w:fill="auto" w:val="clear"/>
            <w:vAlign w:val="center"/>
          </w:tcPr>
          <w:p>
            <w:pPr>
              <w:pStyle w:val="TableContents"/>
              <w:spacing w:before="0" w:after="0"/>
              <w:ind w:left="0" w:right="0" w:firstLine="200"/>
              <w:jc w:val="left"/>
              <w:rPr/>
            </w:pPr>
            <w:r>
              <w:rPr/>
              <w:t> </w:t>
            </w:r>
          </w:p>
        </w:tc>
      </w:tr>
      <w:tr>
        <w:trPr/>
        <w:tc>
          <w:tcPr>
            <w:tcW w:w="432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Financing cash flows used in finance leases</w:t>
            </w:r>
          </w:p>
        </w:tc>
        <w:tc>
          <w:tcPr>
            <w:tcW w:w="146" w:type="dxa"/>
            <w:tcBorders/>
            <w:shd w:fill="auto" w:val="clear"/>
            <w:vAlign w:val="center"/>
          </w:tcPr>
          <w:p>
            <w:pPr>
              <w:pStyle w:val="TableContents"/>
              <w:spacing w:before="0" w:after="0"/>
              <w:ind w:left="20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50" w:type="dxa"/>
            <w:tcBorders/>
            <w:shd w:fill="auto" w:val="clear"/>
            <w:vAlign w:val="center"/>
          </w:tcPr>
          <w:p>
            <w:pPr>
              <w:pStyle w:val="TableContents"/>
              <w:spacing w:before="0" w:after="0"/>
              <w:ind w:left="0" w:right="0" w:hanging="0"/>
              <w:jc w:val="left"/>
              <w:rPr/>
            </w:pPr>
            <w:r>
              <w:rPr/>
              <w:t> </w:t>
            </w:r>
          </w:p>
        </w:tc>
        <w:tc>
          <w:tcPr>
            <w:tcW w:w="150"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Weighted average remaining lease terms and discount rates as of March 31, 2023 and 2022 were as follows:</w:t>
      </w:r>
      <w:r>
        <w:rPr>
          <w:rFonts w:ascii="Times New Roman" w:hAnsi="Times New Roman"/>
          <w:sz w:val="20"/>
        </w:rPr>
        <w:t xml:space="preserve"> </w:t>
      </w:r>
    </w:p>
    <w:p>
      <w:pPr>
        <w:pStyle w:val="TextBody"/>
        <w:spacing w:before="0" w:after="0"/>
        <w:jc w:val="left"/>
        <w:rPr/>
      </w:pPr>
      <w:r>
        <w:rPr/>
        <w:t> </w:t>
      </w:r>
    </w:p>
    <w:tbl>
      <w:tblPr>
        <w:tblW w:w="4982" w:type="dxa"/>
        <w:jc w:val="left"/>
        <w:tblInd w:w="0" w:type="dxa"/>
        <w:tblCellMar>
          <w:top w:w="28" w:type="dxa"/>
          <w:left w:w="28" w:type="dxa"/>
          <w:bottom w:w="28" w:type="dxa"/>
          <w:right w:w="28" w:type="dxa"/>
        </w:tblCellMar>
      </w:tblPr>
      <w:tblGrid>
        <w:gridCol w:w="1936"/>
        <w:gridCol w:w="146"/>
        <w:gridCol w:w="247"/>
        <w:gridCol w:w="789"/>
        <w:gridCol w:w="271"/>
        <w:gridCol w:w="146"/>
        <w:gridCol w:w="189"/>
        <w:gridCol w:w="742"/>
        <w:gridCol w:w="516"/>
      </w:tblGrid>
      <w:tr>
        <w:trPr/>
        <w:tc>
          <w:tcPr>
            <w:tcW w:w="19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r>
      <w:tr>
        <w:trPr/>
        <w:tc>
          <w:tcPr>
            <w:tcW w:w="19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8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Remaining lease term:</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516" w:type="dxa"/>
            <w:tcBorders/>
            <w:shd w:fill="auto" w:val="clear"/>
            <w:vAlign w:val="center"/>
          </w:tcPr>
          <w:p>
            <w:pPr>
              <w:pStyle w:val="TableContents"/>
              <w:spacing w:before="0" w:after="0"/>
              <w:ind w:left="0" w:right="0" w:firstLine="200"/>
              <w:jc w:val="right"/>
              <w:rPr/>
            </w:pPr>
            <w:r>
              <w:rPr/>
              <w:t> </w:t>
            </w:r>
          </w:p>
        </w:tc>
      </w:tr>
      <w:tr>
        <w:trPr/>
        <w:tc>
          <w:tcPr>
            <w:tcW w:w="19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10.75</w:t>
            </w:r>
            <w:r>
              <w:rPr>
                <w:rFonts w:ascii="Times New Roman" w:hAnsi="Times New Roman"/>
                <w:sz w:val="20"/>
              </w:rPr>
              <w:t> </w:t>
            </w:r>
            <w:r>
              <w:rPr>
                <w:rFonts w:ascii="Times New Roman;serif" w:hAnsi="Times New Roman;serif"/>
                <w:b w:val="false"/>
                <w:sz w:val="20"/>
              </w:rPr>
              <w:t>years</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8.09</w:t>
            </w:r>
            <w:r>
              <w:rPr>
                <w:rFonts w:ascii="Times New Roman" w:hAnsi="Times New Roman"/>
                <w:sz w:val="20"/>
              </w:rPr>
              <w:t> </w:t>
            </w:r>
            <w:r>
              <w:rPr>
                <w:rFonts w:ascii="Times New Roman;serif" w:hAnsi="Times New Roman;serif"/>
                <w:b w:val="false"/>
                <w:sz w:val="20"/>
              </w:rPr>
              <w:t>years</w:t>
            </w:r>
          </w:p>
        </w:tc>
        <w:tc>
          <w:tcPr>
            <w:tcW w:w="516" w:type="dxa"/>
            <w:tcBorders/>
            <w:shd w:fill="auto" w:val="clear"/>
            <w:vAlign w:val="center"/>
          </w:tcPr>
          <w:p>
            <w:pPr>
              <w:pStyle w:val="TableContents"/>
              <w:spacing w:before="0" w:after="0"/>
              <w:ind w:left="0" w:right="0" w:firstLine="200"/>
              <w:jc w:val="right"/>
              <w:rPr/>
            </w:pPr>
            <w:r>
              <w:rPr/>
              <w:t> </w:t>
            </w:r>
          </w:p>
        </w:tc>
      </w:tr>
      <w:tr>
        <w:trPr/>
        <w:tc>
          <w:tcPr>
            <w:tcW w:w="19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Finance lease</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2.33</w:t>
            </w:r>
            <w:r>
              <w:rPr>
                <w:rFonts w:ascii="Times New Roman" w:hAnsi="Times New Roman"/>
                <w:sz w:val="20"/>
              </w:rPr>
              <w:t> </w:t>
            </w:r>
            <w:r>
              <w:rPr>
                <w:rFonts w:ascii="Times New Roman;serif" w:hAnsi="Times New Roman;serif"/>
                <w:b w:val="false"/>
                <w:sz w:val="20"/>
              </w:rPr>
              <w:t>years</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2.10</w:t>
            </w:r>
            <w:r>
              <w:rPr>
                <w:rFonts w:ascii="Times New Roman" w:hAnsi="Times New Roman"/>
                <w:sz w:val="20"/>
              </w:rPr>
              <w:t> </w:t>
            </w:r>
            <w:r>
              <w:rPr>
                <w:rFonts w:ascii="Times New Roman;serif" w:hAnsi="Times New Roman;serif"/>
                <w:b w:val="false"/>
                <w:sz w:val="20"/>
              </w:rPr>
              <w:t>years</w:t>
            </w:r>
          </w:p>
        </w:tc>
        <w:tc>
          <w:tcPr>
            <w:tcW w:w="516" w:type="dxa"/>
            <w:tcBorders/>
            <w:shd w:fill="auto" w:val="clear"/>
            <w:vAlign w:val="center"/>
          </w:tcPr>
          <w:p>
            <w:pPr>
              <w:pStyle w:val="TableContents"/>
              <w:spacing w:before="0" w:after="0"/>
              <w:ind w:left="0" w:right="0" w:hanging="0"/>
              <w:jc w:val="right"/>
              <w:rPr/>
            </w:pPr>
            <w:r>
              <w:rPr/>
              <w:t> </w:t>
            </w:r>
          </w:p>
        </w:tc>
      </w:tr>
      <w:tr>
        <w:trPr/>
        <w:tc>
          <w:tcPr>
            <w:tcW w:w="19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Discount Rate:</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516" w:type="dxa"/>
            <w:tcBorders/>
            <w:shd w:fill="auto" w:val="clear"/>
            <w:vAlign w:val="center"/>
          </w:tcPr>
          <w:p>
            <w:pPr>
              <w:pStyle w:val="TableContents"/>
              <w:spacing w:before="0" w:after="0"/>
              <w:ind w:left="0" w:right="0" w:firstLine="200"/>
              <w:jc w:val="right"/>
              <w:rPr/>
            </w:pPr>
            <w:r>
              <w:rPr/>
              <w:t> </w:t>
            </w:r>
          </w:p>
        </w:tc>
      </w:tr>
      <w:tr>
        <w:trPr/>
        <w:tc>
          <w:tcPr>
            <w:tcW w:w="19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8.87</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7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10.50</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9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Finance lease</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8.52</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7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8.75</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undiscounted future lease payments for operating and finance leases as of March 31, 2023, were as follows (in thousands):</w:t>
      </w:r>
      <w:r>
        <w:rPr>
          <w:rFonts w:ascii="Times New Roman" w:hAnsi="Times New Roman"/>
          <w:sz w:val="20"/>
        </w:rPr>
        <w:t xml:space="preserve"> </w:t>
      </w:r>
    </w:p>
    <w:p>
      <w:pPr>
        <w:pStyle w:val="TextBody"/>
        <w:spacing w:before="0" w:after="0"/>
        <w:jc w:val="left"/>
        <w:rPr/>
      </w:pPr>
      <w:r>
        <w:rPr/>
        <w:t> </w:t>
      </w:r>
    </w:p>
    <w:tbl>
      <w:tblPr>
        <w:tblW w:w="6799" w:type="dxa"/>
        <w:jc w:val="left"/>
        <w:tblInd w:w="0" w:type="dxa"/>
        <w:tblCellMar>
          <w:top w:w="28" w:type="dxa"/>
          <w:left w:w="28" w:type="dxa"/>
          <w:bottom w:w="28" w:type="dxa"/>
          <w:right w:w="28" w:type="dxa"/>
        </w:tblCellMar>
      </w:tblPr>
      <w:tblGrid>
        <w:gridCol w:w="4486"/>
        <w:gridCol w:w="146"/>
        <w:gridCol w:w="146"/>
        <w:gridCol w:w="781"/>
        <w:gridCol w:w="166"/>
        <w:gridCol w:w="146"/>
        <w:gridCol w:w="146"/>
        <w:gridCol w:w="571"/>
        <w:gridCol w:w="211"/>
      </w:tblGrid>
      <w:tr>
        <w:trPr/>
        <w:tc>
          <w:tcPr>
            <w:tcW w:w="44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486" w:type="dxa"/>
            <w:tcBorders/>
            <w:shd w:fill="auto" w:val="clear"/>
            <w:vAlign w:val="center"/>
          </w:tcPr>
          <w:p>
            <w:pPr>
              <w:pStyle w:val="TableContents"/>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Fiscal Year</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Operating</w:t>
              <w:br/>
              <w:t>Leases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Finance</w:t>
              <w:br/>
              <w:t>Leases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 (excluding the first quarter)</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(15,639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1,084</w:t>
            </w:r>
          </w:p>
        </w:tc>
        <w:tc>
          <w:tcPr>
            <w:tcW w:w="211" w:type="dxa"/>
            <w:tcBorders/>
            <w:shd w:fill="auto" w:val="clear"/>
            <w:vAlign w:val="center"/>
          </w:tcPr>
          <w:p>
            <w:pPr>
              <w:pStyle w:val="TableContents"/>
              <w:spacing w:before="0" w:after="0"/>
              <w:ind w:left="0" w:right="0" w:hanging="0"/>
              <w:jc w:val="left"/>
              <w:rPr/>
            </w:pPr>
            <w:r>
              <w:rPr/>
              <w:t> </w:t>
            </w:r>
          </w:p>
        </w:tc>
      </w:tr>
      <w:tr>
        <w:trPr/>
        <w:tc>
          <w:tcPr>
            <w:tcW w:w="44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11,482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839</w:t>
            </w:r>
          </w:p>
        </w:tc>
        <w:tc>
          <w:tcPr>
            <w:tcW w:w="211" w:type="dxa"/>
            <w:tcBorders/>
            <w:shd w:fill="auto" w:val="clear"/>
            <w:vAlign w:val="center"/>
          </w:tcPr>
          <w:p>
            <w:pPr>
              <w:pStyle w:val="TableContents"/>
              <w:spacing w:before="0" w:after="0"/>
              <w:ind w:left="0" w:right="0" w:hanging="0"/>
              <w:jc w:val="left"/>
              <w:rPr/>
            </w:pPr>
            <w:r>
              <w:rPr/>
              <w:t> </w:t>
            </w:r>
          </w:p>
        </w:tc>
      </w:tr>
      <w:tr>
        <w:trPr/>
        <w:tc>
          <w:tcPr>
            <w:tcW w:w="44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12,142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402</w:t>
            </w:r>
          </w:p>
        </w:tc>
        <w:tc>
          <w:tcPr>
            <w:tcW w:w="211" w:type="dxa"/>
            <w:tcBorders/>
            <w:shd w:fill="auto" w:val="clear"/>
            <w:vAlign w:val="center"/>
          </w:tcPr>
          <w:p>
            <w:pPr>
              <w:pStyle w:val="TableContents"/>
              <w:spacing w:before="0" w:after="0"/>
              <w:ind w:left="0" w:right="0" w:hanging="0"/>
              <w:jc w:val="left"/>
              <w:rPr/>
            </w:pPr>
            <w:r>
              <w:rPr/>
              <w:t> </w:t>
            </w:r>
          </w:p>
        </w:tc>
      </w:tr>
      <w:tr>
        <w:trPr/>
        <w:tc>
          <w:tcPr>
            <w:tcW w:w="44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w:t>
            </w:r>
          </w:p>
        </w:tc>
        <w:tc>
          <w:tcPr>
            <w:tcW w:w="211" w:type="dxa"/>
            <w:tcBorders/>
            <w:shd w:fill="auto" w:val="clear"/>
            <w:vAlign w:val="center"/>
          </w:tcPr>
          <w:p>
            <w:pPr>
              <w:pStyle w:val="TableContents"/>
              <w:spacing w:before="0" w:after="0"/>
              <w:ind w:left="0" w:right="0" w:hanging="0"/>
              <w:jc w:val="left"/>
              <w:rPr/>
            </w:pPr>
            <w:r>
              <w:rPr/>
              <w:t> </w:t>
            </w:r>
          </w:p>
        </w:tc>
      </w:tr>
      <w:tr>
        <w:trPr/>
        <w:tc>
          <w:tcPr>
            <w:tcW w:w="44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211" w:type="dxa"/>
            <w:tcBorders/>
            <w:shd w:fill="auto" w:val="clear"/>
            <w:vAlign w:val="center"/>
          </w:tcPr>
          <w:p>
            <w:pPr>
              <w:pStyle w:val="TableContents"/>
              <w:spacing w:before="0" w:after="0"/>
              <w:ind w:left="0" w:right="0" w:hanging="0"/>
              <w:jc w:val="left"/>
              <w:rPr/>
            </w:pPr>
            <w:r>
              <w:rPr/>
              <w:t> </w:t>
            </w:r>
          </w:p>
        </w:tc>
      </w:tr>
      <w:tr>
        <w:trPr/>
        <w:tc>
          <w:tcPr>
            <w:tcW w:w="44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85,143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4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minimum lease payments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118,515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2,558</w:t>
            </w:r>
          </w:p>
        </w:tc>
        <w:tc>
          <w:tcPr>
            <w:tcW w:w="211" w:type="dxa"/>
            <w:tcBorders/>
            <w:shd w:fill="auto" w:val="clear"/>
            <w:vAlign w:val="center"/>
          </w:tcPr>
          <w:p>
            <w:pPr>
              <w:pStyle w:val="TableContents"/>
              <w:spacing w:before="0" w:after="0"/>
              <w:ind w:left="0" w:right="0" w:hanging="0"/>
              <w:jc w:val="left"/>
              <w:rPr/>
            </w:pPr>
            <w:r>
              <w:rPr/>
              <w:t> </w:t>
            </w:r>
          </w:p>
        </w:tc>
      </w:tr>
      <w:tr>
        <w:trPr/>
        <w:tc>
          <w:tcPr>
            <w:tcW w:w="44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amounts representing interest or imputed interest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Present value of lease liabilities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66,429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2,328</w:t>
            </w:r>
          </w:p>
        </w:tc>
        <w:tc>
          <w:tcPr>
            <w:tcW w:w="2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undiscounted future lease payments in 2023 includes approximately $17.6</w:t>
      </w:r>
      <w:r>
        <w:rPr>
          <w:rFonts w:ascii="Times New Roman" w:hAnsi="Times New Roman"/>
          <w:sz w:val="20"/>
        </w:rPr>
        <w:t xml:space="preserve"> </w:t>
      </w:r>
      <w:r>
        <w:rPr>
          <w:rFonts w:ascii="Times New Roman;serif" w:hAnsi="Times New Roman;serif"/>
          <w:b w:val="false"/>
          <w:sz w:val="20"/>
        </w:rPr>
        <w:t>million of future reimbursements related to landlord funded tenant improvements in connection with the 2021 Lease.</w:t>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sz w:val="20"/>
        </w:rPr>
        <w:t>8. Accrued Expenses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Accrued expenses consist of the following as of March 31, 2023 and December 31, 2022 (in thousands):</w:t>
      </w:r>
      <w:r>
        <w:rPr>
          <w:rFonts w:ascii="Times New Roman" w:hAnsi="Times New Roman"/>
          <w:sz w:val="20"/>
        </w:rPr>
        <w:t xml:space="preserve"> </w:t>
      </w:r>
    </w:p>
    <w:p>
      <w:pPr>
        <w:pStyle w:val="TextBody"/>
        <w:spacing w:before="0" w:after="0"/>
        <w:jc w:val="both"/>
        <w:rPr/>
      </w:pPr>
      <w:r>
        <w:rPr/>
        <w:t> </w:t>
      </w:r>
    </w:p>
    <w:tbl>
      <w:tblPr>
        <w:tblW w:w="5702" w:type="dxa"/>
        <w:jc w:val="left"/>
        <w:tblInd w:w="0" w:type="dxa"/>
        <w:tblCellMar>
          <w:top w:w="28" w:type="dxa"/>
          <w:left w:w="28" w:type="dxa"/>
          <w:bottom w:w="28" w:type="dxa"/>
          <w:right w:w="28" w:type="dxa"/>
        </w:tblCellMar>
      </w:tblPr>
      <w:tblGrid>
        <w:gridCol w:w="3091"/>
        <w:gridCol w:w="146"/>
        <w:gridCol w:w="211"/>
        <w:gridCol w:w="676"/>
        <w:gridCol w:w="146"/>
        <w:gridCol w:w="146"/>
        <w:gridCol w:w="260"/>
        <w:gridCol w:w="835"/>
        <w:gridCol w:w="191"/>
      </w:tblGrid>
      <w:tr>
        <w:trPr/>
        <w:tc>
          <w:tcPr>
            <w:tcW w:w="30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16,975</w:t>
            </w:r>
          </w:p>
        </w:tc>
        <w:tc>
          <w:tcPr>
            <w:tcW w:w="191"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Payroll and payroll-related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8,149</w:t>
            </w:r>
          </w:p>
        </w:tc>
        <w:tc>
          <w:tcPr>
            <w:tcW w:w="191"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Professional fees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1,971</w:t>
            </w:r>
          </w:p>
        </w:tc>
        <w:tc>
          <w:tcPr>
            <w:tcW w:w="191"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18,502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27,502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sz w:val="20"/>
        </w:rPr>
        <w:t>9. Other Commitments and Contingencies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i/>
          <w:sz w:val="20"/>
        </w:rPr>
        <w:t>Legal Proceedings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legal proceedings.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i/>
          <w:sz w:val="20"/>
        </w:rPr>
        <w:t>Indemnification Arrangements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As permitted under Delaware law, the Company has agreements whereby it indemnifies its investors, employees, officers, and directors (collectively, the “Indemnified Parties”) for certain events or occurrences while the Indemnified Parties are, or were serving, at its request in such capacity. The term of the indemnification period is for the Indemnified Parties’ lifetime. The Company believes the estimated fair value of these indemnification agreements is minimal. The Company enters into standard indemnification agreements in the ordinary course of business. Pursuant to these agreements, the Company indemnifies, holds harmless, and agrees to reimburse the indemnified party for losses suffered or incurred by the indemnified party, generally the Company’s business partners or customers, in connection with any U.S. patent or any copyright or other intellectual property infringement claim by any third party with respect to the Company’s products. The maximum potential amount of future payments the Company could be required to make under these indemnification agreements is unlimited. The Company is not aware of any claims under indemnification arrangements, and it has not accrued any liabilities related to such obligations as of March 31, 2023 or December 31, 2022.</w:t>
      </w:r>
      <w:r>
        <w:rPr>
          <w:rFonts w:ascii="Times New Roman" w:hAnsi="Times New Roman"/>
          <w:sz w:val="20"/>
        </w:rPr>
        <w:t xml:space="preserve"> </w:t>
      </w:r>
    </w:p>
    <w:p>
      <w:pPr>
        <w:pStyle w:val="TextBody"/>
        <w:spacing w:before="0" w:after="0"/>
        <w:jc w:val="left"/>
        <w:rPr/>
      </w:pPr>
      <w:r>
        <w:rPr/>
        <w:t> </w:t>
      </w:r>
    </w:p>
    <w:p>
      <w:pPr>
        <w:pStyle w:val="TextBody"/>
        <w:spacing w:before="360" w:after="0"/>
        <w:jc w:val="both"/>
        <w:rPr>
          <w:rFonts w:ascii="Times New Roman" w:hAnsi="Times New Roman"/>
          <w:sz w:val="20"/>
        </w:rPr>
      </w:pPr>
      <w:r>
        <w:rPr>
          <w:rFonts w:ascii="Times New Roman;serif" w:hAnsi="Times New Roman;serif"/>
          <w:b/>
          <w:sz w:val="20"/>
        </w:rPr>
        <w:t>10. Equity-Based Compensation</w:t>
      </w:r>
      <w:r>
        <w:rPr>
          <w:rFonts w:ascii="Times New Roman" w:hAnsi="Times New Roman"/>
          <w:sz w:val="20"/>
        </w:rPr>
        <w:t xml:space="preserve"> </w:t>
      </w:r>
    </w:p>
    <w:p>
      <w:pPr>
        <w:pStyle w:val="TextBody"/>
        <w:spacing w:before="120" w:after="0"/>
        <w:jc w:val="both"/>
        <w:rPr>
          <w:rFonts w:ascii="Times New Roman;serif" w:hAnsi="Times New Roman;serif"/>
          <w:b/>
          <w:i/>
          <w:sz w:val="20"/>
        </w:rPr>
      </w:pPr>
      <w:r>
        <w:rPr>
          <w:rFonts w:ascii="Times New Roman;serif" w:hAnsi="Times New Roman;serif"/>
          <w:b/>
          <w:i/>
          <w:sz w:val="20"/>
        </w:rPr>
        <w:t>2018 Stock Option and Grant Plan</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In November 2018, the Company adopted, and its stockholders approved, the 2018 Stock Option and Grant Plan (the “2018 Plan”), which provides for the granting of stock options and other equity-based awards at the discretion of the Board of Directors or any subcommittee of the Board of Directors to the Company’s employees, officers, directors, and independent contractors. No further grants will be made under the 2018 Plan. However, the 2018 Plan will continue to govern outstanding equity awards granted thereunder. To the extent outstanding options granted under the 2018 Plan are cancelled, forfeited or otherwise terminated without being exercised and would otherwise have been returned to the share reserve under the 2018 Plan, the number of shares underlying such awards will be available for future grant under the 2020 Stock Option and Incentive Plan.</w:t>
      </w:r>
    </w:p>
    <w:p>
      <w:pPr>
        <w:pStyle w:val="TextBody"/>
        <w:spacing w:before="360" w:after="0"/>
        <w:jc w:val="both"/>
        <w:rPr>
          <w:rFonts w:ascii="Times New Roman" w:hAnsi="Times New Roman"/>
          <w:sz w:val="20"/>
        </w:rPr>
      </w:pPr>
      <w:r>
        <w:rPr>
          <w:rFonts w:ascii="Times New Roman;serif" w:hAnsi="Times New Roman;serif"/>
          <w:b/>
          <w:i/>
          <w:sz w:val="20"/>
        </w:rPr>
        <w:t>2020 Stock Option and Incentive Plan</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In August 2020, the Company and its stockholders approved the 2020 Stock Option and Incentive Plan (the “2020 Plan”), which became effective on August 20, 2020. The 2020 Plan replaced the 2018 Plan as the Company’s Board of Directors has determined not to make additional awards under the 2018 Plan following the closing of the Company’s IPO. The 2020 Plan allows the Company to make equity-based and cash-based incentive awards to its officers, employees, directors and consultants. The Company has initially reserved 4,457,370</w:t>
      </w:r>
      <w:r>
        <w:rPr>
          <w:rFonts w:ascii="Times New Roman" w:hAnsi="Times New Roman"/>
          <w:sz w:val="20"/>
        </w:rPr>
        <w:t xml:space="preserve"> </w:t>
      </w:r>
      <w:r>
        <w:rPr>
          <w:rFonts w:ascii="Times New Roman;serif" w:hAnsi="Times New Roman;serif"/>
          <w:b w:val="false"/>
          <w:sz w:val="20"/>
        </w:rPr>
        <w:t>shares of its common stock for the issuance of awards under the 2020 Plan, which includes the shares of common stock remaining available for issuance under its 2018 Plan as of the business day immediately prior to the effective date of the registration statement. The 2020 Plan provides that the number of shares reserved and available for issuance will automatically increase on January 1, 2021 and each January 1 thereafter, by 4% of the Company’s outstanding number of shares of common stock on the immediately preceding December 31, or such lesser number of shares as determined by the Company’s compensation committee. These limits are subject to adjustment in the event of a stock split, stock dividend or other change in the Company’s capitalization. As of March 31, 2023,</w:t>
      </w:r>
      <w:r>
        <w:rPr>
          <w:rFonts w:ascii="Times New Roman" w:hAnsi="Times New Roman"/>
          <w:sz w:val="20"/>
        </w:rPr>
        <w:t xml:space="preserve"> </w:t>
      </w:r>
      <w:r>
        <w:rPr>
          <w:rFonts w:ascii="Times New Roman;serif" w:hAnsi="Times New Roman;serif"/>
          <w:b w:val="false"/>
          <w:sz w:val="20"/>
        </w:rPr>
        <w:t>there were an aggregate of 4,003,824</w:t>
      </w:r>
      <w:r>
        <w:rPr>
          <w:rFonts w:ascii="Times New Roman" w:hAnsi="Times New Roman"/>
          <w:sz w:val="20"/>
        </w:rPr>
        <w:t xml:space="preserve"> </w:t>
      </w:r>
      <w:r>
        <w:rPr>
          <w:rFonts w:ascii="Times New Roman;serif" w:hAnsi="Times New Roman;serif"/>
          <w:b w:val="false"/>
          <w:sz w:val="20"/>
        </w:rPr>
        <w:t>shares remaining available for future grants.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360" w:after="0"/>
        <w:jc w:val="both"/>
        <w:rPr>
          <w:rFonts w:ascii="Times New Roman" w:hAnsi="Times New Roman"/>
          <w:sz w:val="20"/>
        </w:rPr>
      </w:pPr>
      <w:r>
        <w:rPr>
          <w:rFonts w:ascii="Times New Roman;serif" w:hAnsi="Times New Roman;serif"/>
          <w:b/>
          <w:i/>
          <w:sz w:val="20"/>
        </w:rPr>
        <w:t>2020 Employee Stock Purchase Plan</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In August 2020, the Company and its stockholders approved the 2020 Employee Stock Purchase Plan (the “2020 ESPP”), which became effective August 20, 2020. The 2020 ESPP initially reserves and authorizes the issuance of up to a total of 445,653</w:t>
      </w:r>
      <w:r>
        <w:rPr>
          <w:rFonts w:ascii="Times New Roman;serif" w:hAnsi="Times New Roman;serif"/>
          <w:sz w:val="20"/>
        </w:rPr>
        <w:t xml:space="preserve"> </w:t>
      </w:r>
      <w:r>
        <w:rPr>
          <w:rFonts w:ascii="Times New Roman;serif" w:hAnsi="Times New Roman;serif"/>
          <w:b w:val="false"/>
          <w:sz w:val="20"/>
        </w:rPr>
        <w:t>shares of common stock to participating employees. The 2020 ESPP provides that the number of shares reserved and available for issuance will automatically increase on January 1, 2021 and each January 1 thereafter through January 1, 2030, by the lesser of (i) 438,898</w:t>
      </w:r>
      <w:r>
        <w:rPr>
          <w:rFonts w:ascii="Times New Roman;serif" w:hAnsi="Times New Roman;serif"/>
          <w:sz w:val="20"/>
        </w:rPr>
        <w:t xml:space="preserve"> </w:t>
      </w:r>
      <w:r>
        <w:rPr>
          <w:rFonts w:ascii="Times New Roman;serif" w:hAnsi="Times New Roman;serif"/>
          <w:b w:val="false"/>
          <w:sz w:val="20"/>
        </w:rPr>
        <w:t>shares of common stock, (ii) 1% of the Company’s outstanding number of shares of common stock on the immediately preceding December 31 or (iii) such lesser number of shares of common stock as determined by the administrator of the 2020 ESPP. The number of shares reserved under the 2020 ESPP is subject to adjustment in the event of</w:t>
      </w:r>
      <w:r>
        <w:rPr>
          <w:rFonts w:ascii="Times New Roman" w:hAnsi="Times New Roman"/>
          <w:sz w:val="20"/>
        </w:rPr>
        <w:t xml:space="preserve"> </w:t>
      </w:r>
      <w:r>
        <w:rPr>
          <w:rFonts w:ascii="Times New Roman;serif" w:hAnsi="Times New Roman;serif"/>
          <w:b w:val="false"/>
          <w:sz w:val="20"/>
        </w:rPr>
        <w:t>a stock split, stock dividend or other change in the Company’s capitalization. As of March 31, 2023, there were an aggregate</w:t>
      </w:r>
      <w:r>
        <w:rPr>
          <w:rFonts w:ascii="Times New Roman" w:hAnsi="Times New Roman"/>
          <w:sz w:val="20"/>
        </w:rPr>
        <w:t xml:space="preserve"> </w:t>
      </w:r>
      <w:r>
        <w:rPr>
          <w:rFonts w:ascii="Times New Roman;serif" w:hAnsi="Times New Roman;serif"/>
          <w:b w:val="false"/>
          <w:sz w:val="20"/>
        </w:rPr>
        <w:t>1,647,150</w:t>
      </w:r>
      <w:r>
        <w:rPr>
          <w:rFonts w:ascii="Times New Roman" w:hAnsi="Times New Roman"/>
          <w:sz w:val="20"/>
        </w:rPr>
        <w:t xml:space="preserve"> </w:t>
      </w:r>
      <w:r>
        <w:rPr>
          <w:rFonts w:ascii="Times New Roman;serif" w:hAnsi="Times New Roman;serif"/>
          <w:b w:val="false"/>
          <w:sz w:val="20"/>
        </w:rPr>
        <w:t>shares remaining available for future grants.</w:t>
      </w:r>
    </w:p>
    <w:p>
      <w:pPr>
        <w:pStyle w:val="TextBody"/>
        <w:spacing w:before="360" w:after="0"/>
        <w:jc w:val="both"/>
        <w:rPr>
          <w:rFonts w:ascii="Times New Roman" w:hAnsi="Times New Roman"/>
          <w:sz w:val="20"/>
        </w:rPr>
      </w:pPr>
      <w:r>
        <w:rPr>
          <w:rFonts w:ascii="Times New Roman;serif" w:hAnsi="Times New Roman;serif"/>
          <w:b/>
          <w:i/>
          <w:sz w:val="20"/>
        </w:rPr>
        <w:t>Stock Options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A summary of stock option activity under the 2020 Plan during the three months ended March 31, 2023 is as follows (in thousands except share and per share data):</w:t>
      </w:r>
      <w:r>
        <w:rPr>
          <w:rFonts w:ascii="Times New Roman" w:hAnsi="Times New Roman"/>
          <w:sz w:val="20"/>
        </w:rPr>
        <w:t xml:space="preserve"> </w:t>
      </w:r>
    </w:p>
    <w:p>
      <w:pPr>
        <w:pStyle w:val="TextBody"/>
        <w:spacing w:before="0" w:after="0"/>
        <w:jc w:val="both"/>
        <w:rPr/>
      </w:pPr>
      <w:r>
        <w:rPr/>
        <w:t> </w:t>
      </w:r>
    </w:p>
    <w:tbl>
      <w:tblPr>
        <w:tblW w:w="8125" w:type="dxa"/>
        <w:jc w:val="left"/>
        <w:tblInd w:w="0" w:type="dxa"/>
        <w:tblCellMar>
          <w:top w:w="28" w:type="dxa"/>
          <w:left w:w="28" w:type="dxa"/>
          <w:bottom w:w="28" w:type="dxa"/>
          <w:right w:w="28" w:type="dxa"/>
        </w:tblCellMar>
      </w:tblPr>
      <w:tblGrid>
        <w:gridCol w:w="2941"/>
        <w:gridCol w:w="146"/>
        <w:gridCol w:w="146"/>
        <w:gridCol w:w="931"/>
        <w:gridCol w:w="166"/>
        <w:gridCol w:w="146"/>
        <w:gridCol w:w="214"/>
        <w:gridCol w:w="582"/>
        <w:gridCol w:w="146"/>
        <w:gridCol w:w="146"/>
        <w:gridCol w:w="236"/>
        <w:gridCol w:w="755"/>
        <w:gridCol w:w="146"/>
        <w:gridCol w:w="146"/>
        <w:gridCol w:w="211"/>
        <w:gridCol w:w="676"/>
        <w:gridCol w:w="391"/>
      </w:tblGrid>
      <w:tr>
        <w:trPr/>
        <w:tc>
          <w:tcPr>
            <w:tcW w:w="29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9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Options</w:t>
              <w:br/>
              <w:t>Outstanding</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Strike</w:t>
              <w:br/>
              <w:t>Price per</w:t>
              <w:br/>
              <w:t>Option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Remaining</w:t>
              <w:br/>
              <w:t>Contractual</w:t>
              <w:br/>
              <w:t>Term</w:t>
              <w:br/>
              <w:t>(in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w:t>
              <w:br/>
              <w:t>Intrinsic</w:t>
              <w:br/>
              <w:t>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6,757,289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27.60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55,934</w:t>
            </w:r>
          </w:p>
        </w:tc>
        <w:tc>
          <w:tcPr>
            <w:tcW w:w="391" w:type="dxa"/>
            <w:tcBorders/>
            <w:shd w:fill="auto" w:val="clear"/>
            <w:vAlign w:val="center"/>
          </w:tcPr>
          <w:p>
            <w:pPr>
              <w:pStyle w:val="TableContents"/>
              <w:spacing w:before="0" w:after="0"/>
              <w:ind w:left="0" w:right="0" w:firstLine="200"/>
              <w:jc w:val="left"/>
              <w:rPr/>
            </w:pPr>
            <w:r>
              <w:rPr/>
              <w:t> </w:t>
            </w:r>
          </w:p>
        </w:tc>
      </w:tr>
      <w:tr>
        <w:trPr/>
        <w:tc>
          <w:tcPr>
            <w:tcW w:w="29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1,930,540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5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9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(208,705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5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9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(187,393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5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8,291,731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28.70</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67,120</w:t>
            </w:r>
          </w:p>
        </w:tc>
        <w:tc>
          <w:tcPr>
            <w:tcW w:w="391" w:type="dxa"/>
            <w:tcBorders/>
            <w:shd w:fill="auto" w:val="clear"/>
            <w:vAlign w:val="center"/>
          </w:tcPr>
          <w:p>
            <w:pPr>
              <w:pStyle w:val="TableContents"/>
              <w:spacing w:before="0" w:after="0"/>
              <w:ind w:left="0" w:right="0" w:hanging="0"/>
              <w:jc w:val="left"/>
              <w:rPr/>
            </w:pPr>
            <w:r>
              <w:rPr/>
              <w:t> </w:t>
            </w:r>
          </w:p>
        </w:tc>
      </w:tr>
      <w:tr>
        <w:trPr/>
        <w:tc>
          <w:tcPr>
            <w:tcW w:w="29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Exercisable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3,711,610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48,572</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intrinsic value of stock options exercised during the three months ended March 31, 2023 and 2022 was $5.5</w:t>
      </w:r>
      <w:r>
        <w:rPr>
          <w:rFonts w:ascii="Times New Roman" w:hAnsi="Times New Roman"/>
          <w:sz w:val="20"/>
        </w:rPr>
        <w:t xml:space="preserve"> </w:t>
      </w:r>
      <w:r>
        <w:rPr>
          <w:rFonts w:ascii="Times New Roman;serif" w:hAnsi="Times New Roman;serif"/>
          <w:b w:val="false"/>
          <w:sz w:val="20"/>
        </w:rPr>
        <w:t>million and $6.2</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weighted-average fair value of options granted during the three months ended March 31, 2023</w:t>
      </w:r>
      <w:r>
        <w:rPr>
          <w:rFonts w:ascii="Times New Roman" w:hAnsi="Times New Roman"/>
          <w:sz w:val="20"/>
        </w:rPr>
        <w:t xml:space="preserve"> </w:t>
      </w:r>
      <w:r>
        <w:rPr>
          <w:rFonts w:ascii="Times New Roman;serif" w:hAnsi="Times New Roman;serif"/>
          <w:b w:val="false"/>
          <w:sz w:val="20"/>
        </w:rPr>
        <w:t>and 2022 was $18.67</w:t>
      </w:r>
      <w:r>
        <w:rPr>
          <w:rFonts w:ascii="Times New Roman" w:hAnsi="Times New Roman"/>
          <w:sz w:val="20"/>
        </w:rPr>
        <w:t xml:space="preserve"> </w:t>
      </w:r>
      <w:r>
        <w:rPr>
          <w:rFonts w:ascii="Times New Roman;serif" w:hAnsi="Times New Roman;serif"/>
          <w:b w:val="false"/>
          <w:sz w:val="20"/>
        </w:rPr>
        <w:t>and $22.96</w:t>
      </w:r>
      <w:r>
        <w:rPr>
          <w:rFonts w:ascii="Times New Roman" w:hAnsi="Times New Roman"/>
          <w:sz w:val="20"/>
        </w:rPr>
        <w:t xml:space="preserve"> </w:t>
      </w:r>
      <w:r>
        <w:rPr>
          <w:rFonts w:ascii="Times New Roman;serif" w:hAnsi="Times New Roman;serif"/>
          <w:b w:val="false"/>
          <w:sz w:val="20"/>
        </w:rPr>
        <w:t>per share, respectively.</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As of March 31, 2023, the total unrecognized stock-based compensation expense for unvested stock options was $82.5</w:t>
      </w:r>
      <w:r>
        <w:rPr>
          <w:rFonts w:ascii="Times New Roman" w:hAnsi="Times New Roman"/>
          <w:sz w:val="20"/>
        </w:rPr>
        <w:t xml:space="preserve"> </w:t>
      </w:r>
      <w:r>
        <w:rPr>
          <w:rFonts w:ascii="Times New Roman;serif" w:hAnsi="Times New Roman;serif"/>
          <w:b w:val="false"/>
          <w:sz w:val="20"/>
        </w:rPr>
        <w:t>million, with a weighted average recognition period of 2.4</w:t>
      </w:r>
      <w:r>
        <w:rPr>
          <w:rFonts w:ascii="Times New Roman" w:hAnsi="Times New Roman"/>
          <w:sz w:val="20"/>
        </w:rPr>
        <w:t xml:space="preserve"> </w:t>
      </w:r>
      <w:r>
        <w:rPr>
          <w:rFonts w:ascii="Times New Roman;serif" w:hAnsi="Times New Roman;serif"/>
          <w:b w:val="false"/>
          <w:sz w:val="20"/>
        </w:rPr>
        <w:t>years.</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The following table outlines our equity-based compensation expense for stock options for the three months ended March 31, 2023 and 2022:</w:t>
      </w:r>
    </w:p>
    <w:p>
      <w:pPr>
        <w:pStyle w:val="TextBody"/>
        <w:spacing w:before="0" w:after="0"/>
        <w:jc w:val="both"/>
        <w:rPr/>
      </w:pPr>
      <w:r>
        <w:rPr/>
        <w:t> </w:t>
      </w:r>
    </w:p>
    <w:tbl>
      <w:tblPr>
        <w:tblW w:w="5029" w:type="dxa"/>
        <w:jc w:val="left"/>
        <w:tblInd w:w="0" w:type="dxa"/>
        <w:tblCellMar>
          <w:top w:w="28" w:type="dxa"/>
          <w:left w:w="28" w:type="dxa"/>
          <w:bottom w:w="28" w:type="dxa"/>
          <w:right w:w="28" w:type="dxa"/>
        </w:tblCellMar>
      </w:tblPr>
      <w:tblGrid>
        <w:gridCol w:w="2836"/>
        <w:gridCol w:w="146"/>
        <w:gridCol w:w="211"/>
        <w:gridCol w:w="571"/>
        <w:gridCol w:w="146"/>
        <w:gridCol w:w="146"/>
        <w:gridCol w:w="211"/>
        <w:gridCol w:w="571"/>
        <w:gridCol w:w="191"/>
      </w:tblGrid>
      <w:tr>
        <w:trPr/>
        <w:tc>
          <w:tcPr>
            <w:tcW w:w="28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8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3,689</w:t>
            </w:r>
          </w:p>
        </w:tc>
        <w:tc>
          <w:tcPr>
            <w:tcW w:w="191" w:type="dxa"/>
            <w:tcBorders/>
            <w:shd w:fill="auto" w:val="clear"/>
            <w:vAlign w:val="center"/>
          </w:tcPr>
          <w:p>
            <w:pPr>
              <w:pStyle w:val="TableContents"/>
              <w:spacing w:before="0" w:after="0"/>
              <w:ind w:left="0" w:right="0" w:hanging="0"/>
              <w:jc w:val="left"/>
              <w:rPr/>
            </w:pPr>
            <w:r>
              <w:rPr/>
              <w:t> </w:t>
            </w:r>
          </w:p>
        </w:tc>
      </w:tr>
      <w:tr>
        <w:trPr/>
        <w:tc>
          <w:tcPr>
            <w:tcW w:w="2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4,349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3,912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equity-based compensation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8,533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7,601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The weighted-average assumptions that the Company used in the Black-Scholes option pricing model to determine the grant date fair value of stock options granted to employees and non-employees for the three months ended March 31, 2023 and 2022 were as follows:</w:t>
      </w:r>
      <w:r>
        <w:rPr>
          <w:rFonts w:ascii="Times New Roman" w:hAnsi="Times New Roman"/>
          <w:sz w:val="20"/>
        </w:rPr>
        <w:t xml:space="preserve"> </w:t>
      </w:r>
    </w:p>
    <w:p>
      <w:pPr>
        <w:pStyle w:val="TextBody"/>
        <w:spacing w:before="0" w:after="0"/>
        <w:jc w:val="center"/>
        <w:rPr/>
      </w:pPr>
      <w:r>
        <w:rPr/>
        <w:t> </w:t>
      </w:r>
    </w:p>
    <w:tbl>
      <w:tblPr>
        <w:tblW w:w="4189" w:type="dxa"/>
        <w:jc w:val="left"/>
        <w:tblInd w:w="0" w:type="dxa"/>
        <w:tblCellMar>
          <w:top w:w="28" w:type="dxa"/>
          <w:left w:w="28" w:type="dxa"/>
          <w:bottom w:w="28" w:type="dxa"/>
          <w:right w:w="28" w:type="dxa"/>
        </w:tblCellMar>
      </w:tblPr>
      <w:tblGrid>
        <w:gridCol w:w="2086"/>
        <w:gridCol w:w="146"/>
        <w:gridCol w:w="146"/>
        <w:gridCol w:w="466"/>
        <w:gridCol w:w="271"/>
        <w:gridCol w:w="146"/>
        <w:gridCol w:w="146"/>
        <w:gridCol w:w="466"/>
        <w:gridCol w:w="316"/>
      </w:tblGrid>
      <w:tr>
        <w:trPr/>
        <w:tc>
          <w:tcPr>
            <w:tcW w:w="2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4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(in years)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5.81</w:t>
            </w:r>
          </w:p>
        </w:tc>
        <w:tc>
          <w:tcPr>
            <w:tcW w:w="316"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Volatility</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i/>
          <w:sz w:val="20"/>
        </w:rPr>
        <w:t>Restricted Common Stock</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Company has granted shares of restricted common stock with service-based and performance-based vesting conditions. A summary of restricted stock activity during the three months ended March 31, 2023 is as follows:</w:t>
      </w:r>
      <w:r>
        <w:rPr>
          <w:rFonts w:ascii="Times New Roman" w:hAnsi="Times New Roman"/>
          <w:sz w:val="20"/>
        </w:rPr>
        <w:t xml:space="preserve"> </w:t>
      </w:r>
    </w:p>
    <w:p>
      <w:pPr>
        <w:pStyle w:val="TextBody"/>
        <w:spacing w:before="0" w:after="0"/>
        <w:jc w:val="left"/>
        <w:rPr/>
      </w:pPr>
      <w:r>
        <w:rPr/>
        <w:t> </w:t>
      </w:r>
    </w:p>
    <w:tbl>
      <w:tblPr>
        <w:tblW w:w="5501" w:type="dxa"/>
        <w:jc w:val="left"/>
        <w:tblInd w:w="0" w:type="dxa"/>
        <w:tblCellMar>
          <w:top w:w="28" w:type="dxa"/>
          <w:left w:w="28" w:type="dxa"/>
          <w:bottom w:w="28" w:type="dxa"/>
          <w:right w:w="28" w:type="dxa"/>
        </w:tblCellMar>
      </w:tblPr>
      <w:tblGrid>
        <w:gridCol w:w="2701"/>
        <w:gridCol w:w="146"/>
        <w:gridCol w:w="158"/>
        <w:gridCol w:w="848"/>
        <w:gridCol w:w="166"/>
        <w:gridCol w:w="146"/>
        <w:gridCol w:w="255"/>
        <w:gridCol w:w="690"/>
        <w:gridCol w:w="391"/>
      </w:tblGrid>
      <w:tr>
        <w:trPr/>
        <w:tc>
          <w:tcPr>
            <w:tcW w:w="27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7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Units</w:t>
              <w:br/>
              <w:t>Outstanding</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Grant Date</w:t>
              <w:br/>
              <w:t>Fair Value</w:t>
              <w:br/>
              <w:t>per Share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December 31, 2022</w:t>
            </w:r>
          </w:p>
        </w:tc>
        <w:tc>
          <w:tcPr>
            <w:tcW w:w="146" w:type="dxa"/>
            <w:tcBorders/>
            <w:shd w:fill="auto" w:val="clear"/>
            <w:vAlign w:val="center"/>
          </w:tcPr>
          <w:p>
            <w:pPr>
              <w:pStyle w:val="TableContents"/>
              <w:spacing w:before="0" w:after="0"/>
              <w:ind w:left="0" w:right="0" w:hanging="0"/>
              <w:jc w:val="left"/>
              <w:rPr/>
            </w:pPr>
            <w:r>
              <w:rPr/>
              <w:t> </w:t>
            </w:r>
          </w:p>
        </w:tc>
        <w:tc>
          <w:tcPr>
            <w:tcW w:w="1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281,843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8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216,289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30.84</w:t>
            </w:r>
          </w:p>
        </w:tc>
        <w:tc>
          <w:tcPr>
            <w:tcW w:w="391" w:type="dxa"/>
            <w:tcBorders/>
            <w:shd w:fill="auto" w:val="clear"/>
            <w:vAlign w:val="center"/>
          </w:tcPr>
          <w:p>
            <w:pPr>
              <w:pStyle w:val="TableContents"/>
              <w:spacing w:before="0" w:after="0"/>
              <w:ind w:left="0" w:right="0" w:firstLine="200"/>
              <w:jc w:val="left"/>
              <w:rPr/>
            </w:pPr>
            <w:r>
              <w:rPr/>
              <w:t> </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8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(28,141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69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38.53</w:t>
            </w:r>
          </w:p>
        </w:tc>
        <w:tc>
          <w:tcPr>
            <w:tcW w:w="391" w:type="dxa"/>
            <w:tcBorders/>
            <w:shd w:fill="auto" w:val="clear"/>
            <w:vAlign w:val="center"/>
          </w:tcPr>
          <w:p>
            <w:pPr>
              <w:pStyle w:val="TableContents"/>
              <w:spacing w:before="0" w:after="0"/>
              <w:ind w:left="0" w:right="0" w:firstLine="200"/>
              <w:jc w:val="left"/>
              <w:rPr/>
            </w:pPr>
            <w:r>
              <w:rPr/>
              <w:t> </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left"/>
              <w:rPr/>
            </w:pPr>
            <w:r>
              <w:rPr/>
              <w:t> </w:t>
            </w:r>
          </w:p>
        </w:tc>
        <w:tc>
          <w:tcPr>
            <w:tcW w:w="1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(17,270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March 31, 2023</w:t>
            </w:r>
          </w:p>
        </w:tc>
        <w:tc>
          <w:tcPr>
            <w:tcW w:w="146" w:type="dxa"/>
            <w:tcBorders/>
            <w:shd w:fill="auto" w:val="clear"/>
            <w:vAlign w:val="center"/>
          </w:tcPr>
          <w:p>
            <w:pPr>
              <w:pStyle w:val="TableContents"/>
              <w:spacing w:before="0" w:after="0"/>
              <w:ind w:left="0" w:right="0" w:hanging="0"/>
              <w:jc w:val="left"/>
              <w:rPr/>
            </w:pPr>
            <w:r>
              <w:rPr/>
              <w:t> </w:t>
            </w:r>
          </w:p>
        </w:tc>
        <w:tc>
          <w:tcPr>
            <w:tcW w:w="1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452,721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During the three months ended March 31, 2023 and 2022, the Company granted 216,289</w:t>
      </w:r>
      <w:r>
        <w:rPr>
          <w:rFonts w:ascii="Times New Roman" w:hAnsi="Times New Roman"/>
          <w:sz w:val="20"/>
        </w:rPr>
        <w:t xml:space="preserve"> </w:t>
      </w:r>
      <w:r>
        <w:rPr>
          <w:rFonts w:ascii="Times New Roman;serif" w:hAnsi="Times New Roman;serif"/>
          <w:b w:val="false"/>
          <w:sz w:val="20"/>
        </w:rPr>
        <w:t>and 97,974</w:t>
      </w:r>
      <w:r>
        <w:rPr>
          <w:rFonts w:ascii="Times New Roman" w:hAnsi="Times New Roman"/>
          <w:sz w:val="20"/>
        </w:rPr>
        <w:t xml:space="preserve"> </w:t>
      </w:r>
      <w:r>
        <w:rPr>
          <w:rFonts w:ascii="Times New Roman;serif" w:hAnsi="Times New Roman;serif"/>
          <w:b w:val="false"/>
          <w:sz w:val="20"/>
        </w:rPr>
        <w:t>shares of restricted common stock, respectively. As of March 31, 2023, the total unrecognized stock-based compensation expense for unvested restricted stock was $10.9</w:t>
      </w:r>
      <w:r>
        <w:rPr>
          <w:rFonts w:ascii="Times New Roman" w:hAnsi="Times New Roman"/>
          <w:sz w:val="20"/>
        </w:rPr>
        <w:t xml:space="preserve"> </w:t>
      </w:r>
      <w:r>
        <w:rPr>
          <w:rFonts w:ascii="Times New Roman;serif" w:hAnsi="Times New Roman;serif"/>
          <w:b w:val="false"/>
          <w:sz w:val="20"/>
        </w:rPr>
        <w:t>million with a weighted average recognition period of 2.8 years.</w:t>
      </w:r>
    </w:p>
    <w:p>
      <w:pPr>
        <w:pStyle w:val="TextBody"/>
        <w:spacing w:before="240" w:after="0"/>
        <w:jc w:val="both"/>
        <w:rPr>
          <w:rFonts w:ascii="Times New Roman" w:hAnsi="Times New Roman"/>
          <w:sz w:val="20"/>
        </w:rPr>
      </w:pPr>
      <w:r>
        <w:rPr>
          <w:rFonts w:ascii="Times New Roman;serif" w:hAnsi="Times New Roman;serif"/>
          <w:b w:val="false"/>
          <w:sz w:val="20"/>
        </w:rPr>
        <w:t>During the three months ended March 31, 2023 the Company recognized approximately $0.6</w:t>
      </w:r>
      <w:r>
        <w:rPr>
          <w:rFonts w:ascii="Times New Roman" w:hAnsi="Times New Roman"/>
          <w:sz w:val="20"/>
        </w:rPr>
        <w:t xml:space="preserve"> </w:t>
      </w:r>
      <w:r>
        <w:rPr>
          <w:rFonts w:ascii="Times New Roman;serif" w:hAnsi="Times New Roman;serif"/>
          <w:b w:val="false"/>
          <w:sz w:val="20"/>
        </w:rPr>
        <w:t>million of expense for restricted stock of which $0.4</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was recorded in research and development and general and administrative expense, respectively. During the three months ended March 31, 2022 the Company recognized approximately $0.1</w:t>
      </w:r>
      <w:r>
        <w:rPr>
          <w:rFonts w:ascii="Times New Roman" w:hAnsi="Times New Roman"/>
          <w:sz w:val="20"/>
        </w:rPr>
        <w:t xml:space="preserve"> </w:t>
      </w:r>
      <w:r>
        <w:rPr>
          <w:rFonts w:ascii="Times New Roman;serif" w:hAnsi="Times New Roman;serif"/>
          <w:b w:val="false"/>
          <w:sz w:val="20"/>
        </w:rPr>
        <w:t>million for restricted stock of which an immaterial amount were included in research and development and general and administrative expense, respectively</w:t>
      </w:r>
    </w:p>
    <w:p>
      <w:pPr>
        <w:pStyle w:val="TextBody"/>
        <w:spacing w:before="360" w:after="0"/>
        <w:jc w:val="both"/>
        <w:rPr>
          <w:rFonts w:ascii="Times New Roman" w:hAnsi="Times New Roman"/>
          <w:sz w:val="20"/>
        </w:rPr>
      </w:pPr>
      <w:r>
        <w:rPr>
          <w:rFonts w:ascii="Times New Roman;serif" w:hAnsi="Times New Roman;serif"/>
          <w:b/>
          <w:i/>
          <w:sz w:val="20"/>
        </w:rPr>
        <w:t>Equity-Based Compensation Expense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Total equity-based compensation expense recorded as research and development and general and administrative expenses for employees, directors, and non-employees during the three months ended March 31, 2023 and 2022 is as follows (in thousands):</w:t>
      </w:r>
      <w:r>
        <w:rPr>
          <w:rFonts w:ascii="Times New Roman" w:hAnsi="Times New Roman"/>
          <w:sz w:val="20"/>
        </w:rPr>
        <w:t xml:space="preserve"> </w:t>
      </w:r>
    </w:p>
    <w:p>
      <w:pPr>
        <w:pStyle w:val="TextBody"/>
        <w:spacing w:before="0" w:after="0"/>
        <w:jc w:val="left"/>
        <w:rPr/>
      </w:pPr>
      <w:r>
        <w:rPr/>
        <w:t> </w:t>
      </w:r>
    </w:p>
    <w:tbl>
      <w:tblPr>
        <w:tblW w:w="5029" w:type="dxa"/>
        <w:jc w:val="left"/>
        <w:tblInd w:w="0" w:type="dxa"/>
        <w:tblCellMar>
          <w:top w:w="28" w:type="dxa"/>
          <w:left w:w="28" w:type="dxa"/>
          <w:bottom w:w="28" w:type="dxa"/>
          <w:right w:w="28" w:type="dxa"/>
        </w:tblCellMar>
      </w:tblPr>
      <w:tblGrid>
        <w:gridCol w:w="2836"/>
        <w:gridCol w:w="146"/>
        <w:gridCol w:w="211"/>
        <w:gridCol w:w="571"/>
        <w:gridCol w:w="146"/>
        <w:gridCol w:w="146"/>
        <w:gridCol w:w="211"/>
        <w:gridCol w:w="571"/>
        <w:gridCol w:w="191"/>
      </w:tblGrid>
      <w:tr>
        <w:trPr/>
        <w:tc>
          <w:tcPr>
            <w:tcW w:w="28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8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3,906</w:t>
            </w:r>
          </w:p>
        </w:tc>
        <w:tc>
          <w:tcPr>
            <w:tcW w:w="191" w:type="dxa"/>
            <w:tcBorders/>
            <w:shd w:fill="auto" w:val="clear"/>
            <w:vAlign w:val="center"/>
          </w:tcPr>
          <w:p>
            <w:pPr>
              <w:pStyle w:val="TableContents"/>
              <w:spacing w:before="0" w:after="0"/>
              <w:ind w:left="0" w:right="0" w:hanging="0"/>
              <w:jc w:val="left"/>
              <w:rPr/>
            </w:pPr>
            <w:r>
              <w:rPr/>
              <w:t> </w:t>
            </w:r>
          </w:p>
        </w:tc>
      </w:tr>
      <w:tr>
        <w:trPr/>
        <w:tc>
          <w:tcPr>
            <w:tcW w:w="2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4,656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3,967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equity-based compensation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9,385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7,873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sz w:val="20"/>
        </w:rPr>
        <w:t>11. Related-Party Transactions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Other than the collaborations discussed in Note 5, the Company had no related party transactions for the periods presented in the accompanying condensed consolidated financial statements, which have not otherwise been discussed in these notes to the condensed consolidated financial statements.</w:t>
      </w:r>
      <w:r>
        <w:rPr>
          <w:rFonts w:ascii="Times New Roman" w:hAnsi="Times New Roman"/>
          <w:sz w:val="20"/>
        </w:rPr>
        <w:t xml:space="preserve"> </w:t>
      </w:r>
    </w:p>
    <w:p>
      <w:pPr>
        <w:pStyle w:val="TextBody"/>
        <w:spacing w:before="360" w:after="0"/>
        <w:jc w:val="both"/>
        <w:rPr>
          <w:rFonts w:ascii="Times New Roman" w:hAnsi="Times New Roman"/>
          <w:sz w:val="20"/>
        </w:rPr>
      </w:pPr>
      <w:r>
        <w:rPr>
          <w:rFonts w:ascii="Times New Roman;serif" w:hAnsi="Times New Roman;serif"/>
          <w:b/>
          <w:sz w:val="20"/>
        </w:rPr>
        <w:t>12. Income Taxes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Income taxes for the three months ended March 31, 2023 and 2022 have been calculated based on an estimated annual effective tax rate and certain discrete items. For the three months ended March 31, 2023 and 2022, no</w:t>
      </w:r>
      <w:r>
        <w:rPr>
          <w:rFonts w:ascii="Times New Roman" w:hAnsi="Times New Roman"/>
          <w:sz w:val="20"/>
        </w:rPr>
        <w:t xml:space="preserve"> </w:t>
      </w:r>
      <w:r>
        <w:rPr>
          <w:rFonts w:ascii="Times New Roman;serif" w:hAnsi="Times New Roman;serif"/>
          <w:b w:val="false"/>
          <w:sz w:val="20"/>
        </w:rPr>
        <w:t>income tax was recorded.</w:t>
      </w:r>
      <w:r>
        <w:rPr>
          <w:rFonts w:ascii="Times New Roman" w:hAnsi="Times New Roman"/>
          <w:sz w:val="20"/>
        </w:rPr>
        <w:t xml:space="preserve"> </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The Company has never been examined by the Internal Revenue Service or any other jurisdiction for any tax years and, as such, all years within the applicable statutes of limitations are potentially subject to audit.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360" w:after="0"/>
        <w:jc w:val="both"/>
        <w:rPr>
          <w:rFonts w:ascii="Times New Roman" w:hAnsi="Times New Roman"/>
          <w:sz w:val="20"/>
        </w:rPr>
      </w:pPr>
      <w:r>
        <w:rPr>
          <w:rFonts w:ascii="Times New Roman;serif" w:hAnsi="Times New Roman;serif"/>
          <w:b/>
          <w:sz w:val="20"/>
        </w:rPr>
        <w:t>13. Net Loss per Share</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Net Loss per Share</w:t>
      </w:r>
    </w:p>
    <w:p>
      <w:pPr>
        <w:pStyle w:val="TextBody"/>
        <w:spacing w:before="120" w:after="0"/>
        <w:jc w:val="both"/>
        <w:rPr>
          <w:rFonts w:ascii="Times New Roman" w:hAnsi="Times New Roman"/>
          <w:sz w:val="20"/>
        </w:rPr>
      </w:pPr>
      <w:r>
        <w:rPr>
          <w:rFonts w:ascii="Times New Roman;serif" w:hAnsi="Times New Roman;serif"/>
          <w:b w:val="false"/>
          <w:sz w:val="20"/>
        </w:rPr>
        <w:t>Basic and diluted loss per share is computed by dividing net loss by the weighted-average common shares outstanding for the period, including the pre-funded warrants given their nominal exercise price (in thousands, except for share and per share data):</w:t>
      </w:r>
      <w:r>
        <w:rPr>
          <w:rFonts w:ascii="Times New Roman" w:hAnsi="Times New Roman"/>
          <w:sz w:val="20"/>
        </w:rPr>
        <w:t xml:space="preserve"> </w:t>
      </w:r>
    </w:p>
    <w:p>
      <w:pPr>
        <w:pStyle w:val="TextBody"/>
        <w:spacing w:before="0" w:after="0"/>
        <w:jc w:val="both"/>
        <w:rPr/>
      </w:pPr>
      <w:r>
        <w:rPr/>
        <w:t> </w:t>
      </w:r>
    </w:p>
    <w:tbl>
      <w:tblPr>
        <w:tblW w:w="7919" w:type="dxa"/>
        <w:jc w:val="left"/>
        <w:tblInd w:w="0" w:type="dxa"/>
        <w:tblCellMar>
          <w:top w:w="28" w:type="dxa"/>
          <w:left w:w="28" w:type="dxa"/>
          <w:bottom w:w="28" w:type="dxa"/>
          <w:right w:w="28" w:type="dxa"/>
        </w:tblCellMar>
      </w:tblPr>
      <w:tblGrid>
        <w:gridCol w:w="4756"/>
        <w:gridCol w:w="146"/>
        <w:gridCol w:w="211"/>
        <w:gridCol w:w="1036"/>
        <w:gridCol w:w="166"/>
        <w:gridCol w:w="146"/>
        <w:gridCol w:w="211"/>
        <w:gridCol w:w="1036"/>
        <w:gridCol w:w="211"/>
      </w:tblGrid>
      <w:tr>
        <w:trPr/>
        <w:tc>
          <w:tcPr>
            <w:tcW w:w="47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7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4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(40,928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(36,684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4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common shares outstanding, basic and</w:t>
              <w:br/>
              <w:t>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58,187,038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51,651,125</w:t>
            </w:r>
          </w:p>
        </w:tc>
        <w:tc>
          <w:tcPr>
            <w:tcW w:w="211" w:type="dxa"/>
            <w:tcBorders/>
            <w:shd w:fill="auto" w:val="clear"/>
            <w:vAlign w:val="center"/>
          </w:tcPr>
          <w:p>
            <w:pPr>
              <w:pStyle w:val="TableContents"/>
              <w:spacing w:before="0" w:after="0"/>
              <w:ind w:left="0" w:right="0" w:hanging="0"/>
              <w:jc w:val="left"/>
              <w:rPr/>
            </w:pPr>
            <w:r>
              <w:rPr/>
              <w:t> </w:t>
            </w:r>
          </w:p>
        </w:tc>
      </w:tr>
      <w:tr>
        <w:trPr/>
        <w:tc>
          <w:tcPr>
            <w:tcW w:w="4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(0.71</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both"/>
        <w:rPr>
          <w:rFonts w:ascii="Times New Roman;serif" w:hAnsi="Times New Roman;serif"/>
          <w:b w:val="false"/>
          <w:sz w:val="20"/>
        </w:rPr>
      </w:pPr>
      <w:r>
        <w:rPr>
          <w:rFonts w:ascii="Times New Roman;serif" w:hAnsi="Times New Roman;serif"/>
          <w:b w:val="false"/>
          <w:sz w:val="20"/>
        </w:rPr>
        <w:t xml:space="preserve">The Company’s potentially dilutive securities, which include restricted stock and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from the computation of diluted net loss per share attributable to common stockholders at March 31, 2023 and 2022 because including them would have had an anti-dilutive effect: </w:t>
      </w:r>
    </w:p>
    <w:tbl>
      <w:tblPr>
        <w:tblW w:w="5754" w:type="dxa"/>
        <w:jc w:val="left"/>
        <w:tblInd w:w="0" w:type="dxa"/>
        <w:tblCellMar>
          <w:top w:w="28" w:type="dxa"/>
          <w:left w:w="28" w:type="dxa"/>
          <w:bottom w:w="28" w:type="dxa"/>
          <w:right w:w="28" w:type="dxa"/>
        </w:tblCellMar>
      </w:tblPr>
      <w:tblGrid>
        <w:gridCol w:w="2971"/>
        <w:gridCol w:w="146"/>
        <w:gridCol w:w="146"/>
        <w:gridCol w:w="931"/>
        <w:gridCol w:w="146"/>
        <w:gridCol w:w="146"/>
        <w:gridCol w:w="146"/>
        <w:gridCol w:w="931"/>
        <w:gridCol w:w="191"/>
      </w:tblGrid>
      <w:tr>
        <w:trPr/>
        <w:tc>
          <w:tcPr>
            <w:tcW w:w="29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9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restricted stock</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452,721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121,504</w:t>
            </w:r>
          </w:p>
        </w:tc>
        <w:tc>
          <w:tcPr>
            <w:tcW w:w="191" w:type="dxa"/>
            <w:tcBorders/>
            <w:shd w:fill="auto" w:val="cle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to purchase common stock</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8,291,731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7,119,524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8,744,452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7,241,028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sz w:val="20"/>
        </w:rPr>
      </w:pPr>
      <w:bookmarkStart w:id="10" w:name="item_2_managements_discussion_analysis_f"/>
      <w:bookmarkEnd w:id="10"/>
      <w:r>
        <w:rPr>
          <w:rFonts w:ascii="Times New Roman;serif" w:hAnsi="Times New Roman;serif"/>
          <w:b/>
          <w:sz w:val="20"/>
        </w:rPr>
        <w:t>Item 2. Management’s Discussion and Analysis of Financial Condition and Results of Operations.</w:t>
      </w:r>
    </w:p>
    <w:p>
      <w:pPr>
        <w:pStyle w:val="TextBody"/>
        <w:spacing w:before="120" w:after="0"/>
        <w:jc w:val="both"/>
        <w:rPr>
          <w:rFonts w:ascii="Times New Roman" w:hAnsi="Times New Roman"/>
          <w:sz w:val="20"/>
        </w:rPr>
      </w:pPr>
      <w:r>
        <w:rPr>
          <w:rFonts w:ascii="Times New Roman;serif" w:hAnsi="Times New Roman;serif"/>
          <w:b w:val="false"/>
          <w:i/>
          <w:sz w:val="20"/>
        </w:rPr>
        <w:t>The following discussion and analysis should be read in conjunction with the unaudited condensed consolidated financial statements and related notes included elsewhere in this Quarterly Report on Form 10-Q, the Quarterly Report. This discussion and analysis and other parts of this Quarterly Report contain forward-looking statements based upon current beliefs, plans and expectations that involve risks, uncertainties and assumptions, such as express or implied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r>
        <w:rPr>
          <w:rFonts w:ascii="Times New Roman" w:hAnsi="Times New Roman"/>
          <w:sz w:val="20"/>
        </w:rPr>
        <w:t xml:space="preserve"> </w:t>
      </w:r>
    </w:p>
    <w:p>
      <w:pPr>
        <w:pStyle w:val="TextBody"/>
        <w:spacing w:before="360" w:after="0"/>
        <w:jc w:val="both"/>
        <w:rPr>
          <w:rFonts w:ascii="Times New Roman;serif" w:hAnsi="Times New Roman;serif"/>
          <w:b/>
          <w:sz w:val="20"/>
        </w:rPr>
      </w:pPr>
      <w:r>
        <w:rPr>
          <w:rFonts w:ascii="Times New Roman;serif" w:hAnsi="Times New Roman;serif"/>
          <w:b/>
          <w:sz w:val="20"/>
        </w:rPr>
        <w:t>Overview</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We are a biopharmaceutical company focused on discovering and developing novel small molecule therapeutics that selectively degrade disease-causing proteins by harnessing the body’s own natural protein degradation system. Our proprietary targeted protein degradation, or TPD, platform, which we refer to as Pegasus, allows us to discover highly selective small molecule protein degraders with activity against disease-causing proteins throughout the body. We believe that our small molecule protein degraders have unique advantages over existing therapies and allow us to address a large portion of the human genome that was previously intractable with traditional modalities. We focus on biological pathways that have been clinically validated but where key biological nodes/proteins have not been drugged or are inadequately drugged. To date, we have utilized our Pegasus platform to design novel protein degraders focused in the areas of immunology-inflammation and oncology, and we continue to apply our platform’s capabilities to additional therapeutic areas. We have a mission to drug all target classes in human cells using TPD. Our current clinical stage programs are IRAK4, IRAKIMiD, STAT3, and MDM2, which each address high impact targets within biologically-proven pathways, providing the opportunity to treat a broad range of immune-inflammatory diseases, hematologic malignancies, and solid tumors. Our programs exemplify our focus on addressing high impact targets that have been elusive to conventional modalities and that drive the pathogenesis of multiple serious diseases with significant unmet medical needs. We have completed our Phase 1 trial of KT-474, which included cohorts of healthy volunteers, as well as patients with hidradenitis suppurativa (HS) and atopic dermatitis (AD). In December 2022, Sanofi notified us of its intent to advance KT-474 into Phase 2 clinical trials. Phase 2 clinical trials of KT-474 will initially investigate its potential in HS and AD, with the clinical trial for the first indication initiating in 2023. With respect to our oncology programs, we are evaluating KT-333, a STAT3 degrader, in a Phase 1 clinical trial in patients with relapsed/refractory liquid and solid tumors, including aggressive lymphomas. Patient enrollment and dosing are ongoing in the Phase 1a portion of the trial, and we expect to provide additional clinical data in 2023. We are also evaluating KT-413, our IRAKIMiD degrader, in a Phase 1 clinical trial in patients with relapsed/refractory B cell lymphomas, including MYD88 mutant diffuse large B cell lymphomas (DLBCL). Patient enrollment and dosing are ongoing in the Phase 1a portion of the trial, and we expect to provide additional clinical data in 2023. In December 2022, we received FDA clearance for our investigational new drug, or IND, application to evaluate our MDM2 degrader, KT-253, in a Phase 1 clinical trial. KT-253 has been developed to stabilize the tumor suppressor p53 and address a wide variety of p53 wild type tumor types in both solid tumors and hematologic malignancies. Our Phase 1 clinical trial of KT-253 was initiated in March 2023 and we are actively enrolling patients.</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Since our inception in 2015, we have devoted substantially all of our efforts to organizing and staffing our company, research and development activities, business planning, raising capital, building our intellectual property portfolio and providing general and administrative support for these operations. To date, we have received gross proceeds of $1.03 billion from sales of our convertible preferred stock, the sale of common stock including our August 2020 initial public offering, or IPO, and concurrent private placement, our July 2021 follow-on offering and concurrent private placement, our August 2022 private investment in public equity, or PIPE offering, and through our collaborations with Vertex Pharmaceuticals Incorporated, or Vertex, and Sanofi.</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240" w:after="0"/>
        <w:jc w:val="both"/>
        <w:rPr>
          <w:rFonts w:ascii="Times New Roman" w:hAnsi="Times New Roman"/>
          <w:sz w:val="20"/>
        </w:rPr>
      </w:pPr>
      <w:r>
        <w:rPr>
          <w:rFonts w:ascii="Times New Roman;serif" w:hAnsi="Times New Roman;serif"/>
          <w:b w:val="false"/>
          <w:sz w:val="20"/>
        </w:rPr>
        <w:t>We have incurred significant operating losses since inception. Our ability to generate product revenue sufficient to achieve profitability will depend heavily on the successful development and eventual commercialization of one or more of our current product candidates or any future product candidates. Our net losses were $154.8 million and $100.2 million for the years ended December 31, 2022 and 2021, respectively. We reported net losses of $40.9 million and $36.7 million for the three months ended March 31, 2023 and 2022, respectively. In addition, as of March 31, 2023 and December 31, 2022 we had an accumulated deficit of $424.7 million and $383.8 million, respectively. We expect that our expense and capital requirements will increase substantially in connection with our ongoing activities, particularly if and as we:</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initiate and complete clinical trials for current or future product candidates, including the ongoing trials of KT-474, KT-333, KT-413, and KT-253;</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prepare and submit Investigational New Drug applications, or INDs, with the U.S. Food and Drug Administration, or FDA, for current and future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initiate and continue research and development activities to support our pre-clinical product candidate pipeline;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manufacture our drug products, drug substances, delivery vehicles, and product candidates for use in preclinical studies, clinical trials and on a larger scale for commercialization, if approved;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continue to develop and expand our PegasusTM platform to identify additional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maintain, expand and protect our intellectual property portfolio;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seek marketing approvals for our product candidates that successfully complete clinical trials, if any;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acquire or in-license additional product candidates and technologies;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expand our infrastructure and facilities to accommodate our growing employee base and ongoing development activity;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require the manufacture of larger quantities of our product candidates for clinical development and potential commercialization;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establish a sales, marketing and distribution infrastructure to commercialize any products for which we may obtain marketing approval;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add operational, financial and management information systems and personnel, including personnel to support our research and development programs, any future commercialization efforts and operating as a public company. </w:t>
      </w:r>
    </w:p>
    <w:p>
      <w:pPr>
        <w:pStyle w:val="TextBody"/>
        <w:spacing w:before="240" w:after="0"/>
        <w:jc w:val="both"/>
        <w:rPr>
          <w:rFonts w:ascii="Times New Roman" w:hAnsi="Times New Roman"/>
          <w:sz w:val="20"/>
        </w:rPr>
      </w:pPr>
      <w:r>
        <w:rPr>
          <w:rFonts w:ascii="Times New Roman;serif" w:hAnsi="Times New Roman;serif"/>
          <w:b w:val="false"/>
          <w:sz w:val="20"/>
        </w:rPr>
        <w:t>In addition, if we obtain marketing approval for any of our lead product candidates, we expect to incur significant commercialization expenses related to product manufacturing, marketing, sales and distribution. 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which may include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one or more of our product candidates.</w:t>
      </w:r>
      <w:r>
        <w:rPr>
          <w:rFonts w:ascii="Times New Roman" w:hAnsi="Times New Roman"/>
          <w:sz w:val="20"/>
        </w:rPr>
        <w:t xml:space="preserve"> </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We will not generate revenue from product sales unless and until we successfully complete clinical development and obtain marketing approval for our drug candidates. The lengthy process of securing marketing approvals for new drugs requires the expenditure of substantial resources. Any delay or failure to obtain regulatory approvals would materially adversely affect our product candidate development efforts and our business overall. 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pStyle w:val="TextBody"/>
        <w:spacing w:before="240" w:after="0"/>
        <w:jc w:val="both"/>
        <w:rPr>
          <w:rFonts w:ascii="Times New Roman" w:hAnsi="Times New Roman"/>
          <w:sz w:val="20"/>
        </w:rPr>
      </w:pPr>
      <w:r>
        <w:rPr>
          <w:rFonts w:ascii="Times New Roman;serif" w:hAnsi="Times New Roman;serif"/>
          <w:b w:val="false"/>
          <w:sz w:val="20"/>
        </w:rPr>
        <w:t>As of March 31, 2023, we had cash, cash equivalents and marketable securities of $515.9 million. We believe the existing cash, cash equivalents and marketable securities on hand, will enable us to fund our operating expenses and capital expenditure requirements into the second half of 2025 which is expected to take us past the proof-of-concept Phase 2 data for KT-474, as well as early proof-of-concept data for KT-413, KT-333 and KT-253. We have based this estimate on assumptions that may prove to be wrong, and we could exhaust our available capital resources sooner than we expect. See “—Liquidity and capital resources.”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360" w:after="0"/>
        <w:jc w:val="both"/>
        <w:rPr>
          <w:rFonts w:ascii="Times New Roman" w:hAnsi="Times New Roman"/>
          <w:sz w:val="20"/>
        </w:rPr>
      </w:pPr>
      <w:r>
        <w:rPr>
          <w:rFonts w:ascii="Times New Roman;serif" w:hAnsi="Times New Roman;serif"/>
          <w:b/>
          <w:sz w:val="20"/>
        </w:rPr>
        <w:t>Components of Our Results of Operations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To date, we have not generated any revenue from product sales and do not expect to generate any revenue from the sale of products in the foreseeable future. Our only revenues have been derived from research collaboration arrangements with Vertex and Sanofi. We expect that our revenue for the next several years will be derived primarily from our current collaboration agreements and any additional collaborations that we may enter into in the future. To date, we have not received any milestone payments or royalties under any of the collaboration agreements.</w:t>
      </w:r>
      <w:r>
        <w:rPr>
          <w:rFonts w:ascii="Times New Roman" w:hAnsi="Times New Roman"/>
          <w:sz w:val="20"/>
        </w:rPr>
        <w:t xml:space="preserve"> </w:t>
      </w:r>
    </w:p>
    <w:p>
      <w:pPr>
        <w:pStyle w:val="TextBody"/>
        <w:spacing w:before="360" w:after="0"/>
        <w:jc w:val="both"/>
        <w:rPr>
          <w:rFonts w:ascii="Times New Roman" w:hAnsi="Times New Roman"/>
          <w:sz w:val="20"/>
        </w:rPr>
      </w:pPr>
      <w:r>
        <w:rPr>
          <w:rFonts w:ascii="Times New Roman;serif" w:hAnsi="Times New Roman;serif"/>
          <w:b/>
          <w:i/>
          <w:sz w:val="20"/>
        </w:rPr>
        <w:t>Vertex Collaboration Agreement</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On May 9, 2019, we entered into a collaboration agreement, or the Vertex Agreement, with Vertex, to advance small molecule protein degradation against up to six targets. Under the Vertex Agreement, Vertex has the exclusive option to license the rights to the product candidates developed through the collaboration at which point Vertex will control development and commercialization. Pursuant to the Vertex Agreement, we are responsible for discovery and preclinical research on the targets, and Vertex is responsible for development, manufacturing, and commercialization of the product candidates after it exercises its option to license.</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Vertex provided us with a non-refundable upfront payment of $50.0 million and purchased 3,059,695 shares of our Series B-1 Convertible Preferred Stock at $6.54 a share, pursuant to a separate, but simultaneously executed Share Purchase Agreement. We are eligible to receive up to $170 million in payments per target, including development, regulatory, and commercial milestones, as well as option exercise payments. In addition, Vertex is obligated to pay us tiered royalties on future net sales on any products that may result from the Vertex Agreement. None of the payments under the Vertex Agreement are refundable. We may also perform follow-on research activities for an optioned target upon Vertex’s request and at Vertex’s expense.</w:t>
      </w:r>
      <w:r>
        <w:rPr>
          <w:rFonts w:ascii="Times New Roman" w:hAnsi="Times New Roman"/>
          <w:sz w:val="20"/>
        </w:rPr>
        <w:t xml:space="preserve"> </w:t>
      </w:r>
    </w:p>
    <w:p>
      <w:pPr>
        <w:pStyle w:val="TextBody"/>
        <w:spacing w:before="360" w:after="0"/>
        <w:jc w:val="both"/>
        <w:rPr>
          <w:rFonts w:ascii="Times New Roman" w:hAnsi="Times New Roman"/>
          <w:sz w:val="20"/>
        </w:rPr>
      </w:pPr>
      <w:r>
        <w:rPr>
          <w:rFonts w:ascii="Times New Roman;serif" w:hAnsi="Times New Roman;serif"/>
          <w:b/>
          <w:i/>
          <w:sz w:val="20"/>
        </w:rPr>
        <w:t>Sanofi Agreement</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On July 7, 2020, we entered into a collaboration agreement, or the Sanofi Agreement, with Sanofi to co-develop drug candidates directed to two biological targets. Under the Sanofi Agreement, we granted to Sanofi a worldwide exclusive license to develop, manufacture and commercialize certain lead compounds generated during the collaboration directed against IRAK4 and one additional undisclosed target in an undisclosed field of use. Such license is exercisable on a collaboration target-by-collaboration target basis only after a specified milestone. For compounds directed against IRAK4, the field of use includes diagnosis, treatment, cure, mitigation or prevention of any diseases, disorders or conditions, excluding oncology and immuno-oncology. We are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We have an exclusive option, or Opt-In Right, exercisable on a collaboration target-by-collaboration target basis that will include the right to (i) to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we exercise the Opt-In Right, Sanofi will grant us an exclusive option, applicable to each collaboration target, which upon exercise will allow us to conduct certain co-promotion activities in the field in the United States.</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The Sanofi Agreement, unless earlier terminated, will expire on a product-by-product basis on the date of expiration of all payment obligations under the Sanofi Agreement with respect to such product. We or Sanofi may terminate the agreement upon the other party’s material breach or insolvency or for certain patent challenges. In addition, Sanofi may terminate the agreement for convenience or for a material safety event upon advance prior written notice, and we may terminate the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In consideration for the exclusive licenses granted to Sanofi under the Sanofi Agreement, Sanofi paid an upfront payment of $150 million. In addition to the upfront payment, we are eligible to receive certain development milestone payments of up to $1.48 billion in the aggregate, of which more than $1.0 billion relates to the IRAK4 program, upon the achievement of certain developmental or regulatory events. We will be eligible to receive certain commercial milestone payments up to $700 million in the aggregate, of which $400 million relates to the IRAK4 program, which are payable upon the achievement of certain net sales thresholds. We will be eligible to receive tiered royalties for each program on net sales ranging from the high-single digits to high teens, subject to low-single digits upward adjustments in certain circumstances.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240" w:after="0"/>
        <w:jc w:val="both"/>
        <w:rPr>
          <w:rFonts w:ascii="Times New Roman" w:hAnsi="Times New Roman"/>
          <w:sz w:val="20"/>
        </w:rPr>
      </w:pPr>
      <w:r>
        <w:rPr>
          <w:rFonts w:ascii="Times New Roman;serif" w:hAnsi="Times New Roman;serif"/>
          <w:b w:val="false"/>
          <w:sz w:val="20"/>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r>
        <w:rPr>
          <w:rFonts w:ascii="Times New Roman" w:hAnsi="Times New Roman"/>
          <w:sz w:val="20"/>
        </w:rPr>
        <w:t xml:space="preserve"> </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Additionally with respect to Sanofi, on December 2, 2022, Sanofi provided the Company with written notice of its intention to advance the collaboration target 1 candidate, KT-474, into Phase 2 clinical trials. The Company is entitled to receive milestone payments upon the dosing of the first Phase 2 patient(s) per indication up to a specified number of indications as further set forth in the Amended Sanofi Agreement. Phase 2 clinical trials of KT-474 will initially investigate its potential in HS and AD with the clinical trial for the first indication expected to be initiated in 2023.</w:t>
      </w:r>
    </w:p>
    <w:p>
      <w:pPr>
        <w:pStyle w:val="TextBody"/>
        <w:spacing w:before="360" w:after="0"/>
        <w:jc w:val="both"/>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Our operating expenses since inception have consisted solely of research and development expenses and general and administrative expenses.</w:t>
      </w:r>
      <w:r>
        <w:rPr>
          <w:rFonts w:ascii="Times New Roman" w:hAnsi="Times New Roman"/>
          <w:sz w:val="20"/>
        </w:rPr>
        <w:t xml:space="preserve"> </w:t>
      </w:r>
    </w:p>
    <w:p>
      <w:pPr>
        <w:pStyle w:val="TextBody"/>
        <w:spacing w:before="360" w:after="0"/>
        <w:jc w:val="both"/>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Research and development expenses consist primarily of costs incurred in connection with the discovery and development of targeted protein degradation therapeutics, including those in our initial programs, IRAK4, IRAKIMiD, STAT3 and MDM2. These research efforts and costs, which also support the development of, and enhancements to, our Pegasus</w:t>
      </w:r>
      <w:r>
        <w:rPr>
          <w:rFonts w:ascii="Times New Roman;serif" w:hAnsi="Times New Roman;serif"/>
          <w:b w:val="false"/>
          <w:sz w:val="13"/>
        </w:rPr>
        <w:t>TM</w:t>
      </w:r>
      <w:r>
        <w:rPr>
          <w:rFonts w:ascii="Times New Roman" w:hAnsi="Times New Roman"/>
          <w:sz w:val="20"/>
        </w:rPr>
        <w:t xml:space="preserve"> </w:t>
      </w:r>
      <w:r>
        <w:rPr>
          <w:rFonts w:ascii="Times New Roman;serif" w:hAnsi="Times New Roman;serif"/>
          <w:b w:val="false"/>
          <w:sz w:val="20"/>
        </w:rPr>
        <w:t>platform, include external research costs, personnel costs, supplies, license fees and facility-related expenses. We expense research and development costs as incurred. These expenses include:</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employee-related expenses, including salaries, related benefits and stock-based compensation expense, for employees engaged in research and development functions;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expenses incurred under agreements with organizations that support our platform program development;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contract manufacturing organizations, or CMOs, that are primarily engaged to provide drug substance and product for our preclinical research and development programs, nonclinical studies and other scientific development services;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cost of acquiring and manufacturing nonclinical trial materials, including manufacturing registration and validation batches;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facilities, depreciation and other expenses, which include direct and allocated expenses for rent and maintenance of facilities and insurance;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costs related to compliance with quality and regulatory requirements;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payments made under third-party licensing agreements. </w:t>
      </w:r>
    </w:p>
    <w:p>
      <w:pPr>
        <w:pStyle w:val="TextBody"/>
        <w:spacing w:before="240" w:after="0"/>
        <w:jc w:val="both"/>
        <w:rPr>
          <w:rFonts w:ascii="Times New Roman" w:hAnsi="Times New Roman"/>
          <w:sz w:val="20"/>
        </w:rPr>
      </w:pPr>
      <w:r>
        <w:rPr>
          <w:rFonts w:ascii="Times New Roman;serif" w:hAnsi="Times New Roman;serif"/>
          <w:b w:val="false"/>
          <w:sz w:val="20"/>
        </w:rPr>
        <w:t>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development activities in the near term and in the future. At this time, we cannot accurately estimate or know the nature, timing and costs of the efforts that will be necessary to complete the clinical development of any future product candidates.</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Our future clinical development costs may vary significantly based on factors such as:</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per patient trial costs;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number of trials required for approval;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number of sites included in the trials;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countries in which the trials are conducted;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the length of time required to enroll eligible patients;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number of patients that participate in the trials;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number of doses that patients receive;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drop-out or discontinuation rates of patients;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potential additional safety monitoring requested by regulatory agencies;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duration of patient participation in the trials and follow-up;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cost and timing of manufacturing our product candidates;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phase of development of our product candidates;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the efficacy and safety profile of our product candidates. </w:t>
      </w:r>
    </w:p>
    <w:p>
      <w:pPr>
        <w:pStyle w:val="TextBody"/>
        <w:spacing w:before="240" w:after="0"/>
        <w:jc w:val="both"/>
        <w:rPr>
          <w:rFonts w:ascii="Times New Roman" w:hAnsi="Times New Roman"/>
          <w:sz w:val="20"/>
        </w:rPr>
      </w:pPr>
      <w:r>
        <w:rPr>
          <w:rFonts w:ascii="Times New Roman;serif" w:hAnsi="Times New Roman;serif"/>
          <w:b w:val="false"/>
          <w:sz w:val="20"/>
        </w:rPr>
        <w:t>The successful development and commercialization of product candidates is highly uncertain. This is due to the numerous risks and uncertainties associated with product development and commercialization, including the following:</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timing and progress of nonclinical and clinical development activities;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number and scope of nonclinical and clinical programs we decide to pursue;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ability to raise necessary additional funds;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progress of the development efforts of parties with whom we may enter into collaboration arrangements;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ability to maintain our current development program and to establish new ones;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ability to establish new licensing or collaboration arrangements;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successful initiation and completion of clinical trials with safety, tolerability and efficacy profiles that are satisfactory to the FDA or any comparable foreign regulatory authority;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receipt and related terms of regulatory approvals from applicable regulatory authorities;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availability of drug substance and drug product for use in production of our product candidates;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ability to establish and maintain agreements with third-party manufacturers for clinical supply for our clinical trials and commercial manufacturing, if any of our product candidates are approved;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ability to obtain and maintain patents, trade secret protection and regulatory exclusivity, both in the United States and internationally;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ability to protect our rights in our intellectual property portfolio;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ability to obtain and maintain third-party insurance coverage and adequate reimbursement;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acceptance of our product candidates, if approved, by patients, the medical community and third-party payors;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impact of competition with other products;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impact of any business interruptions to our operations, including the timing and enrollment of patients in our planned clinical trials, or to those of our manufacturers, suppliers, or other vendors resulting from the COVID-19 pandemic or similar public health crisis; and</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our ability to maintain a continued acceptable safety profile for our therapies following approval. </w:t>
      </w:r>
    </w:p>
    <w:p>
      <w:pPr>
        <w:pStyle w:val="TextBody"/>
        <w:spacing w:before="240" w:after="0"/>
        <w:jc w:val="both"/>
        <w:rPr>
          <w:rFonts w:ascii="Times New Roman" w:hAnsi="Times New Roman"/>
          <w:sz w:val="20"/>
        </w:rPr>
      </w:pPr>
      <w:r>
        <w:rPr>
          <w:rFonts w:ascii="Times New Roman;serif" w:hAnsi="Times New Roman;serif"/>
          <w:b w:val="false"/>
          <w:sz w:val="20"/>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w:t>
      </w:r>
      <w:r>
        <w:rPr>
          <w:rFonts w:ascii="Times New Roman" w:hAnsi="Times New Roman"/>
          <w:sz w:val="20"/>
        </w:rPr>
        <w:t xml:space="preserve"> </w:t>
      </w:r>
    </w:p>
    <w:p>
      <w:pPr>
        <w:pStyle w:val="TextBody"/>
        <w:spacing w:before="360" w:after="0"/>
        <w:jc w:val="both"/>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General and administrative expenses consist primarily of salaries and related costs for personnel in executive, finance, corporate and business development, and administrative functions. General and administrative expenses also include legal fees relating to patent and corporate matters, professional fees for accounting, auditing, tax and administrative consulting services, insurance costs, administrative travel expenses, marketing expenses and other operating costs.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240" w:after="0"/>
        <w:jc w:val="both"/>
        <w:rPr>
          <w:rFonts w:ascii="Times New Roman" w:hAnsi="Times New Roman"/>
          <w:sz w:val="20"/>
        </w:rPr>
      </w:pPr>
      <w:r>
        <w:rPr>
          <w:rFonts w:ascii="Times New Roman;serif" w:hAnsi="Times New Roman;serif"/>
          <w:b w:val="false"/>
          <w:sz w:val="20"/>
        </w:rPr>
        <w:t>We anticipate that our general and administrative expenses will increase in the future as we increase our headcount to support development of our product candidates and our continued research activities. We also anticipate that we will incur increased accounting, audit, legal, regulatory, compliance and director and officer insurance costs as well as legal, investor and public relations expenses associated with being a public company.</w:t>
      </w:r>
      <w:r>
        <w:rPr>
          <w:rFonts w:ascii="Times New Roman" w:hAnsi="Times New Roman"/>
          <w:sz w:val="20"/>
        </w:rPr>
        <w:t xml:space="preserve"> </w:t>
      </w:r>
    </w:p>
    <w:p>
      <w:pPr>
        <w:pStyle w:val="TextBody"/>
        <w:spacing w:before="360" w:after="0"/>
        <w:jc w:val="both"/>
        <w:rPr>
          <w:rFonts w:ascii="Times New Roman" w:hAnsi="Times New Roman"/>
          <w:sz w:val="20"/>
        </w:rPr>
      </w:pPr>
      <w:r>
        <w:rPr>
          <w:rFonts w:ascii="Times New Roman;serif" w:hAnsi="Times New Roman;serif"/>
          <w:b/>
          <w:i/>
          <w:sz w:val="20"/>
        </w:rPr>
        <w:t>Other Income (Expense)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i/>
          <w:sz w:val="20"/>
        </w:rPr>
        <w:t>Interest and other income and expense, net</w:t>
      </w:r>
      <w:r>
        <w:rPr>
          <w:rFonts w:ascii="Times New Roman" w:hAnsi="Times New Roman"/>
          <w:sz w:val="20"/>
        </w:rPr>
        <w:t xml:space="preserve"> </w:t>
      </w:r>
    </w:p>
    <w:p>
      <w:pPr>
        <w:pStyle w:val="TextBody"/>
        <w:spacing w:before="240" w:after="0"/>
        <w:jc w:val="both"/>
        <w:rPr>
          <w:rFonts w:ascii="Times New Roman" w:hAnsi="Times New Roman"/>
          <w:sz w:val="20"/>
        </w:rPr>
      </w:pPr>
      <w:r>
        <w:rPr>
          <w:rFonts w:ascii="Times New Roman;serif" w:hAnsi="Times New Roman;serif"/>
          <w:b w:val="false"/>
          <w:sz w:val="20"/>
        </w:rPr>
        <w:t>Interest income consists of interest earned on our invested cash balances and interest on our financing leases.</w:t>
      </w:r>
      <w:r>
        <w:rPr>
          <w:rFonts w:ascii="Times New Roman" w:hAnsi="Times New Roman"/>
          <w:sz w:val="20"/>
        </w:rPr>
        <w:t xml:space="preserve"> </w:t>
      </w:r>
    </w:p>
    <w:p>
      <w:pPr>
        <w:pStyle w:val="TextBody"/>
        <w:spacing w:before="360" w:after="0"/>
        <w:jc w:val="both"/>
        <w:rPr>
          <w:rFonts w:ascii="Times New Roman" w:hAnsi="Times New Roman"/>
          <w:sz w:val="20"/>
        </w:rPr>
      </w:pPr>
      <w:r>
        <w:rPr>
          <w:rFonts w:ascii="Times New Roman;serif" w:hAnsi="Times New Roman;serif"/>
          <w:b/>
          <w:i/>
          <w:sz w:val="20"/>
        </w:rPr>
        <w:t>Results of Operations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i/>
          <w:sz w:val="20"/>
        </w:rPr>
        <w:t>Comparison of three months ended March 31, 2023 and 2022</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following table summarizes our results of operations for the three months ended March 31, 2023 and 2022:</w:t>
      </w:r>
      <w:r>
        <w:rPr>
          <w:rFonts w:ascii="Times New Roman" w:hAnsi="Times New Roman"/>
          <w:sz w:val="20"/>
        </w:rPr>
        <w:t xml:space="preserve"> </w:t>
      </w:r>
    </w:p>
    <w:p>
      <w:pPr>
        <w:pStyle w:val="TextBody"/>
        <w:spacing w:before="0" w:after="0"/>
        <w:jc w:val="both"/>
        <w:rPr/>
      </w:pPr>
      <w:r>
        <w:rPr/>
        <w:t> </w:t>
      </w:r>
    </w:p>
    <w:tbl>
      <w:tblPr>
        <w:tblW w:w="6493" w:type="dxa"/>
        <w:jc w:val="left"/>
        <w:tblInd w:w="0" w:type="dxa"/>
        <w:tblCellMar>
          <w:top w:w="28" w:type="dxa"/>
          <w:left w:w="28" w:type="dxa"/>
          <w:bottom w:w="28" w:type="dxa"/>
          <w:right w:w="28" w:type="dxa"/>
        </w:tblCellMar>
      </w:tblPr>
      <w:tblGrid>
        <w:gridCol w:w="2596"/>
        <w:gridCol w:w="146"/>
        <w:gridCol w:w="211"/>
        <w:gridCol w:w="736"/>
        <w:gridCol w:w="166"/>
        <w:gridCol w:w="146"/>
        <w:gridCol w:w="211"/>
        <w:gridCol w:w="736"/>
        <w:gridCol w:w="166"/>
        <w:gridCol w:w="146"/>
        <w:gridCol w:w="211"/>
        <w:gridCol w:w="631"/>
        <w:gridCol w:w="391"/>
      </w:tblGrid>
      <w:tr>
        <w:trPr/>
        <w:tc>
          <w:tcPr>
            <w:tcW w:w="25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5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25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60" w:type="dxa"/>
            <w:gridSpan w:val="1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Revenue—from related parties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6,283</w:t>
            </w:r>
          </w:p>
        </w:tc>
        <w:tc>
          <w:tcPr>
            <w:tcW w:w="391" w:type="dxa"/>
            <w:tcBorders/>
            <w:shd w:fill="auto" w:val="cle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12,565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10,611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5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54,792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46,555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8,237</w:t>
            </w:r>
          </w:p>
        </w:tc>
        <w:tc>
          <w:tcPr>
            <w:tcW w:w="391" w:type="dxa"/>
            <w:tcBorders/>
            <w:shd w:fill="auto" w:val="cle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(45,326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(36,933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(8,393</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4,398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4,149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(40,928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(36,684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(4,244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both"/>
        <w:rPr/>
      </w:pPr>
      <w:r>
        <w:rPr/>
        <w:t> </w:t>
      </w:r>
    </w:p>
    <w:p>
      <w:pPr>
        <w:pStyle w:val="TextBody"/>
        <w:spacing w:before="120" w:after="0"/>
        <w:jc w:val="both"/>
        <w:rPr>
          <w:rFonts w:ascii="Times New Roman" w:hAnsi="Times New Roman"/>
          <w:sz w:val="20"/>
        </w:rPr>
      </w:pPr>
      <w:r>
        <w:rPr>
          <w:rFonts w:ascii="Times New Roman;serif" w:hAnsi="Times New Roman;serif"/>
          <w:b w:val="false"/>
          <w:i/>
          <w:sz w:val="20"/>
        </w:rPr>
        <w:t>Collaboration revenue</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recognize revenue under each of the Vertex Agreement and Sanofi Agreement based on our pattern of performance related to the respective identified performance obligations, which is the period over which we will perform research services under each of the Vertex Agreement and Sanofi Agreement.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Collaboration revenues were $9.5 million for the three months ended March 31, 2023, of which $7.7 million and $1.8 million were attributable to our collaboration agreements with Sanofi and Vertex, respectively. Collaboration revenues were $9.6 million for the three months ended March 31, 2022, of which $6.6 million and $3.0 million were attributable to our collaboration agreements with Sanofi and Vertex, respectively.</w:t>
      </w:r>
    </w:p>
    <w:p>
      <w:pPr>
        <w:pStyle w:val="TextBody"/>
        <w:spacing w:before="360" w:after="0"/>
        <w:jc w:val="both"/>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following table summarizes our research and development expenses for each period presented (program expenses are not disclosed prior to formal development candidate nomination):</w:t>
      </w:r>
      <w:r>
        <w:rPr>
          <w:rFonts w:ascii="Times New Roman" w:hAnsi="Times New Roman"/>
          <w:sz w:val="20"/>
        </w:rPr>
        <w:t xml:space="preserve"> </w:t>
      </w:r>
    </w:p>
    <w:p>
      <w:pPr>
        <w:pStyle w:val="TextBody"/>
        <w:spacing w:before="0" w:after="0"/>
        <w:jc w:val="both"/>
        <w:rPr/>
      </w:pPr>
      <w:r>
        <w:rPr/>
        <w:t> </w:t>
      </w:r>
    </w:p>
    <w:tbl>
      <w:tblPr>
        <w:tblW w:w="7253" w:type="dxa"/>
        <w:jc w:val="left"/>
        <w:tblInd w:w="0" w:type="dxa"/>
        <w:tblCellMar>
          <w:top w:w="28" w:type="dxa"/>
          <w:left w:w="28" w:type="dxa"/>
          <w:bottom w:w="28" w:type="dxa"/>
          <w:right w:w="28" w:type="dxa"/>
        </w:tblCellMar>
      </w:tblPr>
      <w:tblGrid>
        <w:gridCol w:w="3496"/>
        <w:gridCol w:w="146"/>
        <w:gridCol w:w="211"/>
        <w:gridCol w:w="676"/>
        <w:gridCol w:w="146"/>
        <w:gridCol w:w="146"/>
        <w:gridCol w:w="211"/>
        <w:gridCol w:w="676"/>
        <w:gridCol w:w="146"/>
        <w:gridCol w:w="146"/>
        <w:gridCol w:w="211"/>
        <w:gridCol w:w="631"/>
        <w:gridCol w:w="411"/>
      </w:tblGrid>
      <w:tr>
        <w:trPr/>
        <w:tc>
          <w:tcPr>
            <w:tcW w:w="3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4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34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00" w:type="dxa"/>
            <w:gridSpan w:val="1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shd w:fill="auto" w:val="clear"/>
            <w:vAlign w:val="center"/>
          </w:tcPr>
          <w:p>
            <w:pPr>
              <w:pStyle w:val="TableContents"/>
              <w:spacing w:before="0" w:after="0"/>
              <w:ind w:left="0" w:right="0" w:hanging="0"/>
              <w:jc w:val="center"/>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External research and development costs: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34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IRAK4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(1,194</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4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IRAKIMiD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426</w:t>
            </w:r>
          </w:p>
        </w:tc>
        <w:tc>
          <w:tcPr>
            <w:tcW w:w="411" w:type="dxa"/>
            <w:tcBorders/>
            <w:shd w:fill="auto" w:val="clear"/>
            <w:vAlign w:val="center"/>
          </w:tcPr>
          <w:p>
            <w:pPr>
              <w:pStyle w:val="TableContents"/>
              <w:spacing w:before="0" w:after="0"/>
              <w:ind w:left="0" w:right="0" w:firstLine="200"/>
              <w:jc w:val="left"/>
              <w:rPr/>
            </w:pPr>
            <w:r>
              <w:rPr/>
              <w:t> </w:t>
            </w:r>
          </w:p>
        </w:tc>
      </w:tr>
      <w:tr>
        <w:trPr/>
        <w:tc>
          <w:tcPr>
            <w:tcW w:w="34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STAT3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835</w:t>
            </w:r>
          </w:p>
        </w:tc>
        <w:tc>
          <w:tcPr>
            <w:tcW w:w="411" w:type="dxa"/>
            <w:tcBorders/>
            <w:shd w:fill="auto" w:val="clear"/>
            <w:vAlign w:val="center"/>
          </w:tcPr>
          <w:p>
            <w:pPr>
              <w:pStyle w:val="TableContents"/>
              <w:spacing w:before="0" w:after="0"/>
              <w:ind w:left="0" w:right="0" w:firstLine="200"/>
              <w:jc w:val="left"/>
              <w:rPr/>
            </w:pPr>
            <w:r>
              <w:rPr/>
              <w:t> </w:t>
            </w:r>
          </w:p>
        </w:tc>
      </w:tr>
      <w:tr>
        <w:trPr/>
        <w:tc>
          <w:tcPr>
            <w:tcW w:w="34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MDM2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411" w:type="dxa"/>
            <w:tcBorders/>
            <w:shd w:fill="auto" w:val="clear"/>
            <w:vAlign w:val="center"/>
          </w:tcPr>
          <w:p>
            <w:pPr>
              <w:pStyle w:val="TableContents"/>
              <w:spacing w:before="0" w:after="0"/>
              <w:ind w:left="0" w:right="0" w:firstLine="200"/>
              <w:jc w:val="left"/>
              <w:rPr/>
            </w:pPr>
            <w:r>
              <w:rPr/>
              <w:t> </w:t>
            </w:r>
          </w:p>
        </w:tc>
      </w:tr>
      <w:tr>
        <w:trPr/>
        <w:tc>
          <w:tcPr>
            <w:tcW w:w="34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605</w:t>
            </w:r>
          </w:p>
        </w:tc>
        <w:tc>
          <w:tcPr>
            <w:tcW w:w="411" w:type="dxa"/>
            <w:tcBorders/>
            <w:shd w:fill="auto" w:val="cle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Internal research and development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22,609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17,061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5,548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and development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42,227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35,944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6,283</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Research and development expenses were $42.2 million for the three months ended March 31, 2023, compared to $35.9 million for the three months ended March 31, 2022. The increase of $6.3 million was primarily due to an increase of $1.9 million related to increased spending on clinical activities for our IRAKIMiD, STAT3 and MDM2 programs and increased investment in our other pipeline programs and platform, as well as a $5.6 million increase in personnel, stock-based compensation, occupancy and related costs due to increases in employee headcount in the research and development functions. These increases were primarily offset by a $1.2 million reduction in direct expenses related to our clinical activities for our IRAK4 program related to the completion of phase 1 clinical activity for KT-474.</w:t>
      </w:r>
    </w:p>
    <w:p>
      <w:pPr>
        <w:pStyle w:val="TextBody"/>
        <w:spacing w:before="360" w:after="0"/>
        <w:jc w:val="both"/>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General and administrative expenses were $12.6 million for the three months ended March 31, 2023, compared to $10.6 million for the three months ended March 31, 2022. This increase was primarily due to an increase in legal and professional service fees, personnel, facility, occupancy, and other expenses to support our growth. Stock based compensation expenses included in general and administrative expenses were $4.7 million and $4.0 million for the three months ended March 31, 2023 and March 31, 2022, respectively.</w:t>
      </w:r>
      <w:r>
        <w:rPr>
          <w:rFonts w:ascii="Times New Roman" w:hAnsi="Times New Roman"/>
          <w:sz w:val="20"/>
        </w:rPr>
        <w:t xml:space="preserve"> </w:t>
      </w:r>
    </w:p>
    <w:p>
      <w:pPr>
        <w:pStyle w:val="TextBody"/>
        <w:spacing w:before="360" w:after="0"/>
        <w:jc w:val="both"/>
        <w:rPr>
          <w:rFonts w:ascii="Times New Roman" w:hAnsi="Times New Roman"/>
          <w:sz w:val="20"/>
        </w:rPr>
      </w:pPr>
      <w:r>
        <w:rPr>
          <w:rFonts w:ascii="Times New Roman;serif" w:hAnsi="Times New Roman;serif"/>
          <w:b w:val="false"/>
          <w:i/>
          <w:sz w:val="20"/>
        </w:rPr>
        <w:t>Other Income, Net</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Other income, net was $4.4 million for the three months ended March 31, 2023, compared to $0.3 million for the three months ended March 31, 2022. The $4.1 million increase was primarily due to the prevailing interest rates in the respective periods.</w:t>
      </w:r>
    </w:p>
    <w:p>
      <w:pPr>
        <w:pStyle w:val="TextBody"/>
        <w:spacing w:before="360" w:after="0"/>
        <w:jc w:val="both"/>
        <w:rPr>
          <w:rFonts w:ascii="Times New Roman" w:hAnsi="Times New Roman"/>
          <w:sz w:val="20"/>
        </w:rPr>
      </w:pPr>
      <w:r>
        <w:rPr>
          <w:rFonts w:ascii="Times New Roman;serif" w:hAnsi="Times New Roman;serif"/>
          <w:b/>
          <w:i/>
          <w:sz w:val="20"/>
        </w:rPr>
        <w:t>Liquidity and capital resources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have not yet generated any revenue from any product sales, and we have incurred significant operating losses since our inception. We have not yet commercialized any products and we do not expect to generate revenue from sales of products for several years, if at all. To date, we have funded our operations primarily with proceeds from our initial public offering, or IPO, Follow-on Offering, sale of our convertible preferred stock and collaboration agreements. To date, we have received gross proceeds of $1.03 billion from sales of our convertible preferred stock, the sale of common stock including our August 2020 IPO and concurrent private placement, and our July 2021 follow-on offering and concurrent private placement, August 2022 private investment in public equity (“PIPE”) offering, and through our collaborations with Vertex, and Sanofi. As of March 31, 2023, we had cash and cash equivalents and marketable securities of $515.9 million.</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In October 2021, we entered into a sales agreement, or Sales Agreement, with Cowen and Company, LLC, or Cowen, pursuant to which we may offer and sell shares of our common stock having aggregate gross proceeds of up to $250.0 million from time to time in “at-the-market” offerings through Cowen, as our sales agent. We agreed to pay Cowen a commission of up to 3.0% of the gross proceeds of any shares sold by Cowen under the Sales Agreement. There have been no shares of our common stock sold under the Sales Agreement as of March 31, 2023.</w:t>
      </w:r>
    </w:p>
    <w:p>
      <w:pPr>
        <w:pStyle w:val="TextBody"/>
        <w:spacing w:before="360" w:after="0"/>
        <w:jc w:val="both"/>
        <w:rPr>
          <w:rFonts w:ascii="Times New Roman" w:hAnsi="Times New Roman"/>
          <w:sz w:val="20"/>
        </w:rPr>
      </w:pPr>
      <w:r>
        <w:rPr>
          <w:rFonts w:ascii="Times New Roman;serif" w:hAnsi="Times New Roman;serif"/>
          <w:b w:val="false"/>
          <w:i/>
          <w:sz w:val="20"/>
        </w:rPr>
        <w:t>Cash flows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following table summarizes our sources and uses of cash for each of the periods presented:</w:t>
      </w:r>
      <w:r>
        <w:rPr>
          <w:rFonts w:ascii="Times New Roman" w:hAnsi="Times New Roman"/>
          <w:sz w:val="20"/>
        </w:rPr>
        <w:t xml:space="preserve"> </w:t>
      </w:r>
    </w:p>
    <w:p>
      <w:pPr>
        <w:pStyle w:val="TextBody"/>
        <w:spacing w:before="0" w:after="0"/>
        <w:jc w:val="both"/>
        <w:rPr/>
      </w:pPr>
      <w:r>
        <w:rPr/>
        <w:t> </w:t>
      </w:r>
    </w:p>
    <w:tbl>
      <w:tblPr>
        <w:tblW w:w="7274" w:type="dxa"/>
        <w:jc w:val="left"/>
        <w:tblInd w:w="0" w:type="dxa"/>
        <w:tblCellMar>
          <w:top w:w="28" w:type="dxa"/>
          <w:left w:w="28" w:type="dxa"/>
          <w:bottom w:w="28" w:type="dxa"/>
          <w:right w:w="28" w:type="dxa"/>
        </w:tblCellMar>
      </w:tblPr>
      <w:tblGrid>
        <w:gridCol w:w="4711"/>
        <w:gridCol w:w="146"/>
        <w:gridCol w:w="211"/>
        <w:gridCol w:w="736"/>
        <w:gridCol w:w="166"/>
        <w:gridCol w:w="146"/>
        <w:gridCol w:w="211"/>
        <w:gridCol w:w="736"/>
        <w:gridCol w:w="211"/>
      </w:tblGrid>
      <w:tr>
        <w:trPr/>
        <w:tc>
          <w:tcPr>
            <w:tcW w:w="47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7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shd w:fill="auto" w:val="clear"/>
            <w:vAlign w:val="center"/>
          </w:tcPr>
          <w:p>
            <w:pPr>
              <w:pStyle w:val="TableContents"/>
              <w:spacing w:before="0" w:after="0"/>
              <w:ind w:left="0" w:right="0" w:hanging="0"/>
              <w:jc w:val="center"/>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(43,968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(40,295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provided by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24,584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25,863</w:t>
            </w:r>
          </w:p>
        </w:tc>
        <w:tc>
          <w:tcPr>
            <w:tcW w:w="21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(18,225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(14,247</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both"/>
        <w:rPr/>
      </w:pPr>
      <w:r>
        <w:rPr/>
        <w:t> </w:t>
      </w:r>
    </w:p>
    <w:p>
      <w:pPr>
        <w:pStyle w:val="TextBody"/>
        <w:spacing w:before="120" w:after="0"/>
        <w:jc w:val="both"/>
        <w:rPr>
          <w:rFonts w:ascii="Times New Roman" w:hAnsi="Times New Roman"/>
          <w:sz w:val="20"/>
        </w:rPr>
      </w:pPr>
      <w:r>
        <w:rPr>
          <w:rFonts w:ascii="Times New Roman;serif" w:hAnsi="Times New Roman;serif"/>
          <w:b w:val="false"/>
          <w:i/>
          <w:sz w:val="20"/>
        </w:rPr>
        <w:t>Cash Flow used in Operating Activities</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During the three months ended March 31, 2023, cash used in operating activities was $44.0 million, primarily resulting from our net loss of $40.9 million during the period, the $6.1 million change in deferred revenue under our Sanofi and Vertex collaboration agreements, and a $5.9 million net decrease in other operating assets and liabilities primarily driven by changes in accounts receivable, accounts payable, accrued expenses and operating lease liabilities. These were offset by adjustments for non-cash items of $8.9 million (primarily consisting of stock-based compensation, depreciation &amp; amortization and premiums &amp; discounts on available-sale-securities).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During the three months ended March 31, 2022, cash used in operating activities was $40.3 million, primarily resulting from our net loss of $36.7 million during the period, the $8.4 million change in deferred revenue under our Sanofi and Vertex collaboration agreements, and a $4.9 million net decrease in other operating assets and liabilities primarily driven by changes in accounts receivable, accounts payable and accrued expenses. These were offset by adjustments for non-cash items of $9.7 million (primarily consisting of stock-based compensation, depreciation &amp; amortization and premiums &amp; discounts on available-sale-securities).</w:t>
      </w:r>
    </w:p>
    <w:p>
      <w:pPr>
        <w:pStyle w:val="TextBody"/>
        <w:spacing w:before="240" w:after="0"/>
        <w:jc w:val="both"/>
        <w:rPr>
          <w:rFonts w:ascii="Times New Roman;serif" w:hAnsi="Times New Roman;serif"/>
          <w:b w:val="false"/>
          <w:i/>
          <w:sz w:val="20"/>
        </w:rPr>
      </w:pPr>
      <w:r>
        <w:rPr>
          <w:rFonts w:ascii="Times New Roman;serif" w:hAnsi="Times New Roman;serif"/>
          <w:b w:val="false"/>
          <w:i/>
          <w:sz w:val="20"/>
        </w:rPr>
        <w:t>Cash Flow provided by Investing Activities</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During the three months ended March 31, 2023, cash provided by investing activities was $24.6 million comprised of maturities of marketable securities of $90.4 million, partially offset by purchases of marketable securities of $61.8 million and purchases of property and equipment of $4.0 million.</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During the three months ended March 31, 2022, cash provided by investing activities was $25.9 million comprised of maturities of marketable securities of $106.5 million offset by purchases of marketable securities of $80.1 million and purchases of property and equipment of $0.5 million.</w:t>
      </w:r>
    </w:p>
    <w:p>
      <w:pPr>
        <w:pStyle w:val="TextBody"/>
        <w:spacing w:before="120" w:after="0"/>
        <w:jc w:val="both"/>
        <w:rPr>
          <w:rFonts w:ascii="Times New Roman" w:hAnsi="Times New Roman"/>
          <w:sz w:val="20"/>
        </w:rPr>
      </w:pPr>
      <w:r>
        <w:rPr>
          <w:rFonts w:ascii="Times New Roman;serif" w:hAnsi="Times New Roman;serif"/>
          <w:b w:val="false"/>
          <w:i/>
          <w:sz w:val="20"/>
        </w:rPr>
        <w:t>Cash Flow provided by Financing Activities</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During the three months ended March 31, 2023, net cash provided by financing activities was $1.2 million, consisting of $1.5 in proceeds from the exercise of employee stock options, partially offset by finance lease payments of $0.3 million.</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During the three months ended March 31, 2022, net cash provided by financing activities was $0.2 million, primarily consisting of $0.5 million in proceeds from the exercise of employee stock options offset by finance lease payments of $0.3 million.</w:t>
      </w:r>
    </w:p>
    <w:p>
      <w:pPr>
        <w:pStyle w:val="TextBody"/>
        <w:spacing w:before="240" w:after="0"/>
        <w:jc w:val="both"/>
        <w:rPr>
          <w:rFonts w:ascii="Times New Roman" w:hAnsi="Times New Roman"/>
          <w:sz w:val="20"/>
        </w:rPr>
      </w:pPr>
      <w:r>
        <w:rPr>
          <w:rFonts w:ascii="Times New Roman;serif" w:hAnsi="Times New Roman;serif"/>
          <w:b w:val="false"/>
          <w:i/>
          <w:sz w:val="20"/>
        </w:rPr>
        <w:t>Future funding requirements</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expect our expenses to increase substantially in connection with our ongoing activities, particularly as we advance the later-stage clinical development of our product candidates. In addition, we expect to incur additional costs associated with operating as a public company.</w:t>
      </w:r>
    </w:p>
    <w:p>
      <w:pPr>
        <w:pStyle w:val="TextBody"/>
        <w:spacing w:before="120" w:after="0"/>
        <w:jc w:val="both"/>
        <w:rPr>
          <w:rFonts w:ascii="Times New Roman" w:hAnsi="Times New Roman"/>
          <w:sz w:val="20"/>
        </w:rPr>
      </w:pPr>
      <w:r>
        <w:rPr>
          <w:rFonts w:ascii="Times New Roman;serif" w:hAnsi="Times New Roman;serif"/>
          <w:b w:val="false"/>
          <w:sz w:val="20"/>
        </w:rPr>
        <w:t>Because of the numerous risks and uncertainties associated with the development of our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The timing and amount of our operating expenditures will depend largely on:</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initiation, progress, timing, costs and results of nonclinical studies and clinical trials for our product candidates or any future product candidates we may develop;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ability to maintain our relationships with Sanofi, Vertex and other key collaborators;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outcome, timing and cost of seeking and obtaining regulatory approvals from the FDA and comparable foreign regulatory authorities, including the potential for such authorities to require that we perform more nonclinical studies or clinical trials than those that we currently expect or change their requirements on studies that had previously been agreed to;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effect of competing technological and market developments;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costs of continuing to grow our business, including hiring key personnel and maintaining or acquiring operating space;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degree of market acceptance of any approved product candidates, including product pricing, as well as product coverage and the adequacy of reimbursement by third-party payors;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cost of acquiring, licensing or investing in additional businesses, products, product candidates and technologies;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cost and timing of selecting, auditing and potentially validating a manufacturing site for commercial-scale manufacturing;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cost of establishing sales, marketing and distribution capabilities for any product candidates for which we may receive regulatory approval and that we determine to commercialize;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our need to implement additional internal systems and infrastructure, including financial and reporting systems.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240" w:after="0"/>
        <w:jc w:val="both"/>
        <w:rPr>
          <w:rFonts w:ascii="Times New Roman" w:hAnsi="Times New Roman"/>
          <w:sz w:val="20"/>
        </w:rPr>
      </w:pPr>
      <w:r>
        <w:rPr>
          <w:rFonts w:ascii="Times New Roman;serif" w:hAnsi="Times New Roman;serif"/>
          <w:b w:val="false"/>
          <w:sz w:val="20"/>
        </w:rPr>
        <w:t>We believe the existing cash, cash equivalents and marketable securities of $515.9 million as of March 31, 2023, will enable us to fund our operating expenses and capital expenditure requirements into the second half of 2025. We have based this estimate on assumptions that may prove to be wrong, and we could exhaust our available capital resources sooner than we expect. We expect that we will require additional funding to continue the clinical development of our IRAK4, IRAKIMiD, STAT3 and MDM2 programs, commercialize our product candidates if we receive regulatory approval, and pursue in-licenses or acquisitions of other product candidates. If we receive regulatory approval for any of our product candidates, we expect to incur significant commercialization expenses related to product manufacturing, sales, marketing and distribution, depending on where we choose to commercialize our product candidates.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Market volatility resulting from the COVID-19 pandemic or other factors could also adversely impact our ability to access capital as and when needed. To the extent that we raise additional capital through the sale of equity or convertible debt securities, the ownership interests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i/>
          <w:sz w:val="20"/>
        </w:rPr>
        <w:t>Contractual Obligations and Other Commitments</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There were no material changes to our contractual obligations and commitments described under “Management’s Discussion and Analysis of Financial Condition and Results of Operations” in our Annual Report on Form 10-K for the fiscal year ended December 31, 2022.</w:t>
      </w:r>
    </w:p>
    <w:p>
      <w:pPr>
        <w:pStyle w:val="TextBody"/>
        <w:spacing w:before="120" w:after="0"/>
        <w:jc w:val="both"/>
        <w:rPr>
          <w:rFonts w:ascii="Times New Roman" w:hAnsi="Times New Roman"/>
          <w:sz w:val="20"/>
        </w:rPr>
      </w:pPr>
      <w:r>
        <w:rPr>
          <w:rFonts w:ascii="Times New Roman;serif" w:hAnsi="Times New Roman;serif"/>
          <w:b/>
          <w:i/>
          <w:sz w:val="20"/>
        </w:rPr>
        <w:t>Critical Accounting Policies and Estimates</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management’s discussion and analysis of our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During the three months ended March 31, 2023, there were no material changes to our critical accounting policies from those described in our Annual Report Form 10-K filed with the SEC on February 23, 2023.</w:t>
      </w:r>
    </w:p>
    <w:p>
      <w:pPr>
        <w:pStyle w:val="TextBody"/>
        <w:spacing w:before="120" w:after="0"/>
        <w:jc w:val="both"/>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360" w:after="0"/>
        <w:jc w:val="both"/>
        <w:rPr>
          <w:rFonts w:ascii="Times New Roman" w:hAnsi="Times New Roman"/>
          <w:sz w:val="20"/>
        </w:rPr>
      </w:pPr>
      <w:bookmarkStart w:id="11" w:name="i_item3"/>
      <w:bookmarkEnd w:id="11"/>
      <w:r>
        <w:rPr>
          <w:rFonts w:ascii="Times New Roman;serif" w:hAnsi="Times New Roman;serif"/>
          <w:b/>
          <w:sz w:val="20"/>
        </w:rPr>
        <w:t>Item 3. Quantitative and Qualitati</w:t>
      </w:r>
      <w:bookmarkStart w:id="12" w:name="item_3_quantitative_qualitative_disclosu"/>
      <w:bookmarkEnd w:id="12"/>
      <w:r>
        <w:rPr>
          <w:rFonts w:ascii="Times New Roman;serif" w:hAnsi="Times New Roman;serif"/>
          <w:b/>
          <w:sz w:val="20"/>
        </w:rPr>
        <w:t>ve Disclosures About Market Risk.</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of money market funds and marketable securities and are invested in U.S. treasury or government obligations and corporate securities. However, because of the short-term nature of the duration of our portfolio and the low-risk profile of our investments, we believe an immediate 10% change in market interest rates would not be expected to have a material impact on the fair market value of our investments portfolio or on our financial condition or results of operations.</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We are also exposed to market risk related to changes in foreign currency exchange rates. We contract with vendors that are located in Asia and Europe and certain invoices are denominated in foreign currencies. We are subject to fluctuations in foreign currency rates in connection with these arrangements. We do not currently hedge our foreign currency exchange rate risk. As of March 31, 2023, we had no significant liabilities denominated in foreign currencies.</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Inflation generally affects us by increasing our cost of labor and clinical trial costs. The global macroeconomic environment has experienced, and continues to experience, extraordinary challenges, including the highest rates of inflation in 40 years. These macroeconomic factors have contributed, and we expect will continue to contribute, to increased costs, among other concerns. We cannot predict how long these inflationary pressures will continue, or how they may change over time, but we expect to see continued impacts on the global economy, our industry and our company. If inflationary pressures continue to persist, they may continue to have an adverse impact on our consolidated financial position, results of operations and/or cash flows. As a result of the inflationary environment, however, interest rates have increased, which has resulted in higher interest income rates than were previously realized.</w:t>
      </w:r>
    </w:p>
    <w:p>
      <w:pPr>
        <w:pStyle w:val="TextBody"/>
        <w:spacing w:before="360" w:after="0"/>
        <w:jc w:val="both"/>
        <w:rPr>
          <w:rFonts w:ascii="Times New Roman" w:hAnsi="Times New Roman"/>
          <w:sz w:val="20"/>
        </w:rPr>
      </w:pPr>
      <w:bookmarkStart w:id="13" w:name="item_4_controls_procedures"/>
      <w:bookmarkEnd w:id="13"/>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spacing w:before="120" w:after="0"/>
        <w:jc w:val="both"/>
        <w:rPr>
          <w:rFonts w:ascii="Times New Roman;serif" w:hAnsi="Times New Roman;serif"/>
          <w:b w:val="false"/>
          <w:i/>
          <w:sz w:val="20"/>
        </w:rPr>
      </w:pPr>
      <w:r>
        <w:rPr>
          <w:rFonts w:ascii="Times New Roman;serif" w:hAnsi="Times New Roman;serif"/>
          <w:b w:val="false"/>
          <w:i/>
          <w:sz w:val="20"/>
        </w:rPr>
        <w:t>Management’s Evaluation of our Disclosure Controls and Procedures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Our management, with the participation of our Chief Executive Officer, who serves as our Principal Executive Officer, and our Chief Financial Officer, who serves as our Principal Financial Officer, has evaluated the effectiveness of our disclosure controls and procedures as of March 31, 2023, the end of the period covered by this Quarterly Report. Based upon such evaluation, our Chief Executive Officer and Chief Financial Officer have concluded that our disclosure controls and procedures were effective at the reasonable assurance level as of such date.</w:t>
      </w:r>
    </w:p>
    <w:p>
      <w:pPr>
        <w:pStyle w:val="TextBody"/>
        <w:spacing w:before="360" w:after="0"/>
        <w:jc w:val="both"/>
        <w:rPr>
          <w:rFonts w:ascii="Times New Roman;serif" w:hAnsi="Times New Roman;serif"/>
          <w:b w:val="false"/>
          <w:i/>
          <w:sz w:val="20"/>
        </w:rPr>
      </w:pPr>
      <w:r>
        <w:rPr>
          <w:rFonts w:ascii="Times New Roman;serif" w:hAnsi="Times New Roman;serif"/>
          <w:b w:val="false"/>
          <w:i/>
          <w:sz w:val="20"/>
        </w:rPr>
        <w:t>Changes in Internal Control over Financial Reporting</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There were no changes in our internal control over financial reporting that occurred during the period covered by this Quarterly Report that have materially affected, or are reasonably likely to materially affect, our internal control over financial reporting.</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360" w:after="0"/>
        <w:jc w:val="center"/>
        <w:rPr>
          <w:rFonts w:ascii="Times New Roman" w:hAnsi="Times New Roman"/>
          <w:sz w:val="20"/>
        </w:rPr>
      </w:pPr>
      <w:bookmarkStart w:id="14" w:name="i_item4t"/>
      <w:bookmarkEnd w:id="14"/>
      <w:r>
        <w:rPr>
          <w:rFonts w:ascii="Times New Roman;serif" w:hAnsi="Times New Roman;serif"/>
          <w:b/>
          <w:sz w:val="20"/>
        </w:rPr>
        <w:t>PART II—OTH</w:t>
      </w:r>
      <w:bookmarkStart w:id="15" w:name="part_iior_information"/>
      <w:bookmarkEnd w:id="15"/>
      <w:r>
        <w:rPr>
          <w:rFonts w:ascii="Times New Roman;serif" w:hAnsi="Times New Roman;serif"/>
          <w:b/>
          <w:sz w:val="20"/>
        </w:rPr>
        <w:t>ER INFORMATION</w:t>
      </w:r>
    </w:p>
    <w:p>
      <w:pPr>
        <w:pStyle w:val="TextBody"/>
        <w:spacing w:before="240" w:after="0"/>
        <w:jc w:val="both"/>
        <w:rPr>
          <w:rFonts w:ascii="Times New Roman;serif" w:hAnsi="Times New Roman;serif"/>
          <w:b/>
          <w:sz w:val="20"/>
        </w:rPr>
      </w:pPr>
      <w:bookmarkStart w:id="16" w:name="item_1_legal_proceedings"/>
      <w:bookmarkEnd w:id="16"/>
      <w:r>
        <w:rPr>
          <w:rFonts w:ascii="Times New Roman;serif" w:hAnsi="Times New Roman;serif"/>
          <w:b/>
          <w:sz w:val="20"/>
        </w:rPr>
        <w:t>Item 1. Legal Proceedings.</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pStyle w:val="TextBody"/>
        <w:spacing w:before="360" w:after="0"/>
        <w:jc w:val="both"/>
        <w:rPr>
          <w:rFonts w:ascii="Times New Roman;serif" w:hAnsi="Times New Roman;serif"/>
          <w:b/>
          <w:sz w:val="20"/>
        </w:rPr>
      </w:pPr>
      <w:bookmarkStart w:id="17" w:name="item_1a_risk_factors"/>
      <w:bookmarkEnd w:id="17"/>
      <w:r>
        <w:rPr>
          <w:rFonts w:ascii="Times New Roman;serif" w:hAnsi="Times New Roman;serif"/>
          <w:b/>
          <w:sz w:val="20"/>
        </w:rPr>
        <w:t>Item 1A. Risk Factors.</w:t>
      </w:r>
    </w:p>
    <w:p>
      <w:pPr>
        <w:pStyle w:val="TextBody"/>
        <w:spacing w:before="120" w:after="0"/>
        <w:jc w:val="both"/>
        <w:rPr>
          <w:rFonts w:ascii="Times New Roman;serif" w:hAnsi="Times New Roman;serif"/>
          <w:b w:val="false"/>
          <w:i/>
          <w:sz w:val="20"/>
        </w:rPr>
      </w:pPr>
      <w:r>
        <w:rPr>
          <w:rFonts w:ascii="Times New Roman;serif" w:hAnsi="Times New Roman;serif"/>
          <w:b w:val="false"/>
          <w:i/>
          <w:sz w:val="20"/>
        </w:rPr>
        <w:t>The following discussion and analysis should be read in conjunction with the unaudited condensed consolidated financial statements and related notes included elsewhere in this Quarterly Report on Form 10-Q, the Quarterly Report. This discussion and analysis and other parts of this Quarterly Report contain forward-looking statements based upon current activities, plans and expectations that involve risks, uncertainties and assumptions, such as express or implied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pStyle w:val="TextBody"/>
        <w:spacing w:before="12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20"/>
        </w:rPr>
        <w:t>Risks Related to Our Financial Position and Need for Additional Capital</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We are a biopharmaceutical company with a limited operating history and have not generated any revenue to date from drug sales, and may never become profitable.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Biopharmaceutical drug development is a highly speculative undertaking and involves a substantial degree of risk. Since our formation in 2015 and our initial funding in 2016, our operations to date have been limited primarily to organizing and staffing our company, business planning, raising capital, researching and developing our drug discovery technology, developing our pipeline, building our intellectual property portfolio, undertaking preclinical studies and conducting Phase 1 clinical trials of our product candidates. We have never generated any revenue from drug sales. We have not obtained regulatory approvals for any of our current product candidates. Typically, it takes many years to develop one new pharmaceutical drug from the time it is discovered to when it is available for treating patients. Consequently, any predictions we make about our future success or viability may not be as accurate as they could be if we had a longer operating history. In addition, as a business with a limited operating history, we may encounter unforeseen expenses, difficulties, complications, delays and other known and unknown factors, such as the COVID-19 pandemic. We will need to transition from a company with a research and development focus to a company capable of supporting late-stage development and commercial activities. We may not be successful in such a transition.</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We have incurred significant operating losses since our inception and anticipate that we will incur continued losses for the foreseeable future.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Since inception, we have focused substantially all of our efforts and financial resources on developing our proprietary targeted protein degradation drug discovery platform, or the PegasusTM platform, and initial product candidates as well as supporting our collaborations and partnerships. To date, we have financed our operations primarily through the issuance and sale of our convertible preferred stock to outside investors and collaborators in private equity financings, upfront payments under our existing collaborations and our initial public offering, follow-on offering and PIPE offering. From our inception through March 31, 2023, we raised an aggregate of approximately $1.03 billion of gross proceeds from such transactions and through our collaborations with Genzyme Corporation, or Sanofi, and Vertex Pharmaceuticals Incorporated, or Vertex. As of March 31, 2023, our cash and cash equivalents and investments were $515.9 million. We have incurred net losses in each year since our inception, and we had an accumulated deficit of $424.7 million as of March 31, 2023. For the years ended December 31, 2022, 2021 and 2020, we reported net losses of $154.8 million, $100.2 million and $45.6 million, respectively. We reported net losses of $40.9 million and $36.7 million for the three months ended March 31, 2023 and 2022, respectively. Substantially all of our operating losses have resulted from costs incurred in connection with our research and development programs and from general and administrative costs associated with our operations. We expect to continue to incur significant expenses and increasing operating losses over the next several years and for the foreseeable future. Our prior losses, combined with expected future losses, have had and will continue to have an adverse effect on our stockholders’ deficit and working capital. We expect our expenses to significantly increase in connection with our ongoing activities, as we:</w:t>
      </w:r>
      <w:r>
        <w:rPr>
          <w:rFonts w:ascii="Times New Roman" w:hAnsi="Times New Roman"/>
          <w:sz w:val="20"/>
        </w:rPr>
        <w:t xml:space="preserve">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initiate and complete preclinical studies and clinical trials for current or future product candidates, including KT-474, KT-413, KT-333 and KT-253;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pPr>
      <w:r>
        <w:rPr>
          <w:rFonts w:ascii="Times New Roman;serif" w:hAnsi="Times New Roman;serif"/>
          <w:b w:val="false"/>
          <w:sz w:val="20"/>
        </w:rPr>
        <w:t>prepare and submit Investigational New Drug applications, or INDs, with the U.S. Food and Drug Administration, or FDA, for future product candidates</w:t>
      </w:r>
      <w:r>
        <w:rPr>
          <w:rFonts w:ascii="Times New Roman;serif" w:hAnsi="Times New Roman;serif"/>
          <w:b w:val="false"/>
          <w:sz w:val="24"/>
        </w:rPr>
        <w:t>;</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develop and scale up our capabilities to support our ongoing preclinical activities and clinical trials for our product candidates and commercialization of any of our product candidates for which we may obtain marketing approval;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secure facilities to support continued growth in our research, development and commercialization efforts;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advance research and development related activities to expand our product pipeline; </w:t>
      </w:r>
    </w:p>
    <w:p>
      <w:pPr>
        <w:pStyle w:val="TextBody"/>
        <w:spacing w:before="120" w:after="0"/>
        <w:jc w:val="both"/>
        <w:rPr/>
      </w:pPr>
      <w:r>
        <w:rPr/>
        <w:t>•</w:t>
      </w:r>
    </w:p>
    <w:p>
      <w:pPr>
        <w:pStyle w:val="TextBody"/>
        <w:spacing w:before="120" w:after="0"/>
        <w:jc w:val="both"/>
        <w:rPr/>
      </w:pPr>
      <w:r>
        <w:rPr>
          <w:rFonts w:ascii="Times New Roman;serif" w:hAnsi="Times New Roman;serif"/>
          <w:b w:val="false"/>
          <w:sz w:val="20"/>
        </w:rPr>
        <w:t>expand and improve the capabilities of our Pegasus</w:t>
      </w:r>
      <w:r>
        <w:rPr>
          <w:rFonts w:ascii="Times New Roman;serif" w:hAnsi="Times New Roman;serif"/>
          <w:b w:val="false"/>
          <w:sz w:val="13"/>
        </w:rPr>
        <w:t>TM</w:t>
      </w:r>
      <w:r>
        <w:rPr/>
        <w:t xml:space="preserve"> </w:t>
      </w:r>
      <w:r>
        <w:rPr>
          <w:rFonts w:ascii="Times New Roman;serif" w:hAnsi="Times New Roman;serif"/>
          <w:b w:val="false"/>
          <w:sz w:val="20"/>
        </w:rPr>
        <w:t xml:space="preserve">platform;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seek regulatory approval for our product candidates that successfully complete clinical development;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contract to manufacture our product candidates;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maintain, expand and protect our intellectual property portfolio;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hire additional staff, including clinical, scientific and management personnel;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incur additional costs associated with continuing to operate as a public company.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In addition, if we obtain marketing approval for our current or future product candidates, we will incur significant expenses relating to sales, marketing, product manufacturing and distribution. Because of the numerous risks and uncertainties associated with developing pharmaceutical drugs, including in light of the global impact of the COVID-19 pandemic, we are unable to predict the extent of any future losses or when we will become profitable, if at all. Even if we do become profitable, we may not be able to sustain or increase our profitability on a quarterly or annual basis.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u w:val="single"/>
        </w:rPr>
      </w:pPr>
      <w:r>
        <w:rPr>
          <w:rFonts w:ascii="Times New Roman;serif" w:hAnsi="Times New Roman;serif"/>
          <w:b w:val="false"/>
          <w:sz w:val="20"/>
          <w:u w:val="single"/>
        </w:rPr>
        <w:t>Risks Related to Future Financial Condition</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We will need to raise substantial additional funding. If we are unable to raise capital when needed or on attractive terms, we would be forced to delay, scale back or discontinue some of our product candidate development programs or future commercialization efforts.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development of pharmaceutical drugs is capital-intensive. We have commenced clinical development of KT-474, KT-413, KT-333 and KT-253. We are also currently advancing multiple development candidates through preclinical development across a number of potential indications. We expect our expenses to increase substantially in connection with our ongoing activities, particularly as we continue the research and development of, advance the preclinical and clinical activities of, and seek marketing approval for, our current or future product candidates. In addition, if we obtain marketing approval for any of our current or future product candidates, we expect to incur significant commercialization expenses related to sales, marketing, product manufacturing and distribution to the extent that such sales, marketing, product manufacturing and distribution are not the responsibility of our collaborators. We may also need to raise additional funds sooner if we choose to pursue additional indications and/or geographies for our current or future product candidates or otherwise expand more rapidly than we presently anticipate.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scale back or discontinue the development and commercialization of one or more of our product candidates, and may be unable to expand our operations or otherwise capitalize on our business opportunities, as desired, which could materially affect our business, financial condition and results of operations.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As of March 31, 2023, we had approximately $515.9 million of cash and cash equivalents and investments. In August 2020, we completed an IPO of our common stock by issuing 9,987,520 shares of our common stock, including the exercise in full by the underwriters of their option to purchase up to 1,302,720 additional shares of common stock, at a public offering price of $20.00 per share. The aggregate gross proceeds to us from the offering, before deducting underwriting discounts and commissions, and other estimated offering expenses payable by us, were approximately $199.8 million. Concurrent with the IPO, we announced the sale of 676,354 common shares at the public offering price per share in a private placement to Vertex. The aggregate gross proceeds to us from the concurrent private placement were approximately $13.5 million. The concurrent private placement also closed in August 2020. In July 2021, we completed a follow-on offering of our common stock and an additional private placement transaction with Vertex resulting, in the aggregate, in net proceeds of approximately, $243.1 million. In August 2022, we completed a PIPE offering of our common stock and pre-funded warrants resulting in gross proceeds of $150.0 million. We expect that the approximately $515.9 million of cash and cash equivalents and investments at March 31, 2023 will be sufficient to fund our operations into the second half of 2025. We have based this estimate on assumptions that may prove to be wrong, and we could use our capital resources sooner than we currently expect. This estimate also assumes that we do not obtain any additional funding through collaborations or other strategic alliances. Our future capital requirements will depend on, and could increase significantly as a result of, many factors, including:</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scope, progress, results and costs of drug discovery, preclinical development, laboratory testing and clinical trials for our current or future product candidates, including additional expenses attributable to adjusting our development plans (including any supply related matters) in response to the COVID-19 pandemic and any future pandemics;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scope, prioritization and number of our research and development programs;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costs, timing and outcome of regulatory review of our current or future product candidates;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ability to establish and maintain additional collaborations on favorable terms, if at all;</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achievement of milestones or occurrence of other developments that trigger payments under any existing or additional collaboration agreements we obtain;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extent to which we are obligated to reimburse, or entitled to reimbursement of, clinical trial costs under future collaboration agreements, if any;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costs of preparing, filing and prosecuting patent applications, maintaining and enforcing our intellectual property rights and defending intellectual property-related claims;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extent to which we acquire or in-license other current or future product candidates and technologies;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costs of securing manufacturing arrangements for commercial production;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the costs of establishing or contracting for sales and marketing capabilities if we obtain regulatory clearances to market our current or future product candidates. </w:t>
      </w:r>
    </w:p>
    <w:p>
      <w:pPr>
        <w:pStyle w:val="TextBody"/>
        <w:spacing w:before="120" w:after="0"/>
        <w:jc w:val="both"/>
        <w:rPr>
          <w:rFonts w:ascii="Times New Roman" w:hAnsi="Times New Roman"/>
          <w:sz w:val="20"/>
        </w:rPr>
      </w:pPr>
      <w:r>
        <w:rPr>
          <w:rFonts w:ascii="Times New Roman;serif" w:hAnsi="Times New Roman;serif"/>
          <w:b w:val="false"/>
          <w:sz w:val="20"/>
        </w:rPr>
        <w:t>Identifying potential product candidates and conducting preclinical studies and clinical trials is a time-consuming, expensive and uncertain process that takes years to complete, and we may never generate the necessary data or results required to obtain marketing approval and achieve drug sales. In addition, our current or future product candidates, if approved, may not achieve commercial success. Our commercial revenues, if any, will be derived from sales of drugs that we do not expect to be commercially available for many years, if at all. Accordingly, we will need to continue to rely on additional funding to achieve our business objectives.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Any additional fundraising efforts may divert our management from their day-to-day activities, which may adversely affect our ability to develop and commercialize our current or future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favorable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current or future product candidates or otherwise agree to terms unfavorable to us, any of which may have a material adverse effect on our business, operating results and prospects.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We will continue to incur increased costs as a result of operating as a public company, and our management will be required to devote substantial time to new compliance initiatives.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As a public company, we will continue to incur significant legal, accounting and other expenses that we did not incur as a private company. We are subject to the reporting requirements of the Securities Exchange Act of 1934, as amended, or the Exchange Act, which require, among other things, that we file with the Securities and Exchange Commission, or the SEC, annual, quarterly and current reports with respect to our business and financial condition. In addition, the Sarbanes-Oxley Act of 2002, as amended, or Sarbanes-Oxley Act, as well as rules subsequently adopted by the SEC and The Nasdaq Global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We were required to implement these requirements beginning in 2022 and incurred unexpected expenses in connection with such implementation.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rules and regulations applicable to public companies substantially increase our legal and financial compliance costs and make some activities more time-consuming and costly. If these requirements divert the attention of our management and personnel from</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r>
        <w:rPr>
          <w:rFonts w:ascii="Times New Roman" w:hAnsi="Times New Roman"/>
          <w:sz w:val="20"/>
        </w:rPr>
        <w:t xml:space="preserve"> </w:t>
      </w:r>
    </w:p>
    <w:p>
      <w:pPr>
        <w:pStyle w:val="TextBody"/>
        <w:spacing w:before="0" w:after="0"/>
        <w:jc w:val="left"/>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pStyle w:val="TextBody"/>
        <w:spacing w:before="120" w:after="0"/>
        <w:jc w:val="both"/>
        <w:rPr>
          <w:rFonts w:ascii="Times New Roman" w:hAnsi="Times New Roman"/>
          <w:sz w:val="20"/>
        </w:rPr>
      </w:pPr>
      <w:r>
        <w:rPr>
          <w:rFonts w:ascii="Times New Roman;serif" w:hAnsi="Times New Roman;serif"/>
          <w:b w:val="false"/>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Since that date, SVB has announced they have been acquired by First Citizens Bank and have resumed mostly normal operations.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spacing w:before="120" w:after="0"/>
        <w:jc w:val="both"/>
        <w:rPr>
          <w:rFonts w:ascii="Times New Roman" w:hAnsi="Times New Roman"/>
          <w:sz w:val="20"/>
        </w:rPr>
      </w:pPr>
      <w:r>
        <w:rPr>
          <w:rFonts w:ascii="Times New Roman;serif" w:hAnsi="Times New Roman;serif"/>
          <w:b w:val="false"/>
          <w:sz w:val="20"/>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whom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Delayed access to deposits or other financial assets or the uninsured loss of deposits or other financial assets;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Delayed or lost access to working capital sources and/or delays, inability or reductions in our ability to enter into new credit facilities or other working capital resources;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Potential or actual breach of contractual obligations that require us to maintain letters of credit or other credit support arrangements;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Potential or actual breach of financial covenants in any credit agreements or credit arrangements; or</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Potential or actual cross-defaults in other credit agreements, credit arrangements or operating or financing agreements.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supplier may determine that it will no longer deal with us as a customer. In addition, a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supplier bankruptcy or insolvency, or any breach or default by a supplier, or the loss of any significant supplier relationships, could result in material losses to us and may have a material adverse impact on our business.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sz w:val="20"/>
        </w:rPr>
        <w:t>Risks Related to Drug Development and Regulatory Approval</w:t>
      </w:r>
      <w:r>
        <w:rPr>
          <w:rFonts w:ascii="Times New Roman" w:hAnsi="Times New Roman"/>
          <w:sz w:val="20"/>
        </w:rPr>
        <w:t xml:space="preserve"> </w:t>
      </w:r>
    </w:p>
    <w:p>
      <w:pPr>
        <w:pStyle w:val="TextBody"/>
        <w:spacing w:before="0" w:after="0"/>
        <w:jc w:val="both"/>
        <w:rPr>
          <w:rFonts w:ascii="Times New Roman;serif" w:hAnsi="Times New Roman;serif"/>
          <w:b w:val="false"/>
          <w:sz w:val="20"/>
          <w:u w:val="single"/>
        </w:rPr>
      </w:pPr>
      <w:r>
        <w:rPr>
          <w:rFonts w:ascii="Times New Roman;serif" w:hAnsi="Times New Roman;serif"/>
          <w:b w:val="false"/>
          <w:sz w:val="20"/>
          <w:u w:val="single"/>
        </w:rPr>
        <w:t>Risks Related to Preclinical and Clinical Development</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We are very early in our development efforts. All of our product candidates are in preclinical or early clinical development. If we are unable to commercialize our product candidates or experience significant delays in doing so, our business will be materially harmed.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Our ability to become profitable depends upon our ability to generate revenue. To date, while we have generated collaboration revenue, we have not generated any revenue from our product candidates, and we do not expect to generate any revenue from the sale of drugs in the near future. We do not expect to generate revenue from product sales unless and until we complete the development of, obtain marketing approval for, and begin to sell, one or more of our product candidates. We are also unable to predict when, if ever, we will be able to generate revenue from such product candidates due to the numerous risks and uncertainties associated with drug development, including the uncertainty of:</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results of ongoing or planned clinical trials of our product candidates, including KT-474, KT-413, KT-333 and KT-253;</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results of preclinical studies and timing of IND clearances of future product candidates, and/or clinical trial costs for current and future product candidates;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successful initiation, enrollment of and completion of clinical trials for current and future product candidates, including our ability to generate positive data from any such clinical trials;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ability to receive regulatory approvals from applicable regulatory authorities;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initiation and successful completion of all safety studies required to obtain U.S. and foreign marketing approval for our product candidates;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costs associated with the development of any additional development programs we identify in-house or acquire through collaborations or other arrangements;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ability to establish and maintain manufacturing capabilities or make arrangements with third-party manufacturers for clinical supply and commercial manufacturing;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obtaining and maintaining patent and trade secret protection or regulatory exclusivity for our product candidates;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launching commercial sales of our product candidates, if and when approved, whether alone or in collaboration with others;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obtaining and maintaining acceptance of our product candidates, if and when approved, by patients, the medical community and third-party payors;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effectively competing with other therapies;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obtaining and maintaining healthcare coverage and adequate reimbursement;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success of our existing collaborations as well as the terms and timing of any additional collaboration, license or other arrangement, including the terms and timing of any payments thereunder;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ability to enforce and defend intellectual property rights and claims;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our ability to maintain a continued acceptable safety profile of our product candidates following approval. </w:t>
      </w:r>
    </w:p>
    <w:p>
      <w:pPr>
        <w:pStyle w:val="TextBody"/>
        <w:spacing w:before="0" w:after="0"/>
        <w:jc w:val="both"/>
        <w:rPr/>
      </w:pPr>
      <w:r>
        <w:rPr/>
        <w:t>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expect to incur significant sales and marketing costs as we prepare to commercialize our current or future product candidates. Even if we initiate and successfully complete pivotal or registration-enabling clinical trials of our current or future product candidates, and our current or future product candidates are approved for commercial sale, and despite expending these costs, our current or future product candidates may not be commercially successful. We may not achieve profitability soon after generating drug sales, if ever. If we are unable to generate revenue, we will not become profitable and may be unable to continue operations without continued funding.</w:t>
      </w:r>
    </w:p>
    <w:p>
      <w:pPr>
        <w:pStyle w:val="TextBody"/>
        <w:spacing w:before="0" w:after="0"/>
        <w:jc w:val="both"/>
        <w:rPr>
          <w:rFonts w:ascii="Times New Roman" w:hAnsi="Times New Roman"/>
          <w:sz w:val="20"/>
        </w:rPr>
      </w:pPr>
      <w:r>
        <w:rPr>
          <w:rFonts w:ascii="Times New Roman;serif" w:hAnsi="Times New Roman;serif"/>
          <w:b/>
          <w:i/>
          <w:sz w:val="20"/>
        </w:rPr>
        <w:t>Our approach to the discovery and development of product candidates based on our Pegasus platform is novel and unproven, which makes it difficult to predict the time, cost of development and likelihood of successfully developing any products.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Our Pegasus</w:t>
      </w:r>
      <w:r>
        <w:rPr>
          <w:rFonts w:ascii="Times New Roman;serif" w:hAnsi="Times New Roman;serif"/>
          <w:b w:val="false"/>
          <w:sz w:val="13"/>
        </w:rPr>
        <w:t>TM</w:t>
      </w:r>
      <w:r>
        <w:rPr>
          <w:rFonts w:ascii="Times New Roman" w:hAnsi="Times New Roman"/>
          <w:sz w:val="20"/>
        </w:rPr>
        <w:t xml:space="preserve"> </w:t>
      </w:r>
      <w:r>
        <w:rPr>
          <w:rFonts w:ascii="Times New Roman;serif" w:hAnsi="Times New Roman;serif"/>
          <w:b w:val="false"/>
          <w:sz w:val="20"/>
        </w:rPr>
        <w:t>platform utilizes a method known as targeted protein degradation, or TPD, to discover and develop product candidates. Our future success depends on the successful development of this novel therapeutic approach. No product candidate using a heterobifunctional degrader has been approved in the United States or Europe, and the data underlying the feasibility of developing such therapeutic products is both preliminary and limited. In addition, we have not yet succeeded and may not succeed in demonstrating the efficacy and safety of any of our product candidates in clinical trials or in obtaining marketing approval thereafter. In particular, our ability to successfully achieve TPD with a therapeutic result requires the successful development of heterobifunctional molecules that were intentionally designed with a rational drug development process and developing those molecules with the right combination of protein targets and E3 ligases. This is a complex process requiring a number of component parts or biological mechanisms to work in unison to achieve the desired effect. We cannot be certain that we will be able to discover degraders by matching the right target with the ideal E3 ligase and the right linker in a timely manner, or at all. All of our product candidates are in preclinical or early clinical development. As such, there may be adverse effects from treatment with any of our current or future product candidates that we cannot predict at this time.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As a result of these factors, it is more difficult for us to predict the time and cost of product candidate development, and we cannot predict whether the application of our Pegasus</w:t>
      </w:r>
      <w:r>
        <w:rPr>
          <w:rFonts w:ascii="Times New Roman;serif" w:hAnsi="Times New Roman;serif"/>
          <w:b w:val="false"/>
          <w:sz w:val="13"/>
        </w:rPr>
        <w:t xml:space="preserve">TM </w:t>
      </w:r>
      <w:r>
        <w:rPr>
          <w:rFonts w:ascii="Times New Roman;serif" w:hAnsi="Times New Roman;serif"/>
          <w:b w:val="false"/>
          <w:sz w:val="20"/>
        </w:rPr>
        <w:t>platform, or any similar or competitive platforms, will result in the development and marketing approval of any products. Any development problems we experience in the future related to our Pegasus</w:t>
      </w:r>
      <w:r>
        <w:rPr>
          <w:rFonts w:ascii="Times New Roman;serif" w:hAnsi="Times New Roman;serif"/>
          <w:b w:val="false"/>
          <w:sz w:val="13"/>
        </w:rPr>
        <w:t>TM</w:t>
      </w:r>
      <w:r>
        <w:rPr>
          <w:rFonts w:ascii="Times New Roman" w:hAnsi="Times New Roman"/>
          <w:sz w:val="20"/>
        </w:rPr>
        <w:t xml:space="preserve"> </w:t>
      </w:r>
      <w:r>
        <w:rPr>
          <w:rFonts w:ascii="Times New Roman;serif" w:hAnsi="Times New Roman;serif"/>
          <w:b w:val="false"/>
          <w:sz w:val="20"/>
        </w:rPr>
        <w:t>platform or any of our research programs may cause significant delays or unanticipated costs or may prevent the development of a commercially viable product. Any of these factors may prevent us from completing our preclinical studies and clinical trials or commercializing any product candidates we may develop on a timely or profitable basis, if at all.</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A key element of our strategy is to apply our Pegasus</w:t>
      </w:r>
      <w:r>
        <w:rPr>
          <w:rFonts w:ascii="Times New Roman;serif" w:hAnsi="Times New Roman;serif"/>
          <w:b w:val="false"/>
          <w:sz w:val="13"/>
        </w:rPr>
        <w:t>TM</w:t>
      </w:r>
      <w:r>
        <w:rPr>
          <w:rFonts w:ascii="Times New Roman" w:hAnsi="Times New Roman"/>
          <w:sz w:val="20"/>
        </w:rPr>
        <w:t xml:space="preserve"> </w:t>
      </w:r>
      <w:r>
        <w:rPr>
          <w:rFonts w:ascii="Times New Roman;serif" w:hAnsi="Times New Roman;serif"/>
          <w:b w:val="false"/>
          <w:sz w:val="20"/>
        </w:rPr>
        <w:t>platform and product pipeline to address a broad array of targets and new therapeutic areas. The therapeutic discovery activities that we are conducting may not be successful in identifying product candidates that are useful in treating oncology, inflammation, immunology or genetic diseases. Our research programs may be unsuccessful in identifying potential product candidates, or our potential product candidates may be shown to have harmful side effects or may have other characteristics that may make the products unmarketable or unlikely to receive marketing approval.</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Because we have limited financial and management resources, we focus on a limited number of research programs and product candidates. We are currently focused on our four most advanced development programs, IRAK4, IRAKIMiD, STAT3 and MDM2, which target key signaling pathways implicated in multiple inflammatory and autoimmune diseases as well as numerous cancers. As a result, we may forego or delay pursuit of opportunities with other current or future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current or future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i/>
          <w:sz w:val="20"/>
        </w:rPr>
        <w:t>We depend heavily on the successful development of our lead programs. We cannot be certain that we will be able to obtain regulatory approval for, or successfully commercialize, any of our current or future product candidates.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currently have no product candidates approved for sale and may never be able to develop marketable product candidates. Our business depends heavily on the successful development, regulatory approval and commercialization of our current or future product candidates, including our IRAK4, IRAKIMiD, STAT3 and MDM2 programs. The preclinical studies and clinical trials of our current or future product candidates are, and the manufacturing and marketing of our current or future product candidates will be, subject to extensive and rigorous review and regulation by numerous government authorities in the U.S. and in other countries where we intend to test or, if approved, market any of our current or future product candidates. Before obtaining regulatory approvals for the commercial sale of any of our current or future product candidates, we must demonstrate through preclinical studies and clinical trials that each product candidate is safe and effective for use in each target indication. Drug development is a long, expensive and uncertain process, and delay or failure can occur at any stage of any of our preclinical studies and clinical trials. This process can take many years and may include post-marketing studies and surveillance, which will require the expenditure of substantial resources. Of the large number of drugs in development in the U.S., only a small percentage will successfully complete the FDA regulatory approval process and will be commercialized, with similarly low rates of success for drugs in development in the European Union obtaining regulatory approval from the European Commission following scientific evaluation by the European Medicines Agency, or EMA. Accordingly, even if we are able to obtain the requisite financing to continue to fund our development and preclinical studies and clinical trials, we cannot assure you that any of our current or future product candidates will be successfully developed or commercialized. For example, in December 2020, we submitted an IND application for KT-474 to initiate a first-in-human Phase 1 randomized, double-blind, placebo-controlled clinical trial in healthy volunteers and patients with hidradenitis suppurativa (HS) or atopic dermatitis (AD). The program was initially placed on partial clinical hold regarding the multiple ascending dose (MAD) portion of the Phase 1 trial, pending FDA review of the interim data in healthy volunteers from the SAD portion of the trial. In June 2021, the FDA lifted the partial clinical hold on the MAD portion of the Phase 1 trial of KT-474 following review of interim SAD results, and the Phase 1 trial has since been completed.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are not permitted to market our current or future product candidates in the U.S. until we receive approval of a New Drug Application, or an NDA, from the FDA, in the European Union, or EU, until we receive approval of a marketing authorisation application, or an MAA, from the European Commission following scientific evaluation by the EMA, or in any other foreign countries until we receive the requisite approval from such countries. Obtaining approval of an NDA or MAA is a complex, lengthy, expensive and uncertain process, and the FDA or EMA may delay, limit or deny approval of any of our current or future product candidates for many reasons, including, among others:</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we may not be able to demonstrate that our current or future product candidates are safe and effective in treating their target indications to the satisfaction of the FDA or applicable foreign regulatory agency;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results of our preclinical studies and clinical trials may not meet the level of statistical or clinical significance required by the FDA or applicable foreign regulatory agency for marketing approval;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FDA or applicable foreign regulatory agency may disagree with the number, design, size, conduct or implementation of our preclinical studies and clinical trials;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FDA or applicable foreign regulatory agency may require that we conduct additional preclinical studies and clinical trials;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FDA or applicable foreign regulatory agency may not approve the formulation, labeling or specifications of any of our current or future product candidates;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contract research organizations, or CROs, that we retain to conduct our preclinical studies and clinical trials may take actions outside of our control that materially adversely impact our preclinical studies and clinical trials;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FDA or applicable foreign regulatory agency may find the data from preclinical studies and clinical trials insufficient to demonstrate that our current or future product candidates’ clinical and other benefits outweigh their safety risks;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FDA or applicable foreign regulatory agency may disagree with our interpretation of data from our preclinical studies and clinical trials;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the FDA or applicable foreign regulatory agency may not accept data generated at our preclinical studies and clinical trial sites;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FDA may require development of a Risk Evaluation and Mitigation Strategy, or REMS, as a condition of approval or post-approval;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FDA or the applicable foreign regulatory agency may determine that the manufacturing processes or facilities of third-party manufacturers with which we contract do not conform to applicable requirements, including current Good Manufacturing Practices, or cGMPs;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FDA or applicable foreign regulatory agency may be delayed in its review processes due to staffing or other constraints arising from the ongoing COVID-19 pandemic; or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the FDA or applicable foreign regulatory agency may change its approval policies or adopt new regulations.</w:t>
      </w:r>
    </w:p>
    <w:p>
      <w:pPr>
        <w:pStyle w:val="TextBody"/>
        <w:spacing w:before="120" w:after="0"/>
        <w:jc w:val="both"/>
        <w:rPr>
          <w:rFonts w:ascii="Times New Roman" w:hAnsi="Times New Roman"/>
          <w:sz w:val="20"/>
        </w:rPr>
      </w:pPr>
      <w:r>
        <w:rPr>
          <w:rFonts w:ascii="Times New Roman;serif" w:hAnsi="Times New Roman;serif"/>
          <w:b w:val="false"/>
          <w:sz w:val="20"/>
        </w:rPr>
        <w:t>Any of these factors, many of which are beyond our control, could jeopardize our ability to obtain regulatory approval for and successfully market our current or future product candidates. Any such setback in our pursuit of regulatory approval would have a material adverse effect on our business and prospects.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If we experience delays or difficulties in the initiation or enrollment of patients in clinical trials, our receipt of necessary regulatory approvals could be delayed or prevented.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There may be delays in trial initiation, and we may not be able to locate and enroll a sufficient number of eligible patients to participate in these trials as required by the FDA or similar regulatory authorities outside the U.S. Moreover, some of our competitors have ongoing clinical trials for current or future product candidates that treat the same patient populations as our current or future product candidates, and patients who would otherwise be eligible for our clinical trials may instead enroll in clinical trials of our competitors’ current or future product candidates.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Patient enrollment may be affected by other factors including:</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size and nature of the patient population;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competition with other companies for clinical sites or patients;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willingness of participants to enroll in our clinical trials in our countries of interest;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severity of the disease under investigation;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eligibility criteria for the clinical trial in question;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availability of an appropriate screening test for the indications we are pursuing;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perceived risks and benefits of the product candidate under study;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efforts to facilitate timely enrollment in and completion of clinical trials;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patient referral practices of physicians;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ability to monitor patients adequately during and after treatment;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proximity and availability of clinical trial sites for prospective patients;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factors we may not be able to control, such as potential pandemics that may limit subjects, principal investigators or staff or clinical site availability (e.g., the outbreak of COVID-19). </w:t>
      </w:r>
    </w:p>
    <w:p>
      <w:pPr>
        <w:pStyle w:val="TextBody"/>
        <w:spacing w:before="0" w:after="0"/>
        <w:jc w:val="both"/>
        <w:rPr>
          <w:rFonts w:ascii="Times New Roman" w:hAnsi="Times New Roman"/>
          <w:sz w:val="20"/>
        </w:rPr>
      </w:pPr>
      <w:r>
        <w:rPr>
          <w:rFonts w:ascii="Times New Roman;serif" w:hAnsi="Times New Roman;serif"/>
          <w:b/>
          <w:i/>
          <w:sz w:val="20"/>
        </w:rPr>
        <w:t>Interim, “topline,” and preliminary data from our clinical trials that we announce or publish from time to time, including relating to our Phase 1 clinical trials of KT-474, KT-413, KT-333 and KT-253, may change as more patient data become available and are subject to audit and verification procedures that could result in material changes in the final data.</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preliminary data we previously published. As a result, topline data should be viewed with caution until the final data are available. From time to time, we may also disclose interim data from our clinical trials. Interim data from clinical trials that we may complete, including data from of our Phase 1 trials of KT-474, KT-413, KT-333 and KT-253, are subject to the risk that one or more of the clinical outcomes may materially change as patient enrollment continues and more patient data become available or as patients from our clinical trials continue other treatments for their diseases. Adverse differences between preliminary or interim data and final data could significantly harm our business prospects. Further, disclosure of interim data by us or by our competitors could result in volatility in the price of our common stock.</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including our Phase 1 trials of KT-474, KT-413, KT-333 and KT-253, is based on what is typically extensive information, and you or others may not agree with what we determine is material or otherwise appropriate information to include in our disclosure.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Positive results from early preclinical studies and clinical trials of our current or future product candidates are not necessarily predictive of the results of later preclinical studies and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Positive results from our preclinical studies of our current or future product candidates, and any positive results we may obtain from our early clinical trials of our current or future product candidates, including our Phase 1 trial of KT-474, may not necessarily be predictive of the results from required later preclinical studies and clinical trials. Similarly, even if we are able to complete our planned preclinical studies or clinical trials of our current or future product candidates according to our current development timeline, the positive results from such preclinical studies and clinical trials of our current or future product candidates, including our Phase 1 trial of KT-474, may not be replicated in subsequent preclinical studies or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approval from the FDA or comparable foreign regulatory authority. If we fail to produce positive results in our planned preclinical studies or clinical trials of any of our current or future product candidates, the development timeline and regulatory approval and commercialization prospects for our current or future product candidates, and, correspondingly, our business and financial prospects, would be materially adversely affected.</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Additionally, our planned or future clinical trials may utilize an “open-label” trial design, such as the open-label patient portion of our Phase 1 clinical trials of KT-474, KT-413, KT-333 and KT-253.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including our Phase 1 trials of KT-474, KT-413, KT-333 and KT-253, may not be predictive of future clinical trial results with any of our product candidates for which we include an open-label clinical trial when studied in a controlled environment with a placebo or active control.</w:t>
      </w:r>
    </w:p>
    <w:p>
      <w:pPr>
        <w:pStyle w:val="TextBody"/>
        <w:spacing w:before="12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precise incidence and prevalence for the indications being pursued by our current and future product candidates are currently unknown. Our projections of both the number of people who have these diseases, as well as the subset of people with these diseases who have the potential to benefit from treatment with our product candidates, are based on estimates. We are developing KT-474 for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the treatment of a broad set of immunology-inflammation diseases, such as HS, an inflammatory skin disease, AD, and rheumatoid arthritis. The total addressable market opportunity for our product candidates will ultimately depend upon, among other things, their proven safety and efficacy, the diagnosis criteria included in the final label for each, whether our product candidates are approved for sale for these indications, acceptance by the medical community and patient access, product pricing and reimbursement. The number of patients for our product candidates in the United States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A pandemic, epidemic, or outbreak of an infectious disease, such as COVID-19 or its variants, may materially and adversely affect our business and our financial results and could cause a disruption to the development of our product candidate.</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Public health crises such as pandemics or similar outbreaks could adversely impact our business. In December 2019, a novel strain of a virus named SARS-CoV-2 (severe acute respiratory syndrome coronavirus 2), or coronavirus, which causes COVID-19, surfaced in Wuhan, China and has since spread worldwide, including to Eastern Massachusetts where our primary office and laboratory space is located. The pandemic and policies and regulations implemented by governments in response to the pandemic, most of which have been lifted, have had a significant impact, both direct and indirect, on businesses and commerce. The coronavirus pandemic has evolved considerably, and led to the implementation of various responses, including government-imposed quarantines, travel restrictions and other public health safety measures. The extent to which the coronavirus or any future infectious disease impacts our operations or those of our third-party partners, including our preclinical studies or clinical trial operations, will also depend on future developments, which are highly uncertain and cannot be predicted with confidence, including the duration of the outbreak, new information that will emerge concerning the severity of the coronavirus and the actions to contain the coronavirus or treat its impact, among others. The spread of COVID-19 globally, including the ongoing identification of new variants of the virus, could adversely impact our preclinical or clinical trial operations in the U.S. and abroad, including our ability to recruit and retain patients and principal investigators and site staff who, as healthcare providers, may have heightened exposure to COVID-19 or other infectious diseases. For example, similar to other biopharmaceutical companies, we may experience delays in enrolling subjects in our clinical trials. Infectious diseases may also affect employees of third-party CROs located in affected geographies that we rely upon to carry out our clinical trials. In addition, the patient populations that our lead and other core product candidates target may be particularly susceptible to infectious diseases or its variants, which may make it more difficult for us to identify patients able to enroll in our clinical trials and may impact the ability of enrolled patients to complete any such trials. Any negative impact that the COVID-19 or future infectious disease spread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pStyle w:val="TextBody"/>
        <w:spacing w:before="120" w:after="0"/>
        <w:jc w:val="both"/>
        <w:rPr>
          <w:rFonts w:ascii="Times New Roman" w:hAnsi="Times New Roman"/>
          <w:sz w:val="20"/>
        </w:rPr>
      </w:pPr>
      <w:r>
        <w:rPr>
          <w:rFonts w:ascii="Times New Roman;serif" w:hAnsi="Times New Roman;serif"/>
          <w:b w:val="false"/>
          <w:sz w:val="20"/>
        </w:rPr>
        <w:t>Additionally, timely enrollment in clinical trials is dependent upon clinical trial sites which will be adversely affected by global health matters, such as pandemics. We are conducting and plan to conduct clinical trials for our product candidates in geographies which are currently being affected by the coronavirus. Some factors from the coronavirus outbreak that will delay or otherwise adversely affect enrollment in the clinical trials of our product candidates, as well as our business generally, include:</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clinical trials;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potential negative affect on the operations of our third-party manufacturers and the supply chain for our product candidates. For example, in February 2020, one of our vendors for active pharmaceutical ingredient, or API, starting materials based in Wuhan, China ceased its operations for several weeks due to the COVID-19 pandemic, which caused a minor delay in the delivery of API starting materials to a separate vendor who manufactures API;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interruptions in global shipping affecting the transport of clinical trial materials, such as patient samples, investigational drug product and conditioning drugs and other supplies used in our current and prospective clinical trials;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business disruptions caused by potential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delay necessary interactions with local regulators, ethics committees and other important agencies and contractors. </w:t>
      </w:r>
    </w:p>
    <w:p>
      <w:pPr>
        <w:pStyle w:val="TextBody"/>
        <w:spacing w:before="120" w:after="0"/>
        <w:jc w:val="both"/>
        <w:rPr>
          <w:rFonts w:ascii="Times New Roman" w:hAnsi="Times New Roman"/>
          <w:sz w:val="20"/>
        </w:rPr>
      </w:pPr>
      <w:r>
        <w:rPr>
          <w:rFonts w:ascii="Times New Roman;serif" w:hAnsi="Times New Roman;serif"/>
          <w:b w:val="false"/>
          <w:sz w:val="20"/>
        </w:rPr>
        <w:t>We cannot presently predict the scope and severity of additional planned and potential shutdowns or disruptions of businesses and government agencies, such as the SEC or FDA. For example, since March 2020, the FDA has been working to resume pre-pandemic</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levels of inspection activities, including routine surveillance, bioresearch monitoring and pre-approval inspections. Should the FDA determine that an inspection is necessary for approval of any NDAs we may submit and an inspection cannot be completed during the review cycle due to restrictions on travel at that time,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have announced receipt of complete response letters due to the FDA’s inability to complete required inspections for their applications. Regulatory authorities outside the U.S. may adopt similar restrictions or other policy measures in response to the COVID-19 or future pandemics and may experience delays in their regulatory activities.</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These and other factors arising from the coronavirus could worsen. Any of these factors, and other factors related to any such disruptions that are unforeseen, could have a material adverse effect on our business and our results of operations and financial condition. Further, uncertainty around these and related issues could lead to adverse effects on the economy of the United States and other economies, which could impact our ability to raise the necessary capital needed to develop and commercialize our product candidates. Other global health concerns could also result in social, economic, and labor instability in the countries in which we or the third parties with whom we engage operate.</w:t>
      </w:r>
    </w:p>
    <w:p>
      <w:pPr>
        <w:pStyle w:val="TextBody"/>
        <w:spacing w:before="0" w:after="0"/>
        <w:jc w:val="both"/>
        <w:rPr>
          <w:rFonts w:ascii="Times New Roman" w:hAnsi="Times New Roman"/>
          <w:sz w:val="20"/>
        </w:rPr>
      </w:pPr>
      <w:r>
        <w:rPr>
          <w:rFonts w:ascii="Times New Roman;serif" w:hAnsi="Times New Roman;serif"/>
          <w:b/>
          <w:i/>
          <w:sz w:val="20"/>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All of our product candidates are in preclinical or early clinical development, and there may be adverse effects from treatment with any of our current or future product candidates that we cannot predict at this time. Undesirable side effects caused by our current or future product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many treatments for inflammatory and autoimmune diseases, cancer or other diseases, it is likely that there may be adverse side effects associated with the use of our product candidates. Additionally, a potential risk in any protein degradation product is that healthy proteins or proteins not targeted for degradation will be degraded or that the degradation of the targeted protein in itself could cause adverse events, undesirable side effects, or unexpected characteristics. It is possible that healthy proteins or proteins not targeted for degradation could be degraded using our degrader molecules in any of our current or future clinical studies. There is also the potential risk of delayed adverse events following treatment using any of our current or future product candidates.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These side effects could arise due to off-target activity, allergic reactions in trial subjects, or unwanted on-target effects in the body. Results of our clinical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current or future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Further, our current or future product candidates could cause undesirable side effects in clinical trials related to on-target toxicity. If on-target toxicity is observed, or if our current or future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early-stage testing for treating cancer or other diseases have later been found to cause side effects that prevented further development of the compound.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Further, clinical trials by their nature utilize a sample of the potential patient population. With a limited number of patients and limited duration of exposure, rare and severe side effects of our current or future product candidates may only be uncovered with a significantly larger number of patients exposed to the product candidate. If our current or future product candidates receive marketing approval and we or others identify undesirable side effects caused by such current or future product candidates after such approval, a number of potentially significant negative consequences could result, including:</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regulatory authorities may withdraw or limit their approval of such current or future product candidates;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regulatory authorities may require the addition of labeling statements, such as a “boxed” warning or a contraindication;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we may be required to create a medication guide outlining the risks of such side effects for distribution to patients;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we may be required to change the way such current or future product candidates are distributed or administered, conduct additional clinical trials or change the labeling of the current or future product candidates;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regulatory authorities may require a REMS plan to mitigate risks, which could include medication guides, physician communication plans, or elements to assure safe use, such as restricted distribution methods, patient registries and other risk minimization tools;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we may be subject to regulatory investigations and government enforcement actions;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we may decide to remove such current or future product candidates from the marketplace;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we could be sued and held liable for injury caused to individuals exposed to or taking our current or future product candidates;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our reputation may suffer. </w:t>
      </w:r>
    </w:p>
    <w:p>
      <w:pPr>
        <w:pStyle w:val="TextBody"/>
        <w:spacing w:before="120" w:after="0"/>
        <w:jc w:val="both"/>
        <w:rPr>
          <w:rFonts w:ascii="Times New Roman" w:hAnsi="Times New Roman"/>
          <w:sz w:val="20"/>
        </w:rPr>
      </w:pPr>
      <w:r>
        <w:rPr>
          <w:rFonts w:ascii="Times New Roman;serif" w:hAnsi="Times New Roman;serif"/>
          <w:b w:val="false"/>
          <w:sz w:val="20"/>
        </w:rPr>
        <w:t>We believe that any of these events could prevent us from achieving or maintaining market acceptance of the affected product candidates and could substantially increase the costs of commercializing our current or future product candidates, if approved, and significantly impact our ability to successfully commercialize our current or future product candidates and generate revenues.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Manufacturing our current or future product candidates is complex and we may encounter difficulties in production. If we encounter such difficulties, our ability to provide supply of our current or future product candidates for preclinical studies and clinical trials or for commercial purposes could be delayed or stopped.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process of manufacturing our current or future product candidates is complex and highly regulated. We do not have our own manufacturing facilities or personnel and currently rely, and expect to continue to rely, on third parties for the manufacture of our current or future product candidates. These third-party contract manufacturing organizations, or CMOs,may not be able to provide adequate resources or capacity to meet our needs and may incorporate their own proprietary processes into our product candidate manufacturing processes. We have limited control and oversight of a third party’s proprietary process, and a third party may elect to modify its process without our consent or knowledge. These modifications, such as any impacting the product formulation, could negatively impact our manufacturing, including by resulting in product loss or failure that requires additional manufacturing runs or a change in manufacturer, either of which could significantly increase the cost of and significantly delay the manufacture of our current or future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If any CMO with whom we contract fails to perform its obligations, we may be forced to enter into an agreement with a different CMO, which we may not be able to do on reasonable terms, if at all. This could significantly delay our clinical trials supply as we establish alternative supply sources. In some cases, the technical skills required to manufacture our product candidates or products, if approved,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as our current or future product candidates progress through preclinical studies and clinical trials towards potential approval and commercialization, it is expected that various aspects of the manufacturing process will be altered in an effort to optimize processes and results. Such changes may require amendments to be made to regulatory applications which may further delay the timeframes under which modified manufacturing processes can be used for any of our current or future product candidates and additional bridging studies or trials may be required between our prior clinical supply used in our clinical trials and that of any new manufacturer. We may be unsuccessful in demonstrating the comparability of clinical supplies which could require the conduct of additional clinical trials. Any such delay could have a material adverse impact on our business, results of operations and prospects.</w:t>
      </w:r>
      <w:r>
        <w:rPr>
          <w:rFonts w:ascii="Times New Roman" w:hAnsi="Times New Roman"/>
          <w:sz w:val="20"/>
        </w:rPr>
        <w:t xml:space="preserve"> </w:t>
      </w:r>
    </w:p>
    <w:p>
      <w:pPr>
        <w:pStyle w:val="TextBody"/>
        <w:spacing w:before="0" w:after="0"/>
        <w:jc w:val="both"/>
        <w:rPr>
          <w:rFonts w:ascii="Times New Roman;serif" w:hAnsi="Times New Roman;serif"/>
          <w:b w:val="false"/>
          <w:sz w:val="20"/>
          <w:u w:val="single"/>
        </w:rPr>
      </w:pPr>
      <w:r>
        <w:rPr>
          <w:rFonts w:ascii="Times New Roman;serif" w:hAnsi="Times New Roman;serif"/>
          <w:b w:val="false"/>
          <w:sz w:val="20"/>
          <w:u w:val="single"/>
        </w:rPr>
        <w:t>Risks Related to Regulatory Approval</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If we are not able to obtain, or if there are delays in obtaining, required regulatory approvals for our current or future product candidates, we will not be able to commercialize, or will be delayed in commercializing, our current or future product candidates, and our ability to generate revenue will be materially impaired.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Our current or future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current and future product candidates, we must obtain marketing approval from the regulatory authorities in the relevant jurisdictions. We have not received approval to market any of our current product candidates from regulatory authorities in any jurisdiction, and it is possible that none of our current product candidates, nor any product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candidates we may seek to develop in the future, will ever obtain regulatory approval. As a company,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drug manufacturing process to, and inspection of manufacturing facilities and often clinical sites by, the relevant regulatory authority. Our current or future product candidates may not be effective, may be only moderately effective or may prove to have undesirable or unintended side effects, toxicities or other characteristics that may preclude our obtaining marketing approval or prevent or limit commercial use.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process of obtaining regulatory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NDA or equivalent application type outside the U.S.,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current or future product candidates could be delayed in receiving, or fail to receive, regulatory approval for many reasons, including the following:</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FDA or comparable foreign regulatory authorities may disagree with the design or implementation of our clinical trials;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we may be unable to demonstrate to the satisfaction of the FDA or comparable foreign regulatory authorities that a product candidate is safe and effective for its proposed indication;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results of clinical trials may not meet the level of statistical significance required by the FDA or comparable foreign regulatory authorities for approval;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we may be unable to demonstrate that a product candidate’s clinical and other benefits outweigh its safety risks;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FDA or comparable foreign regulatory authorities may disagree with our interpretation of data from preclinical studies or clinical trials;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data collected from clinical trials of our current or future product candidates may not be sufficient to support the submission of an NDA or other submission or to obtain regulatory approval in the U.S. or elsewhere;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FDA or comparable foreign regulatory authorities may find deficiencies with or fail to approve the manufacturing processes or facilities of third-party manufacturers with which we contract for clinical and commercial supplies;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the approval policies or regulations of the FDA or comparable foreign regulatory authorities may significantly change in a manner rendering our clinical data insufficient for approval. </w:t>
      </w:r>
    </w:p>
    <w:p>
      <w:pPr>
        <w:pStyle w:val="TextBody"/>
        <w:spacing w:before="120" w:after="0"/>
        <w:jc w:val="both"/>
        <w:rPr>
          <w:rFonts w:ascii="Times New Roman" w:hAnsi="Times New Roman"/>
          <w:sz w:val="20"/>
        </w:rPr>
      </w:pPr>
      <w:r>
        <w:rPr>
          <w:rFonts w:ascii="Times New Roman;serif" w:hAnsi="Times New Roman;serif"/>
          <w:b w:val="false"/>
          <w:sz w:val="20"/>
        </w:rPr>
        <w:t>Even if we were to obtain approval, regulatory authorities may approve any of our current or future product candidates for fewer or more limited indications than we request, may not approve the price we intend to charge for our drugs,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current or future product candidates.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If we experience delays in obtaining approval or if we fail to obtain approval of our current or future product candidates, the commercial prospects for our current or future product candidates may be harmed and our ability to generate revenues will be materially impaired.</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We may seek Breakthrough Therapy Designation and/or Fast Track Designation for any of our current or future product candidates. These designations, even if granted by the FDA, may not lead to a faster development, regulatory review or approval process, and such designations do not increase the likelihood that any of our product candidates will receive marketing approval in the United States.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may seek a Breakthrough Therapy Designation for one or more of our current or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current or future product candidates meets the criteria for designation as a breakthrough therapy, the FDA may disagree and instead determine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not to make such designation. In any event, the receipt of a Breakthrough Therapy Designation for a current or future product candidate may not result in a faster development process, review or approval compared to therapies considered for approval under conventional FDA procedures and does not assure ultimate approval by the FDA. In addition, even if one or more of our current or future product candidates qualify as breakthrough therapies, the FDA may later decide that such product candidates no longer meet the conditions for qualification or decide that the time period for FDA review or approval will not be shortened.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may seek Fast Track Designation for one or more of our current or future product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current or future product candidate is eligible for this designation, we cannot assure you that the FDA would decide to grant it. Even if we do receive Fast Track Designation for certain current or future product candidates,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We may seek approval of KT-474, KT-413, KT-333, KT-253 or any other future product candidate, where applicable, under the FDA’s accelerated approval pathway. This pathway may not lead to a faster development or regulatory review or approval process and it does not increase the likelihood that our product candidates will receive marketing approval.</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may seek accelerated approval of KT-474, KT-413, KT-333, KT-253 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accelerated approval, the FDA likely would require that we perform adequate and well-controlled post-marketing clinical trials, and under FDORA the FDA is now permitted to require, as appropriate, that such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We have obtained orphan drug designation for one of our product candidates. We may also seek Orphan Drug Designation for certain of our other current or future product candidates, and we may be unsuccessful or may be unable to maintain the benefits associated with Orphan Drug Designation, including the potential for market exclusivity.</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FDA has granted Orphan Drug Designation for KT-333 for the treatment of peripheral T cell lymphoma and cutaneous T cell lymphoma. As part of our business strategy, we may also seek Orphan Drug Designation for certain indications of our other current or future product candidates, and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user-fee waivers.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drug for that time period. The applicable period is seven years in the U.S.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and ten years in the European Union. The exclusivity period in the European Union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On August 3, 2017, the U.S.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the FDA issued an orphan designation before the enactment of FDARA but where product approval came after the enactment of FDARA.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Even if we receive regulatory approval for any of our current or future product candidates, we will be subject to ongoing obligations and continued regulatory review, which may result in significant additional expense. Additionally, our current or future product candidates, if approved, could be subject to labeling and other restrictions and market withdrawal and we may be subject to penalties if we fail to comply with regulatory requirements or experience unanticipated problems with our product candidates when and if any of them are approved.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If the FDA or a comparable foreign regulatory authority approves any of our current or future product candidates, the manufacturing processes, labeling, packaging, distribution, tracking and tracing, adverse event reporting, storage, advertising, promotion and recordkeeping for the drug will be subject to extensive and ongoing regulatory requirements. These requirements include submissions of safety and other post-marketing information and reports, registration requirements, and continued compliance with cGMPs and Good Clinical Practices, or GCPs, for any clinical trials that we conduct post-approval.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current or future product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a drug, including adverse events of unanticipated severity or frequency, or with our third-party manufacturers or manufacturing processes, or failure to comply with regulatory requirements, may result in, among other things:</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restrictions on the marketing or manufacturing of the drug, withdrawal of the drug from the market, or voluntary drug recalls;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fines, warning letters or holds on clinical trials;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refusal by the FDA to approve pending applications or supplements to approved applications filed by us, or suspension or revocation of drug license approvals;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drug seizure or detention, or refusal to permit the import or export of drugs;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injunctions or the imposition of civil or criminal penalties.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The FDA’s policies may change and additional government regulations may be enacted that could prevent, limit or delay regulatory approval of our current or future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spacing w:before="120" w:after="0"/>
        <w:jc w:val="both"/>
        <w:rPr>
          <w:rFonts w:ascii="Times New Roman" w:hAnsi="Times New Roman"/>
          <w:sz w:val="20"/>
        </w:rPr>
      </w:pPr>
      <w:r>
        <w:rPr>
          <w:rFonts w:ascii="Times New Roman;serif" w:hAnsi="Times New Roman;serif"/>
          <w:b w:val="false"/>
          <w:sz w:val="20"/>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br/>
      </w:r>
      <w:r>
        <w:rPr>
          <w:rFonts w:ascii="Times New Roman" w:hAnsi="Times New Roman"/>
          <w:sz w:val="20"/>
        </w:rPr>
        <w:t> </w:t>
      </w:r>
    </w:p>
    <w:p>
      <w:pPr>
        <w:pStyle w:val="TextBody"/>
        <w:spacing w:before="0" w:after="0"/>
        <w:jc w:val="both"/>
        <w:rPr>
          <w:rFonts w:ascii="Times New Roman" w:hAnsi="Times New Roman"/>
          <w:sz w:val="20"/>
        </w:rPr>
      </w:pPr>
      <w:r>
        <w:rPr>
          <w:rFonts w:ascii="Times New Roman;serif" w:hAnsi="Times New Roman;serif"/>
          <w:b w:val="false"/>
          <w:sz w:val="20"/>
          <w:u w:val="single"/>
        </w:rPr>
        <w:t>Risks Related to Foreign Regulatory Approval and Foreign Markets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Even if we receive marketing approval for our current or future product candidates in the U.S., we may never receive regulatory approval to market our current or future product candidates outside of the U.S.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plan to seek regulatory approval of our current or future product candidates outside of the U.S. In order to market any product outside of the U.S.,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current or future product candidates in such foreign markets. Any such impairment would reduce the size of our potential market, which could have a material adverse impact on our business, results of operations and prospects.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Our future growth may depend, in part, on our ability to penetrate foreign markets, where we would be subject to additional regulatory burdens and other risks and uncertainties that could materially adversely affect our business.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are not permitted to market or promote any of our current or future product candidates before we receive regulatory approval from the applicable regulatory authority in that foreign market, and we may never receive such regulatory approval for any of our current or future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current or future product candidates, and we cannot predict success in these jurisdictions. If we obtain approval of our current or future product candidates and ultimately commercialize our current or future product candidates in foreign markets, we would be subject to additional risks and uncertainties, including:</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differing regulatory requirements in foreign countries, such that obtaining regulatory approvals outside of the U.S. may take longer and be more costly than obtaining approval in the U.S.;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customers’ ability to obtain reimbursement for our current or future product candidates in foreign markets;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burden of complying with complex and changing foreign regulatory, tax, accounting and legal requirements;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different medical practices and customs in foreign countries affecting acceptance in the marketplace;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import or export licensing requirements;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longer accounts receivable collection times;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longer lead times for shipping;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language barriers for technical training;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reduced protection of intellectual property rights in some foreign countries;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existence of additional potentially relevant third-party intellectual property rights;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economic weakness, including inflation, or political instability in particular foreign economies and markets;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compliance with tax, employment, immigration and labor laws for employees living or traveling abroad;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foreign taxes, including withholding of payroll taxes;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foreign currency fluctuations, which could result in increased operating expenses and reduced revenue, and other obligations incident to doing business in another country;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difficulties staffing and managing foreign operations;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workforce uncertainty in countries where labor unrest is more common than in the U.S.;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potential liability under the Foreign Corrupt Practices Act of 1977 or comparable foreign regulations;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interpretation of contractual provisions governed by foreign laws in the event of a contract dispute;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production shortages resulting from any events affecting raw material supply or manufacturing capabilities abroad;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business interruptions resulting from geo-political actions, including war and terrorism. </w:t>
      </w:r>
    </w:p>
    <w:p>
      <w:pPr>
        <w:pStyle w:val="TextBody"/>
        <w:spacing w:before="120" w:after="0"/>
        <w:jc w:val="both"/>
        <w:rPr>
          <w:rFonts w:ascii="Times New Roman" w:hAnsi="Times New Roman"/>
          <w:sz w:val="20"/>
        </w:rPr>
      </w:pPr>
      <w:r>
        <w:rPr>
          <w:rFonts w:ascii="Times New Roman;serif" w:hAnsi="Times New Roman;serif"/>
          <w:b w:val="false"/>
          <w:sz w:val="20"/>
        </w:rPr>
        <w:t>Foreign sales of our current or future product candidates could also be adversely affected by the imposition of governmental controls, political and economic instability, trade restrictions and changes in tariffs.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We may in the future conduct clinical trials for current or future product candidates outside the U.S., and the FDA and comparable foreign regulatory authorities may not accept data from such trials.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may in the future choose to conduct one or more clinical trials outside the U.S., including in Europe.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We are subject to certain U.S. and foreign anti-corruption, anti-money laundering, export control, sanctions, and other trade laws and regulations. We can face serious consequences for violations.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Among other matters, U.S. and foreign anti-corruption, anti-money laundering, export control, sanctions, and other trade laws and regulations, which we collectively refer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w:t>
      </w:r>
      <w:r>
        <w:rPr>
          <w:rFonts w:ascii="Times New Roman" w:hAnsi="Times New Roman"/>
          <w:sz w:val="20"/>
        </w:rPr>
        <w:t xml:space="preserve"> </w:t>
      </w:r>
    </w:p>
    <w:p>
      <w:pPr>
        <w:pStyle w:val="TextBody"/>
        <w:spacing w:before="0" w:after="0"/>
        <w:jc w:val="both"/>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i/>
          <w:sz w:val="20"/>
        </w:rPr>
        <w:t>Governments outside the United States tend to impose strict price controls, which may adversely affect our revenues, if any.</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In some countries, particularly in the European Union,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may be required to conduct a clinical trial that compares the cost-effectiveness of our product candidate to other available therapies. In addition, many countries outside the U.S. have limited government support programs that provide for reimbursement of drugs such as our product candidates, with an emphasis on private payors for access to commercial products. If reimbursement of our product candidates is unavailable or limited in scope or amount, or if pricing is set at unsatisfactory levels, our business could be materially harmed.</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0"/>
          <w:u w:val="single"/>
        </w:rPr>
        <w:t>Risks Related to Compliance with Healthcare and Other Regulations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Even if we are able to commercialize any current or future product candidates, such drugs may become subject to unfavorable pricing regulations or third-party coverage and reimbursement policies, which would harm our business.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Significant uncertainty exists as to the coverage and reimbursement status of any products for which we may obtain regulatory approval. In the U.S. and in other countries, sales of any products for which we may receive regulatory marketing approval for commercial sale will depend, in part, on the availability of coverage and reimbursement from third-party payors. Third-party payors include government healthcare programs (e.g., Medicare and Medicaid), managed care providers, private health insurers, health maintenance organizations and other organizations. These third-party payors decide which medications they will pay for and establish reimbursement levels. The availability of coverage and extent of reimbursement by governmental and other third-party payors is essential for most patients to be able to afford treatments such as targeted protein degradation therapies.</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pStyle w:val="TextBody"/>
        <w:spacing w:before="120" w:after="0"/>
        <w:jc w:val="both"/>
        <w:rPr>
          <w:rFonts w:ascii="Times New Roman" w:hAnsi="Times New Roman"/>
          <w:sz w:val="20"/>
        </w:rPr>
      </w:pPr>
      <w:r>
        <w:rPr>
          <w:rFonts w:ascii="Times New Roman;serif" w:hAnsi="Times New Roman;serif"/>
          <w:b w:val="false"/>
          <w:sz w:val="20"/>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our products will be covered and reimbursed under Medicare. Private payors tend to follow CMS to a substantial degree. Factors payors consider in determining reimbursement are based on whether the product is:</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a covered benefit under its health plan;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safe, effective and medically necessary;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appropriate for the specific patient;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cost-effective;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neither experimental nor investigational. </w:t>
      </w:r>
    </w:p>
    <w:p>
      <w:pPr>
        <w:pStyle w:val="TextBody"/>
        <w:spacing w:before="120" w:after="0"/>
        <w:jc w:val="both"/>
        <w:rPr>
          <w:rFonts w:ascii="Times New Roman" w:hAnsi="Times New Roman"/>
          <w:sz w:val="20"/>
        </w:rPr>
      </w:pPr>
      <w:r>
        <w:rPr>
          <w:rFonts w:ascii="Times New Roman;serif" w:hAnsi="Times New Roman;serif"/>
          <w:b w:val="false"/>
          <w:sz w:val="20"/>
        </w:rPr>
        <w:t>Our ability to commercialize any current or future product candidates successfully also will depend in part on the extent to which coverage and reimbursement for these current or future product candidates and related treatments will be available from government authorities, private health insurers and other organizations. Moreover, a payor’s decision to provide coverage for a product does not imply that an adequate reimbursement rate will be approved. We cannot be sure that coverage will be available for any product candidate that we commercialize. If coverage is available, but reimbursement is available only to limited levels, we may not be able to successfully commercialize any product candidate for which we obtain marketing approval.</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In the U.S., no uniform policy exists for coverage and reimbursement for products among third-party payors. Therefore, decisions regarding the extent of coverage and amount of reimbursement to be provided can differ significantly from payor to payor. The process for determining whether a payor will provide coverage for a product may be separate from the process for setting the reimbursement rate a payor will pay for the product. One third-party payor’s decision to cover a particular product or service does not ensure that other payors will also provide coverage for the medical product or service. Third-party payors may limit coverage to specific products on an approved list or formulary, which may not include all FDA-approved products for a particular indication. Also, third-party payors may refuse to include a particular branded product on their formularies or otherwise restrict patient access to a branded drug when a less costly generic equivalent or other alternative is available.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Despite our best efforts, our product candidates may not be considered medically necessary or cost-effective. If third-party payors do not consider a product to be cost-effective compared to other available therapies, they may not cover an approved product as a benefit under their plans or, if they do, the level of payment may not be sufficient to allow us to sell our products at a profit. A decision by a third-party payor not to cover a product could reduce physician utilization once the product is approved and have a material adverse effect on sales, our operations and financial condition.</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Finally, in some foreign countries, the proposed pricing for a product candidate must be approved before it may be lawfully marketed. The requirements governing product pricing vary widely from country to country. For example, in the EU pricing and reimbursement of pharmaceutical products are regulated at a national level under the individual EU Member States’ social security systems. Some foreign countries provide options to restrict the range of medicinal products for which their national health insurance systems provide reimbursement and can control the prices of medicinal products for human use. To obtain reimbursement or pricing approval, some of these countries may require the completion of clinical trials that compare the cost effectiveness of a particular product candidate to currently available therapies. A country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products will allow favorable reimbursement and pricing arrangements for any of our product candidates. Even if approved for reimbursement, historically, product candidates launched in some foreign countries, such as some countries in the EU, do not follow price structures of the U.S. and prices generally tend to be significantly lower.</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Current and future healthcare legislative reform measures may have a material adverse effect on our business and results of operations.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Changes in regulations, statutes or the interpretation of existing regulations could impact our business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In the United States and in some foreign jurisdictions, there have been, and likely will continue to be, a number of legislative and regulatory changes and proposed changes intended to broaden access to healthcare, improve the quality of healthcare, and contain or lower the cost of healthcare. For example, in March 2010, the Patient Protection and Affordable Care Act, as amended by the Health Care and Education Reconciliation Act, or the ACA, was passed, which substantially changed the way healthcare is financed by both governmental and private insurers, and significantly impacted the U.S. pharmaceutical industry. The ACA, among other things, subjects biological products to potential competition by lower-cost biosimilars, expands the types of entities eligible for the 340B drug discount program, addresses a new methodology by which rebates owed by manufacturers under the Medicaid Drug Rebate Program are calculated for drugs that are inhaled, infused, instilled, implanted or injected, increases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(increased to 70% pursuant to the Bipartisan Budget Act of 2018, or BBA, effective as of January 2019)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Since its enactment, there have been judicial, administrative, executive and Congressional legislative challenges to certain aspects of the ACA, and we expect there will be additional challenges and amendments to the ACA in the future.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In addition, other legislative changes have been proposed and adopted in the United States since the ACA was enacted. For example,</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in August 2011, the Budget Control Act of 2011, among other things, created measures for spending reductions by Congress. Specifically, the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in April 2013, and, due to subsequent legislative amendments, will remain in effect through 2032 unless additional Congressional action is taken</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On January 2,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The BBA also amended the ACA, effective January 1, 2019, by increasing the point-of-sale discount that is owed by pharmaceutical manufacturers who participate in Medicare Part D and closing the coverage gap in most Medicare drug plans, commonly referred to as the “donut hole.”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In August 2022, the Inflation Reduction Act of 2022, or IRA, was signed into law. The IRA includes several provisions that may impact our business to varying degrees, including provisions that establish a $2,000 out-of-pocket cap for Medicare Part D beneficiaries, impose new manufacturer financial liability on many drugs reimbursed under Medicare Part D, allow the U.S. government to negotiate Medicare Part B and Part D pricing for certain high-cost drugs and biologics without generic or biosimilar competition, and require companies to pay rebates to Medicare for drug prices that increase faster than inflation.</w:t>
      </w:r>
    </w:p>
    <w:p>
      <w:pPr>
        <w:pStyle w:val="TextBody"/>
        <w:spacing w:before="120" w:after="0"/>
        <w:jc w:val="both"/>
        <w:rPr>
          <w:rFonts w:ascii="Times New Roman" w:hAnsi="Times New Roman"/>
          <w:sz w:val="20"/>
        </w:rPr>
      </w:pPr>
      <w:r>
        <w:rPr>
          <w:rFonts w:ascii="Times New Roman;serif" w:hAnsi="Times New Roman;serif"/>
          <w:b w:val="false"/>
          <w:sz w:val="20"/>
        </w:rPr>
        <w:t>Moreover, payment methodologies may be subject to changes in healthcare legislation and regulatory initiatives. For example, CMS may develop new payment and delivery models, such as bundled payment models. Recently, there has been heightened governmental scrutiny over the manner in which manufacturers set prices for their marketed products. Such scrutiny has resulted in several recent U.S. Congressional inquiries and has further resulted in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legislation imposed a moratorium on implementation of the rule until January 1, 2026. This deadline was pushed back to January 1, 2027 by the Bipartisan Safer Communities Act. The IRA further delayed implementation of this rule to January 1, 2032.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financial condition, results of operations and prospects.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which could negatively affect our business, financial condition, results of operations and prospects.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Our relationships with customers, health 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Healthcare providers, physicians and third-party payors will play a primary role in the recommendation and prescription of any current or future product candidates for which we obtain marketing approval. Our business operations and any current or future arrangements with third-party payors and customers may expose us to broadly applicable federal and state laws relating to fraud and abuse, as well as other healthcare laws and regulations. 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 These laws may impact, among other things, the business or financial arrangements and relationships through which we market, sell and distribute any current or future product candidates for which we obtain marketing approval. Restrictions under applicable federal and state healthcare laws and regulations, include, among others:</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federal Anti-Kickback Statute, which prohibits, among other things, any person or entity from knowingly and willfully soliciting, offering, receiving, providing or paying remuneration, directly or indirectly, overtly or covertly, in cash or in kind, to induce or reward, or in return for, either the referral of an individual for, or the purchase, lease, order or recommendation of, or arranging for, any item, good, facility, or service, for which payment may be made under a federal healthcare program such as Medicare and Medicaid. The federal Anti-Kickback Statute has been interpreted to apply to arrangements between manufacturers on the one hand and prescribers, purchasers, and formulary managers on the other. A person or entity does not need to have actual knowledge of the statute or specific intent to violate it in order to have committed a violation. Violations can result in significant civil monetary and criminal penalties for each violation, plus up to three times the amount of remuneration, imprisonment, and exclusion from government healthcare programs. Further, a violation of the federal Anti-Kickback Statute can also form the basis for False Claims Act liability or federal civil monetary penalties;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the federal civil and criminal false claims laws and civil monetary penalty laws, including the federal False Claims Act, which prohibits individuals or entities from knowingly presenting, or causing to be presented, to the federal government, claims for payment that are false or fraudulent or making a false statement to avoid, decrease or conceal an obligation to pay money to the federal government. Actions under the False Claims Act may be brought by the Attorney General or as a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rPr/>
      </w:pPr>
      <w:r>
        <w:rPr/>
      </w:r>
    </w:p>
    <w:p>
      <w:pPr>
        <w:pStyle w:val="TextBody"/>
        <w:spacing w:before="0" w:after="0"/>
        <w:jc w:val="left"/>
        <w:rPr/>
      </w:pPr>
      <w:r>
        <w:rPr/>
        <w:t> </w:t>
      </w:r>
    </w:p>
    <w:p>
      <w:pPr>
        <w:pStyle w:val="TextBody"/>
        <w:spacing w:before="120" w:after="0"/>
        <w:jc w:val="both"/>
        <w:rPr/>
      </w:pPr>
      <w:r>
        <w:rPr>
          <w:rFonts w:ascii="Times New Roman;serif" w:hAnsi="Times New Roman;serif"/>
          <w:b w:val="false"/>
          <w:sz w:val="20"/>
        </w:rPr>
        <w:t>qui tam action by a private individual acting as a "whistle blower" in the name of the government permitting the whistleblower to share in any monetary recovery. Violations of the False Claims Act can result in very significant monetary penalties for each false claim and three times the amount of the government’s damages. Manufacturers can be held liable under the False Claims Act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or fraudulent claim for purposes of the False Claims Act;</w:t>
      </w:r>
      <w:r>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federal Health Insurance Portability and Accountability Act of 1996, or HIPAA, which imposes additional criminal and civil liability for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federal physician payment transparency laws, including the federal Physician Payment Sunshine Act created under the ACA, which requires manufacturers of certain drugs, devices, biologics and medical supplies, among others, to track and disclose payments under Medicare, Medicaid, or the Children’s Health Insurance Program (with certain exceptions) and other transfers of value they make to U.S. physicians (defined to include doctors, dentists, optometrists, podiatrists and chiropractors), other licensed healthcare professionals (physician assistants, nurse practitioners, clinical nurse specialists, certified registered nurse anesthetists and anesthesiologist assistants, and certified-nurse midwives), and teaching hospitals, as well as ownership and investment interests held by physicians and their immediate family members. This information is subsequently made publicly available in a searchable format on a CMS website. Failure to disclose required information may result in civil monetary penalties for all payments, transfers of value or ownership or investment interests that are not timely, accurately and completely reported in an annual submission;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HIPAA, as amended by the Health Information Technology for Economic and Clinical Health Act of 2009, or HITECH, and its implementing regulations, including the final omnibus rule published on January 25, 2013, which imposes, among other things, certain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transmit, or obtain,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federal government price reporting laws, which require us to calculate and report complex pricing metrics in an accurate and timely manner to government programs;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federal consumer protection and unfair competition laws, which broadly regulate marketplace activities and activities that potentially harm consumers;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analogous state law equivalents of each of the above U.S. federal laws, such as state anti-kickback and false claims laws which may apply to items or services reimbursed by any third-party payor, including commercial insurers or patients; state and local marketing and/or transparency laws applicable to manufacturers that may be broader in scope than the federal requirements; state laws that require the reporting of information related to drug pricing; state laws that require drug manufacturers to report information related to payments and other transfers of value to physicians and other healthcare providers or marketing expenditures and pricing information; state and local laws that require the licensure and/or registration of pharmaceutical sales representatives; state laws that require pharmaceutical companies to comply with the pharmaceutical industry’s voluntary compliance guidelines and the relevant compliance guidance promulgated by the federal government; and state laws governing the privacy and security of health information in certain circumstances, many of which differ from each other in significant ways and often are not preempted by HIPAA, thus complicating compliance efforts.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imprisonment, exclusion from government funded healthcare programs, such as Medicare and Medicaid, and the curtailment or restructuring of our operations, as well as additional reporting obligations and oversight if we become subject to a corporate integrity agreement or similar settlement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 If any of the physicians or other healthcare providers or entities with whom we expect to do business is found to be not in compliance with applicable laws, they may be subject to similar actions, penalties, and sanctions.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such as the U.K. Bribery Act 2010.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i/>
          <w:sz w:val="20"/>
        </w:rPr>
        <w:t>Our employees, principal investigators, CROs and consultants may engage in misconduct or other improper activities, including non-compliance with regulatory standards and requirements and insider trading laws.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patient support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criminal, civil and administrative sanctions including monetary penalties, damages, fines, disgorgement, individual imprisonment, reputational harm,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rPr/>
      </w:pPr>
      <w:r>
        <w:rPr/>
      </w:r>
    </w:p>
    <w:p>
      <w:pPr>
        <w:pStyle w:val="TextBody"/>
        <w:spacing w:before="0" w:after="0"/>
        <w:jc w:val="left"/>
        <w:rPr/>
      </w:pPr>
      <w:r>
        <w:rPr/>
        <w:t>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20"/>
        </w:rPr>
        <w:t>Risks Related to Commercialization</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Even if we receive marketing approval for our current or future product candidates, our current or future product candidates may not achieve broad market acceptance, which would limit the revenue that we generate from their sales.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efficacy of our current or future product candidates as demonstrated in clinical trials, and, if required by any applicable regulatory authority in connection with the approval for the applicable indications, to provide patients with incremental health benefits, as compared with other available medicines;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limitations or warnings contained in the labeling approved for our current or future product candidates by the FDA or other applicable regulatory authorities;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clinical indications for which our current or future product candidates are approved;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availability of alternative treatments already approved or expected to be commercially launched in the near future;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potential and perceived advantages of our current or future product candidates over current treatment options or alternative treatments, including future alternative treatments;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willingness of the target patient population to try new therapies or treatment methods and of physicians to prescribe these therapies or methods;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need to dose such product candidates in combination with other therapeutic agents, and related costs;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strength of marketing and distribution support and timing of market introduction of competitive products;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publicity concerning our products or competing products and treatments;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pricing and cost effectiveness;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effectiveness of our sales and marketing strategies;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ability to increase awareness of our current or future product candidates;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ability to obtain sufficient third-party coverage or reimbursement; or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the willingness of patients to pay out-of-pocket in the absence of third-party coverage. </w:t>
      </w:r>
    </w:p>
    <w:p>
      <w:pPr>
        <w:pStyle w:val="TextBody"/>
        <w:spacing w:before="120" w:after="0"/>
        <w:jc w:val="both"/>
        <w:rPr>
          <w:rFonts w:ascii="Times New Roman" w:hAnsi="Times New Roman"/>
          <w:sz w:val="20"/>
        </w:rPr>
      </w:pPr>
      <w:r>
        <w:rPr>
          <w:rFonts w:ascii="Times New Roman;serif" w:hAnsi="Times New Roman;serif"/>
          <w:b w:val="false"/>
          <w:sz w:val="20"/>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We face substantial competition, which may result in others discovering, developing or commercializing drugs before or more successfully than we do.</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development and commercialization of new drugs is highly competitive. We face and will continue to face competition from third parties that use protein degradation, antibody therapy, inhibitory nucleic acid, gene editing or gene therapy development platforms and from companies focused on more traditional therapeutic modalities, such as small molecule inhibitors.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drugs.</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Competitors in our efforts to develop small molecule protein degraders therapies for patients, include, but are not limited to, Arvinas, Inc., C4 Therapeutics, Inc., Foghorn Therapeutics Inc. and Nurix Therapeutics, Inc., some of which have entered clinical development. Further, several large pharmaceutical companies have disclosed preclinical and clinical investments in this field. Our competitors will also include companies that are or will be developing other targeted protein degradation methods as well as small molecule, antibody, or gene therapies for the same indications that we are targeting. In addition to the competitors we face in developing small molecule protein degraders, we will also face competition in the indications we expect to pursue with our IRAK4, IRAKIMiD, STAT3 and MDM2 programs. Many of these indications already have approved standards of care which may include more traditional therapeutic modalities. In order to compete effectively with these existing therapies, we will need to demonstrate that our protein degrader therapies are favorable to existing therapeutics.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Many of our current or future competitors have significantly greater financial resources and expertise in research and development, manufacturing, preclinical testing, conducting clinical trials, obtaining regulatory approvals and reimbursement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sales, marketing and management personnel and establishing clinical trial sites and patient registration for clinical trials, as well as in acquiring technologies complementary to, or necessary for, our programs.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current or future product candidates, if approved, are likely to be their efficacy, safety, convenience, price, the level of generic competition and the availability of reimbursement from government and other third-party payors.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Product liability lawsuits against us could cause us to incur substantial liabilities and could limit commercialization of any current or future product candidates that we may develop.</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face an inherent risk of product liability exposure related to the testing of our current or future product candidates in human clinical trials and will face an even greater risk if we commercially sell any current or future product candidates that we may develop. If we cannot successfully defend ourselves against claims that our current or future product candidates caused injuries, we could incur substantial liabilities. Regardless of merit or eventual outcome, liability claims may result in:</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decreased demand for any current or future product candidates that we may develop;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injury to our reputation and significant negative media attention;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withdrawal of clinical trial participants;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significant costs to defend the related litigation;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substantial monetary awards to trial participants or patients;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loss of revenue;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the inability to commercialize any current or future product candidates that we may develop. </w:t>
      </w:r>
    </w:p>
    <w:p>
      <w:pPr>
        <w:pStyle w:val="TextBody"/>
        <w:spacing w:before="120" w:after="0"/>
        <w:jc w:val="both"/>
        <w:rPr>
          <w:rFonts w:ascii="Times New Roman" w:hAnsi="Times New Roman"/>
          <w:sz w:val="20"/>
        </w:rPr>
      </w:pPr>
      <w:r>
        <w:rPr>
          <w:rFonts w:ascii="Times New Roman;serif" w:hAnsi="Times New Roman;serif"/>
          <w:b w:val="false"/>
          <w:sz w:val="20"/>
        </w:rPr>
        <w:t>We do not yet maintain product liability insurance, and we anticipate that we will need to increase our insurance coverage when we begin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do not currently have a sales or marketing infrastructure and have no experience in the sales, marketing, patient support or distribution of drugs.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0"/>
        </w:rPr>
        <w:t>Factors that may inhibit our efforts to commercialize our current or future product candidates on our own include:</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inability to recruit and retain adequate numbers of effective sales and marketing personnel;</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inability of sales personnel to obtain access to physicians or persuade adequate numbers of physicians to prescribe any future drugs;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lack of complementary drugs to be offered by sales personnel, which may put us at a competitive disadvantage relative to companies with more extensive product lines;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unforeseen costs and expenses associated with creating an independent sales and marketing organization. </w:t>
      </w:r>
    </w:p>
    <w:p>
      <w:pPr>
        <w:pStyle w:val="TextBody"/>
        <w:spacing w:before="120" w:after="0"/>
        <w:jc w:val="both"/>
        <w:rPr>
          <w:rFonts w:ascii="Times New Roman" w:hAnsi="Times New Roman"/>
          <w:sz w:val="20"/>
        </w:rPr>
      </w:pPr>
      <w:r>
        <w:rPr>
          <w:rFonts w:ascii="Times New Roman;serif" w:hAnsi="Times New Roman;serif"/>
          <w:b w:val="false"/>
          <w:sz w:val="20"/>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sz w:val="20"/>
        </w:rPr>
        <w:t>Risks Related to Our Dependence on Third Parties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We rely, and expect to continue to rely, on third parties to conduct preclinical studies and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utilize and depend upon independent investigators and collaborators, such as medical institutions, CROs, contract manufacturing organizations and strategic partners to help conduct our preclinical studies. We do not have the ability to independently conduct clinical trials. We rely on medical institutions, clinical investigators, contract laboratories, and other third parties, including collaboration partners, to conduct or otherwise support clinical trials for our current product candidates, and we expect to rely on such third parties for our future product candidates. We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preclinical studies or clinical trials, we could be subject to untitled and warning letters or enforcement action that may include civil penalties up to and including criminal prosecution.</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and any third parties that we contract with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requirements through periodic inspections of clinical trial sponsors, principal investigators and trial sites. If we or the third parties we contract with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will comply with GCP. In addition, our clinical trials must be conducted with current or future product candidates produced under cGMP regulations. Our failure or the failure of third parties that we may contract with to comply with these regulations may require us to repeat some aspects of a specific, or an entire, clinical trial,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Although we designed the Phase 1 trials of KT-474, KT-413, KT-333 and KT-253, and intend to design other clinical trials for our current or future product candidates, or be involved in the design when other parties sponsor the trials, we anticipate that third parties will conduct all of our clinical trials. As a result, many important aspects of our clinical development, including their conduct, timing and response to the ongoing COVID-19 pandemic or any future pandemics, will be outside of our direct control. Our reliance on third parties to conduct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have staffing difficulties;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fail to comply with contractual obligations;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experience regulatory compliance issues;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form relationships with other entities, some of which may be our competitors. </w:t>
      </w:r>
    </w:p>
    <w:p>
      <w:pPr>
        <w:pStyle w:val="TextBody"/>
        <w:spacing w:before="120" w:after="0"/>
        <w:jc w:val="both"/>
        <w:rPr>
          <w:rFonts w:ascii="Times New Roman" w:hAnsi="Times New Roman"/>
          <w:sz w:val="20"/>
        </w:rPr>
      </w:pPr>
      <w:r>
        <w:rPr>
          <w:rFonts w:ascii="Times New Roman;serif" w:hAnsi="Times New Roman;serif"/>
          <w:b w:val="false"/>
          <w:sz w:val="20"/>
        </w:rPr>
        <w:t>These factors may materially adversely affect the willingness or ability of third parties to conduct our clinical trials and may subject us to unexpected cost increases that are beyond our control. If our CROs do not perform clinical trials in a satisfactory manner, breach their obligations to us or fail to comply with regulatory requirements, the development, marketing approval and commercialization of our current or future product candidates may be delayed, we may not be able to obtain marketing approval and commercialize our current or future product candidates, or our development programs may be materially and irreversibly harmed. If we are unable to rely on clinical data collected by our CROs, we could be required to repeat, extend the duration of, or increase the size of clinical trials we conduct and this could significantly delay commercialization and require significantly greater expenditures.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If any of our relationships with these third-party CROs terminate, we may not be able to enter into arrangements with alternative CROs on commercially reasonable terms, or at all. If our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current or future product candidates. As a result, we believe that our financial results and the commercial prospects for our current or future product candidates in the subject indication would be harmed, our costs could increase and our ability to generate revenue could be delayed.</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The third parties upon whom we rely for the supply of the API, drug product, and starting materials used in our product candidates are limited in number, and the loss of any of these suppliers could significantly harm our business.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drug substance and drug product in our product candidates are supplied to us from a small number of suppliers, and in some cases sole source suppliers. Our ability to successfully develop our current or future product candidates, and to ultimately supply our commercial drugs in quantities sufficient to meet the market demand, depends in part on our ability to obtain the drug product and drug substance for these drugs in accordance with regulatory requirements and in sufficient quantities for commercialization and clinical testing. We do not currently have arrangements in place for a redundant or second-source supply of all drug product or drug substance in the event any of our current suppliers of such drug product and drug substance cease their operations for any reason. Any delays in the delivery of our drug substance, drug product or starting materials could have an adverse effect and potentially harm our business. For example, in February 2020, one of our vendors for API starting materials based in Wuhan, China ceased its operations for several weeks due to the COVID-19 pandemic, which caused a minor delay in the delivery of API starting materials to a separate vendor who manufactures API.</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For all of our current or future product candidates, we intend to identify and qualify additional manufacturers to provide such API, drug product and drug substance prior to submission of an NDA to the FDA and/or an MAA to the EMA. We are not certain, however, that our single-source and dual 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Establishing additional or replacement suppliers for the drug product and drug substance used in our current or future product candidates,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drug product and drug substance used in our current or future product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i/>
          <w:sz w:val="20"/>
        </w:rPr>
        <w:t>Our success is dependent on our executive management team’s ability to successfully pursue business development, strategic partnerships and investment opportunities as our company matures. We may also form or seek strategic alliances or acquisitions or enter into additional collaboration and licensing arrangements in the future, and we may not realize the benefits of such collaborations, alliances, acquisitions or licensing arrangements.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have entered into collaboration and licensing arrangements with Vertex and Sanofi and may in the future form or seek strategic alliances or acquisitions, create joint ventures, or enter into additional collaboration and licensing arrangements with third parties that we believe will complement or augment our development and commercialization efforts with respect to our current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In addition, we face significant competition in seeking appropriate strategic partners and the negotiation process is time-consuming and complex. Moreover, we may not be successful in our efforts to establish a strategic partnership or acquisition or other alternative arrangements for our current or future product candidates because they may be deemed to be at too early of a stage of development for collaborative effort and third parties may not view our current or future product candidates as having the requisite potential to demonstrate safety, potency, purity and efficacy and obtain marketing approval.</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Further, collaborations involving our technologies or current or future product candidates are subject to numerous risks, which may include the following:</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collaborators have significant discretion in determining the efforts and resources that they will apply to a collaboration;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collaborators may not pursue development and commercialization of our current or future product candidates or may elect not to continue or renew development or commercialization of our current or future product candidates based on clinical trial results, changes in their strategic focus due to the acquisition of competitive products, availability of funding or other external factors, such as a business combination that diverts resources or creates competing priorities;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collaborators may delay clinical trials, provide insufficient funding for a clinical trial, stop a clinical trial, abandon a product candidate, repeat or conduct new clinical trials or require a new formulation of a product candidate for clinical testing;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collaborators could independently develop, or develop with third parties, products that compete directly or indirectly with our current or future product candidates;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a collaborator with marketing and distribution rights to one or more products may not commit sufficient resources to their marketing and distribution;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disputes may arise between us and a collaborator that cause the delay or termination of the research, development or commercialization of our current or future product candidates, or that result in costly litigation or arbitration that diverts management attention and resources;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collaborations may be terminated and, if terminated, may result in a need for additional capital to pursue further development or commercialization of the applicable current or future product candidates. For example, the collaboration agreement with Vertex may be terminated by Vertex either in its entirety or on a target-by-target basis, upon one hundred eighty days’ prior written notice to us, upon our material breach, subject to specified notice and cure provisions, or upon our bankruptcy, insolvency, dissolution or winding up;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collaborators may own or co-own intellectual property covering our products that results from our collaborating with them, and in such cases, we would not have the exclusive right to commercialize such intellectual property;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collaborators may not pay milestones and royalties due to the company in a timely manner. </w:t>
      </w:r>
    </w:p>
    <w:p>
      <w:pPr>
        <w:pStyle w:val="TextBody"/>
        <w:spacing w:before="120" w:after="0"/>
        <w:jc w:val="both"/>
        <w:rPr>
          <w:rFonts w:ascii="Times New Roman" w:hAnsi="Times New Roman"/>
          <w:sz w:val="20"/>
        </w:rPr>
      </w:pPr>
      <w:r>
        <w:rPr>
          <w:rFonts w:ascii="Times New Roman;serif" w:hAnsi="Times New Roman;serif"/>
          <w:b w:val="false"/>
          <w:sz w:val="20"/>
        </w:rPr>
        <w:t>As a result, we may not be able to realize the benefit of our existing collaboration and licensing arrangements or any future strategic partnerships or acquisitions, collaborations or license arrangements we may enter into if we are unable to successfully integrate them with our existing operations and company culture, which could delay our timelines or otherwise adversely affect our business. We also cannot be certain that, following a strategic transaction, license, collaboration or other business development partnership, we will achieve the revenue or specific net income that justifies such transaction. Any delays in entering into new collaborations or strategic partnership agreements related to our current or future product candidates could delay the development and commercialization of our current or future product candidates in certain geographies or for certain indications, which would harm our business prospects, financial condition and results of operations.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i/>
          <w:sz w:val="20"/>
        </w:rPr>
        <w:t>Our manufacturing process needs to comply with FDA regulations relating to the quality and reliability of such processes. Any failure to comply with relevant regulations could result in delays in or termination of our preclinical and clinical programs and suspension or withdrawal of any regulatory approvals.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current or future product candidates, including leading to significant delays in the availability of our product candidates for our clinical trials or the termination of or suspension of a clinical trial, or the delay or prevention of a filing or approval of marketing applications for our current or future product candidates. Significant non-compliance could also result in the imposition of sanctions, including warning or untitled letters, fines, injunctions, civil penalties, failure of regulatory authorities to grant marketing approvals for our current or future product candidates, delays, suspension or withdrawal of approvals, license revocation, seizures or recalls of products, operating restrictions and criminal prosecutions, any of which could damage our reputation and our business.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If our third-party manufacturers use hazardous and biological materials in a manner that causes injury or violates applicable law, we may be liable for damages.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Our research and development activities involve the controlled use of potentially hazardous substances, including chemical materials, by our third-party manufacturers. Our manufacturers are subject to federal, state and local laws and regulations in the U.S.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r>
        <w:rPr>
          <w:rFonts w:ascii="Times New Roman;serif" w:hAnsi="Times New Roman;serif"/>
          <w:b w:val="false"/>
          <w:sz w:val="24"/>
        </w:rPr>
        <w:t>.</w:t>
      </w:r>
      <w:r>
        <w:rPr>
          <w:rFonts w:ascii="Times New Roman" w:hAnsi="Times New Roman"/>
          <w:sz w:val="20"/>
        </w:rPr>
        <w:t xml:space="preserve"> </w:t>
      </w:r>
    </w:p>
    <w:p>
      <w:pPr>
        <w:pStyle w:val="TextBody"/>
        <w:spacing w:before="0" w:after="0"/>
        <w:jc w:val="both"/>
        <w:rPr>
          <w:rFonts w:ascii="Times New Roman;serif" w:hAnsi="Times New Roman;serif"/>
          <w:b/>
          <w:sz w:val="20"/>
        </w:rPr>
      </w:pPr>
      <w:r>
        <w:rPr>
          <w:rFonts w:ascii="Times New Roman;serif" w:hAnsi="Times New Roman;serif"/>
          <w:b/>
          <w:sz w:val="20"/>
        </w:rPr>
        <w:t>Risks Related to Intellectual Property</w:t>
      </w:r>
    </w:p>
    <w:p>
      <w:pPr>
        <w:pStyle w:val="TextBody"/>
        <w:spacing w:before="0" w:after="0"/>
        <w:jc w:val="both"/>
        <w:rPr>
          <w:rFonts w:ascii="Times New Roman" w:hAnsi="Times New Roman"/>
          <w:sz w:val="20"/>
        </w:rPr>
      </w:pPr>
      <w:r>
        <w:rPr>
          <w:rFonts w:ascii="Times New Roman;serif" w:hAnsi="Times New Roman;serif"/>
          <w:b/>
          <w:i/>
          <w:sz w:val="20"/>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Our commercial success depends in part on our ability to obtain and maintain patent or other intellectual property protection in the U.S. and other countries for our current or future product candidates and our core technologies, including our proprietary Pegasus</w:t>
      </w:r>
      <w:r>
        <w:rPr>
          <w:rFonts w:ascii="Times New Roman;serif" w:hAnsi="Times New Roman;serif"/>
          <w:b w:val="false"/>
          <w:sz w:val="13"/>
        </w:rPr>
        <w:t>TM</w:t>
      </w:r>
      <w:r>
        <w:rPr>
          <w:rFonts w:ascii="Times New Roman" w:hAnsi="Times New Roman"/>
          <w:sz w:val="20"/>
        </w:rPr>
        <w:t xml:space="preserve"> </w:t>
      </w:r>
      <w:r>
        <w:rPr>
          <w:rFonts w:ascii="Times New Roman;serif" w:hAnsi="Times New Roman;serif"/>
          <w:b w:val="false"/>
          <w:sz w:val="20"/>
        </w:rPr>
        <w:t>platform, our initial IRAK4, IRAKIMiD, STAT3 and MDM2 programs, which are our four most advanced development programs, as well as our proprietary compound library and other know-how.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own patent applications and one patent related to our platform E3 ligase ligand technology and our novel bifunctional degrader compounds, including claims to compositions of matter, pharmaceutical compositions, methods of use, methods of treatment, and other related methods.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As of March 31, 2023, our patent portfolio covering novel compounds, and the methods of making and using thereof, included 83 patent families. Patent term adjustments, supplementary protection certificate filings, or patent term extensions could result in later expiration dates in various countries, while terminal disclaimers could result in earlier expiration dates in the U.S.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patent position of biotechnology and pharmaceutical companies generally is highly uncertain, involves complex legal and factual questions and has in recent years been the subject of much litigation.</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pending patent applications that mature into issued patents will include claims with a scope sufficient to protect our Pegasus</w:t>
      </w:r>
      <w:r>
        <w:rPr>
          <w:rFonts w:ascii="Times New Roman;serif" w:hAnsi="Times New Roman;serif"/>
          <w:b w:val="false"/>
          <w:sz w:val="13"/>
        </w:rPr>
        <w:t>TM</w:t>
      </w:r>
      <w:r>
        <w:rPr>
          <w:rFonts w:ascii="Times New Roman" w:hAnsi="Times New Roman"/>
          <w:sz w:val="20"/>
        </w:rPr>
        <w:t xml:space="preserve"> </w:t>
      </w:r>
      <w:r>
        <w:rPr>
          <w:rFonts w:ascii="Times New Roman;serif" w:hAnsi="Times New Roman;serif"/>
          <w:b w:val="false"/>
          <w:sz w:val="20"/>
        </w:rPr>
        <w:t>platform and our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 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or technologies,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opposition, derivation, reexamination, inter partes review, or post-grant review proceedings challenging our patent rights or the patent rights of others from whom we may in the future obtain licenses to such rights, in the U.S. Patent and Trademark Office, or USPTO, the European Patent Office, or EPO, or in other countries. In addition, we may be subject to third-party submissions to the USPTO, the EPO, or elsewhere, that may reduce the scope or preclude the granting of claims from our pending patent applications. Competitors may challenge our issued patents or may file patent applications before we do. Competitors may also claim that we are infringing their patents and that we therefore cannot practice our technology as claimed under our patents or patent applications. Competitors may also contest our patents by showing an administrative patent authority or judge that the invention was not patent-eligible, was not novel, was obvious, and/or lacked inventive step, and/or that the patent application failed to meet relevant requirements relating to description, basis, enablement, and/or support; in litigation, a competitor could assert that our patents are not valid or are unenforceable for a number of reasons. If a court or administrative patent authority agrees, we would lose our protection of those challenged patents.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 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will not obtain patent or other intellectual property protection for all current or future product candidates in all jurisdictions throughout the world, and we may not be able to adequately enforce our intellectual property rights even in the jurisdictions where we seek protection.</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may not be able to pursue patent coverage of our current or future product candidates, the Pegasus</w:t>
      </w:r>
      <w:r>
        <w:rPr>
          <w:rFonts w:ascii="Times New Roman;serif" w:hAnsi="Times New Roman;serif"/>
          <w:b w:val="false"/>
          <w:sz w:val="13"/>
        </w:rPr>
        <w:t>TM</w:t>
      </w:r>
      <w:r>
        <w:rPr>
          <w:rFonts w:ascii="Times New Roman" w:hAnsi="Times New Roman"/>
          <w:sz w:val="20"/>
        </w:rPr>
        <w:t xml:space="preserve"> </w:t>
      </w:r>
      <w:r>
        <w:rPr>
          <w:rFonts w:ascii="Times New Roman;serif" w:hAnsi="Times New Roman;serif"/>
          <w:b w:val="false"/>
          <w:sz w:val="20"/>
        </w:rPr>
        <w:t>platform, or other technologies in all countries. Filing, prosecuting and defending patents on current or future product candidates, the Pegasus</w:t>
      </w:r>
      <w:r>
        <w:rPr>
          <w:rFonts w:ascii="Times New Roman;serif" w:hAnsi="Times New Roman;serif"/>
          <w:b w:val="false"/>
          <w:sz w:val="13"/>
        </w:rPr>
        <w:t>TM</w:t>
      </w:r>
      <w:r>
        <w:rPr>
          <w:rFonts w:ascii="Times New Roman" w:hAnsi="Times New Roman"/>
          <w:sz w:val="20"/>
        </w:rPr>
        <w:t xml:space="preserve"> </w:t>
      </w:r>
      <w:r>
        <w:rPr>
          <w:rFonts w:ascii="Times New Roman;serif" w:hAnsi="Times New Roman;serif"/>
          <w:b w:val="false"/>
          <w:sz w:val="20"/>
        </w:rPr>
        <w:t>platform, and other technologies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infringing on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r>
        <w:rPr>
          <w:rFonts w:ascii="Times New Roman;serif" w:hAnsi="Times New Roman;serif"/>
          <w:b w:val="false"/>
          <w:sz w:val="24"/>
        </w:rPr>
        <w:t>.</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may not obtain or grant licenses or sublicenses to intellectual property rights in all markets on equally or sufficiently favorable terms with third parties.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i/>
          <w:sz w:val="20"/>
        </w:rPr>
        <w:t>If we fail to comply with our obligations in our current or any future agreements under which we may license intellectual property rights from third parties or otherwise experience disruptions to our business relationships with our licensors, we could lose license rights that are important to our business.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are dependent on patents, know-how and proprietary technology, both our own and in-licensed from Vertex, Sanofi and other collaborators. Our commercial success depends upon our ability to develop, manufacture, market and sell our current or future product candidates and use our and our licensors’ proprietary technologies without infringing the proprietary rights of third parties. Vertex, Sanofi and other collaborators may have the right to terminate their respective license agreements in full in the event that we materially breach or default in the performance of any of the obligations under such license agreements. Any termination of these licenses, or if the underlying patents fail to provide the intended exclusivity, could result in the loss of significant rights and could harm our ability to commercialize our current or future product candidates, the Pegasus</w:t>
      </w:r>
      <w:r>
        <w:rPr>
          <w:rFonts w:ascii="Times New Roman;serif" w:hAnsi="Times New Roman;serif"/>
          <w:b w:val="false"/>
          <w:sz w:val="13"/>
        </w:rPr>
        <w:t>TM</w:t>
      </w:r>
      <w:r>
        <w:rPr>
          <w:rFonts w:ascii="Times New Roman" w:hAnsi="Times New Roman"/>
          <w:sz w:val="20"/>
        </w:rPr>
        <w:t xml:space="preserve"> </w:t>
      </w:r>
      <w:r>
        <w:rPr>
          <w:rFonts w:ascii="Times New Roman;serif" w:hAnsi="Times New Roman;serif"/>
          <w:b w:val="false"/>
          <w:sz w:val="20"/>
        </w:rPr>
        <w:t>platform, or other technologies,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Disputes may also arise between us and our current or future licensors regarding intellectual property subject to a license agreement, including:</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scope of rights granted under the license agreement and other interpretation-related issues;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whether and the extent to which our technology and processes infringe, misappropriate or otherwise violate intellectual property rights of the licensor that are not subject to the licensing agreement;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right to sublicense patent and other rights to third parties under collaborative development relationships;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diligence obligations with respect to the use of the licensed technology in relation to our development and commercialization of our current or future product candidates, and what activities satisfy those diligence obligations;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priority of invention of any patented technology;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the ownership of inventions and know-how resulting from the joint creation or use of intellectual property by our current or future licensors and us and our partners. </w:t>
      </w:r>
    </w:p>
    <w:p>
      <w:pPr>
        <w:pStyle w:val="TextBody"/>
        <w:spacing w:before="120" w:after="0"/>
        <w:jc w:val="both"/>
        <w:rPr>
          <w:rFonts w:ascii="Times New Roman" w:hAnsi="Times New Roman"/>
          <w:sz w:val="20"/>
        </w:rPr>
      </w:pPr>
      <w:r>
        <w:rPr>
          <w:rFonts w:ascii="Times New Roman;serif" w:hAnsi="Times New Roman;serif"/>
          <w:b w:val="false"/>
          <w:sz w:val="20"/>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current or future licensing arrangements on acceptable terms, we may be unable to successfully develop and commercialize the affected current or future product candidates or technologies, which could have a material adverse effect on our business, financial conditions, results of operations and prospects.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Intellectual property rights do not guarantee commercial success of current or future product candidates or other business activities. Numerous factors may limit any potential competitive advantage provided by our intellectual property rights.</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patent applications that we own or may in-license may not lead to issued patents;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patents, should they issue, that we may own or in-license, may not provide us with any competitive advantages, may be narrowed in scope, or may be challenged and held invalid or unenforceable;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third parties may compete with us in jurisdictions where we do not pursue and obtain patent protection;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we, or our future licensors or collaborators, might not have been the first to make the inventions covered by a patent application that we own or may in-license;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we, or our future licensors or collaborators, might not have been the first to file patent applications covering a particular invention;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others may independently develop similar or alternative technologies without infringing, misappropriating or otherwise violating our intellectual property rights;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we may not be able to obtain and/or maintain necessary licenses on reasonable terms or at all;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third parties may assert an ownership interest in our intellectual property and, if successful, such disputes may preclude us from exercising exclusive rights, or any rights at all, over that intellectual property;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we may choose not to file a patent in order to maintain certain trade secrets or know-how, and a third party may subsequently file a patent covering such trade secrets or know-how;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we may not be able to maintain the confidentiality of our trade secrets or other proprietary information;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we may not develop or in-license additional proprietary technologies that are patentable;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the patents of others may have an adverse effect on our business.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Should any of these events occur, they could significantly harm our business, financial condition, results of operations and prospects.</w:t>
      </w:r>
    </w:p>
    <w:p>
      <w:pPr>
        <w:pStyle w:val="TextBody"/>
        <w:spacing w:before="0" w:after="0"/>
        <w:jc w:val="both"/>
        <w:rPr>
          <w:rFonts w:ascii="Times New Roman" w:hAnsi="Times New Roman"/>
          <w:sz w:val="20"/>
        </w:rPr>
      </w:pPr>
      <w:r>
        <w:rPr>
          <w:rFonts w:ascii="Times New Roman;serif" w:hAnsi="Times New Roman;serif"/>
          <w:b/>
          <w:sz w:val="20"/>
        </w:rPr>
        <w:t>Risks Related to Patent Protection</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Obtaining and maintaining our patent protection, including patent term, depends on compliance with various procedural, document submission, deadlines, fee payment and other requirements imposed by governmental patent agencies, and our patent protection could be reduced or eliminated if we miss a filing deadline for patent protection on these inventions or otherwise fail to comply with these requirements.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Depending upon the timing, duration and specifics of FDA marketing approval of our current or future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Different laws govern the extension of patents on approved pharmaceutical products in Europe and other jurisdictions. However, we may not be granted a patent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may not be granted an extension in the U.S. if all of our patents covering an approved product expire more than fourteen years from the date of NDA approval for a product covered by those patents.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rPr/>
      </w:pPr>
      <w:r>
        <w:rPr/>
      </w:r>
    </w:p>
    <w:p>
      <w:pPr>
        <w:pStyle w:val="TextBody"/>
        <w:spacing w:before="0" w:after="0"/>
        <w:jc w:val="left"/>
        <w:rPr/>
      </w:pPr>
      <w:r>
        <w:rPr/>
        <w:t>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Changes in patent law could diminish the value of patents in general, thereby impairing our ability to protect our current or future product candidates.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As is the case with other biopharmaceutical companies, our success is heavily dependent on intellectual property, particularly patents. Obtaining and enforcing patents in the biopharmaceutical industry involve both technological and legal complexity and are therefore costly, time consuming and inherently uncertain.</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u w:val="single"/>
        </w:rPr>
      </w:pPr>
      <w:r>
        <w:rPr>
          <w:rFonts w:ascii="Times New Roman;serif" w:hAnsi="Times New Roman;serif"/>
          <w:b w:val="false"/>
          <w:sz w:val="20"/>
          <w:u w:val="single"/>
        </w:rPr>
        <w:t>Risks Related to our Trademarks, Trade Names and Trade Secrets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If our trademarks and trade names for our products or company name are not adequately protected in one or more countries where we intend to market our products, we may delay the launch of product brand names, use different or less effective trademarks or tradenames in different countries, or face other potentially adverse consequences to building our product brand recognition.</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Our trademarks or trade name may be challenged, infringed, diluted, circumvented, declared generic, or determined to be infringing on other marks. In such a circumstance, we may not be able to protect our rights to these marks or may be forced to stop using product names, which we need for name recognition by potential partners and customers in our markets of interest.</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In addition, during the trademark registration process, we may receive Office Actions from the USPTO or from comparable agencies in foreign jurisdictions refusing registration of our trademarks. For example, in April 2021 and October 2022, respectively, the USPTO issued preliminary office action refusals against our applications to register E3 LIGASE WHOLE BODY ATLAS and E3 HUMAN ATLAS and our K &amp; Design logo mark. While E3 LIGASE WHOLE BODY ATLAS and E3 HUMAN ATLAS have since been published and notices of allowance issued, we do not yet know whether the USPTO will issue a subsequent office action against our application for our logo mark, to which we will have to respond, and which we may not ultimately be able to overcome, or if this application will be approved for publication as well.</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In the USPTO and in comparable agencies in many foreign jurisdictions, third parties are also given an opportunity to oppose pending trademark applications and/or to seek the cancellation of registered trademarks. For example, in November 2019, Novartis AG filed actions in the U.S. and European Union trademark offices opposing our applications to register KYMERA and KYMERA THERAPEUTICS for pharmaceuticals and drug development services on the basis of its claimed rights in the KYMRIAH mark. This dispute was amicably settled in October 2020 and the involved applications for KYMERA and KYMERA THERAPEUTICS are now registered or allowed in the United States and have proceeded to registration in the European Union.</w:t>
      </w:r>
    </w:p>
    <w:p>
      <w:pPr>
        <w:pStyle w:val="TextBody"/>
        <w:spacing w:before="12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If we are unable to adequately protect and enforce our trade secrets, our business and competitive position would be harmed.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In the case of employees, we enter into agreements providing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u w:val="single"/>
        </w:rPr>
      </w:pPr>
      <w:r>
        <w:rPr>
          <w:rFonts w:ascii="Times New Roman;serif" w:hAnsi="Times New Roman;serif"/>
          <w:b w:val="false"/>
          <w:sz w:val="20"/>
          <w:u w:val="single"/>
        </w:rPr>
        <w:t>Risks Related to Intellectual Property Litigation and Infringement Claims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We may initiate, become a defendant in, or otherwise become party to lawsuits to protect or enforce our intellectual property rights, which could be expensive, time-consuming and unsuccessful.</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Competitors may infringe any intellectual property we may own or in-license, including our patents and trademarks. In addition, any intellectual property we may own or in-license also may become the subject of a dispute, including those based on inventorship, priority, validity or unenforceability.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any intellectual property we may own or in-license is not valid or is unenforceable or that the other party’s use of our technology that may be patented falls under the safe harbor to patent infringement under 35 U.S.C.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or other intellectual property we may own or in-license at risk of being invalidated, held unenforceable, or interpreted narrowly and could put our own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may not be able to detect infringement against any intellectual property we may own or in-license. Even if we detect infringement by a third party of any intellectual property we may own or in-license, we may choose not to pursue litigation against or settlement with the third party. If we later sue such third party for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or other intellectual property we may own or in-license against such third party.</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Intellectual property litigation and administrative office challenges in one or more countries could cause us to spend substantial resources and distract our personnel from their normal responsibilities. Even if resolved in our favor, litigation or other legal proceedings relating to intellectual property claims may cause us to incur significant expenses, and could distract our technical and management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personnel from their normal responsibilities. In August 2021, we initiated a US patent office proceeding, a post-grant review, to challenge a third-party patent unrelated to our current product candidates. In response, the owner of the challenged third-party patent disclaimed that patent in full. We may challenge additional third-party patents in the future.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preclinical studies and future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such disputes could adversely impact our business reputation and/or protection of our proprietary technology.</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inter partes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the Pegasus</w:t>
      </w:r>
      <w:r>
        <w:rPr>
          <w:rFonts w:ascii="Times New Roman;serif" w:hAnsi="Times New Roman;serif"/>
          <w:b w:val="false"/>
          <w:sz w:val="13"/>
        </w:rPr>
        <w:t>TM</w:t>
      </w:r>
      <w:r>
        <w:rPr>
          <w:rFonts w:ascii="Times New Roman" w:hAnsi="Times New Roman"/>
          <w:sz w:val="20"/>
        </w:rPr>
        <w:t xml:space="preserve"> </w:t>
      </w:r>
      <w:r>
        <w:rPr>
          <w:rFonts w:ascii="Times New Roman;serif" w:hAnsi="Times New Roman;serif"/>
          <w:b w:val="false"/>
          <w:sz w:val="20"/>
        </w:rPr>
        <w:t>platform,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the Pegasus</w:t>
      </w:r>
      <w:r>
        <w:rPr>
          <w:rFonts w:ascii="Times New Roman;serif" w:hAnsi="Times New Roman;serif"/>
          <w:b w:val="false"/>
          <w:sz w:val="13"/>
        </w:rPr>
        <w:t>TM</w:t>
      </w:r>
      <w:r>
        <w:rPr>
          <w:rFonts w:ascii="Times New Roman" w:hAnsi="Times New Roman"/>
          <w:sz w:val="20"/>
        </w:rPr>
        <w:t xml:space="preserve"> </w:t>
      </w:r>
      <w:r>
        <w:rPr>
          <w:rFonts w:ascii="Times New Roman;serif" w:hAnsi="Times New Roman;serif"/>
          <w:b w:val="false"/>
          <w:sz w:val="20"/>
        </w:rPr>
        <w:t>platform, or other technologies, are rightfully owned by their former or concurrent employer. Litigation may be necessary to defend against these claims.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While certain activities related to development and preclinical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If a third party claims that we infringe, misappropriate or otherwise violate its intellectual property rights, we may face a number of issues, including, but not limited to:</w:t>
      </w:r>
      <w:r>
        <w:rPr>
          <w:rFonts w:ascii="Times New Roman" w:hAnsi="Times New Roman"/>
          <w:sz w:val="20"/>
        </w:rPr>
        <w:t xml:space="preserve">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infringement, misappropriation and other intellectual property claims which, regardless of merit, may be expensive and time-consuming to litigate and may divert our management’s attention from our core business and may impact our reputation;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 </w:t>
      </w:r>
    </w:p>
    <w:p>
      <w:pPr>
        <w:pStyle w:val="TextBody"/>
        <w:spacing w:before="120" w:after="0"/>
        <w:jc w:val="both"/>
        <w:rPr/>
      </w:pPr>
      <w:r>
        <w:rPr/>
        <w:t>•</w:t>
      </w:r>
    </w:p>
    <w:p>
      <w:pPr>
        <w:pStyle w:val="TextBody"/>
        <w:spacing w:before="120" w:after="0"/>
        <w:jc w:val="both"/>
        <w:rPr/>
      </w:pPr>
      <w:r>
        <w:rPr>
          <w:rFonts w:ascii="Times New Roman;serif" w:hAnsi="Times New Roman;serif"/>
          <w:b w:val="false"/>
          <w:sz w:val="20"/>
        </w:rPr>
        <w:t>a court prohibiting us from developing, manufacturing, marketing or selling our current or future product candidates, or from using our proprietary technologies, including our Pegasus</w:t>
      </w:r>
      <w:r>
        <w:rPr>
          <w:rFonts w:ascii="Times New Roman;serif" w:hAnsi="Times New Roman;serif"/>
          <w:b w:val="false"/>
          <w:sz w:val="13"/>
        </w:rPr>
        <w:t>TM</w:t>
      </w:r>
      <w:r>
        <w:rPr/>
        <w:t xml:space="preserve"> </w:t>
      </w:r>
      <w:r>
        <w:rPr>
          <w:rFonts w:ascii="Times New Roman;serif" w:hAnsi="Times New Roman;serif"/>
          <w:b w:val="false"/>
          <w:sz w:val="20"/>
        </w:rPr>
        <w:t xml:space="preserve">platform, unless the third-party licenses its product rights to us, which it is not required to do on commercially reasonable terms or at all;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redesigning our current or future product candidates or processes so they do not infringe, misappropriate or violate third-party intellectual property rights, which may not be possible or may require substantial monetary expenditures and time;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there could be public announcements of the results of hearings, motions or other interim proceedings or developments, and, if securities analysts or investors perceive these results to be negative, it could have a substantial adverse effect on the price of our common stock. </w:t>
      </w:r>
    </w:p>
    <w:p>
      <w:pPr>
        <w:pStyle w:val="TextBody"/>
        <w:spacing w:before="120" w:after="0"/>
        <w:jc w:val="both"/>
        <w:rPr>
          <w:rFonts w:ascii="Times New Roman" w:hAnsi="Times New Roman"/>
          <w:sz w:val="20"/>
        </w:rPr>
      </w:pPr>
      <w:r>
        <w:rPr>
          <w:rFonts w:ascii="Times New Roman;serif" w:hAnsi="Times New Roman;serif"/>
          <w:b w:val="false"/>
          <w:sz w:val="20"/>
        </w:rPr>
        <w:t>Some of our competitors may be able to sustain the costs of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or Pegasus</w:t>
      </w:r>
      <w:r>
        <w:rPr>
          <w:rFonts w:ascii="Times New Roman;serif" w:hAnsi="Times New Roman;serif"/>
          <w:b w:val="false"/>
          <w:sz w:val="13"/>
        </w:rPr>
        <w:t>TM</w:t>
      </w:r>
      <w:r>
        <w:rPr>
          <w:rFonts w:ascii="Times New Roman" w:hAnsi="Times New Roman"/>
          <w:sz w:val="20"/>
        </w:rPr>
        <w:t xml:space="preserve"> </w:t>
      </w:r>
      <w:r>
        <w:rPr>
          <w:rFonts w:ascii="Times New Roman;serif" w:hAnsi="Times New Roman;serif"/>
          <w:b w:val="false"/>
          <w:sz w:val="20"/>
        </w:rPr>
        <w:t>platform may be impaired or delayed, which could in turn significantly harm our business. Even if we obtain a license, it may be nonexclusive, thereby giving our competitors access to the same technologies licensed to us.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or technologies, which could harm our business significantly.</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or technologies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sz w:val="20"/>
        </w:rPr>
        <w:t>Risks Related to Employee Matters, Managing Growth and Other Risks Related to Our Business</w:t>
      </w:r>
      <w:r>
        <w:rPr>
          <w:rFonts w:ascii="Times New Roman" w:hAnsi="Times New Roman"/>
          <w:sz w:val="20"/>
        </w:rPr>
        <w:t xml:space="preserve"> </w:t>
      </w:r>
    </w:p>
    <w:p>
      <w:pPr>
        <w:pStyle w:val="TextBody"/>
        <w:spacing w:before="0" w:after="0"/>
        <w:jc w:val="both"/>
        <w:rPr>
          <w:rFonts w:ascii="Times New Roman;serif" w:hAnsi="Times New Roman;serif"/>
          <w:b w:val="false"/>
          <w:sz w:val="20"/>
          <w:u w:val="single"/>
        </w:rPr>
      </w:pPr>
      <w:r>
        <w:rPr>
          <w:rFonts w:ascii="Times New Roman;serif" w:hAnsi="Times New Roman;serif"/>
          <w:b w:val="false"/>
          <w:sz w:val="20"/>
          <w:u w:val="single"/>
        </w:rPr>
        <w:t>Risks Related to Employee Matters and Managing Growth</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Our future success depends on our ability to retain key executives and to attract, retain and motivate qualified personnel.</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are highly dependent on the research and development, clinical and business development expertise of Nello Mainolfi, Ph.D., our President and Chief Executive Officer, Jared Gollob, M.D., our Chief Medical Officer, Bruce Jacobs, our Chief Financial Officer and Ellen Chiniara, our Chief Legal Officer, as well as the other principal members of our management, scientific and clinical teams.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i/>
          <w:sz w:val="20"/>
        </w:rPr>
        <w:t>We will need to develop and expand our company, and we may encounter difficulties in managing this development and expansion, which could disrupt our operations.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As of March 31, 2023, we had 174 full-time employees, and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expansion of our operations may lead to significant costs and may divert financial resources from other projects, such as the development of our current or future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current or future product candidates, if approved, and compete effectively will depend, in part, on our ability to effectively manage the future development and expansion of our company.</w:t>
      </w:r>
      <w:r>
        <w:rPr>
          <w:rFonts w:ascii="Times New Roman" w:hAnsi="Times New Roman"/>
          <w:sz w:val="20"/>
        </w:rPr>
        <w:t xml:space="preserve"> </w:t>
      </w:r>
    </w:p>
    <w:p>
      <w:pPr>
        <w:pStyle w:val="TextBody"/>
        <w:spacing w:before="0" w:after="0"/>
        <w:jc w:val="both"/>
        <w:rPr>
          <w:rFonts w:ascii="Times New Roman;serif" w:hAnsi="Times New Roman;serif"/>
          <w:b/>
          <w:i/>
          <w:sz w:val="20"/>
        </w:rPr>
      </w:pPr>
      <w:r>
        <w:rPr>
          <w:rFonts w:ascii="Times New Roman;serif" w:hAnsi="Times New Roman;serif"/>
          <w:b/>
          <w:i/>
          <w:sz w:val="20"/>
        </w:rPr>
        <w:t>We or the third parties upon whom we depend may be adversely affected by unforeseen global events, natural disasters, and our business continuity and disaster recovery plans may not adequately protect us from a serious disaster</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Unforeseen global events, such as increasing inflation and interest rates and the related U.S. and global economic impact or the 2022 Russian invasion of Ukraine, could adversely impact our business. Such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pStyle w:val="TextBody"/>
        <w:spacing w:before="120" w:after="0"/>
        <w:jc w:val="both"/>
        <w:rPr>
          <w:rFonts w:ascii="Times New Roman" w:hAnsi="Times New Roman"/>
          <w:sz w:val="20"/>
        </w:rPr>
      </w:pPr>
      <w:r>
        <w:rPr>
          <w:rFonts w:ascii="Times New Roman;serif" w:hAnsi="Times New Roman;serif"/>
          <w:b w:val="false"/>
          <w:sz w:val="20"/>
        </w:rPr>
        <w:t>Additionally, any unplanned event, such as flood, fire, explosion, earthquake, extreme weather condition, medical epidemics, including any potential effects from the current global spread of COVID-19,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our product candidates or interruption of our business operations. Natural disasters or pandemics such as the COVID-19 pandemic could further disrupt our operations, and have a material and adverse effect on our business, financial condition, results of operations and prospects. For example, we have instituted a temporary work from home policy for non-essential office personnel and it is possible that this could have a negative impact on the execution of our business plans and operations.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val="false"/>
          <w:sz w:val="20"/>
          <w:u w:val="single"/>
        </w:rPr>
      </w:pPr>
      <w:r>
        <w:rPr>
          <w:rFonts w:ascii="Times New Roman;serif" w:hAnsi="Times New Roman;serif"/>
          <w:b w:val="false"/>
          <w:sz w:val="20"/>
          <w:u w:val="single"/>
        </w:rPr>
        <w:t>Risks Related to Data and Privacy</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Our internal computer systems, or those of our third-party CROs or other contractors or consultants, may fail or suffer security breaches, which could result in a material disruption of our current or future product candidates’ development programs.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data from preclinical studies or clinical trials for our current or future product candidates could result in delays in our regulatory approval efforts and significantly increase our costs to recover or reproduce the data. To the extent that any disruption or security breach results in a loss of or damage to our data or applications, other data or applications relating to our technology or current or future product candidates, or inappropriate disclosure of confidential or proprietary information, we could incur liabilities and the further development of our current or future product candidates could be delayed.</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EU General Data Protection Regulation, or GDPR) and may cause a material adverse impact to our reputation, affect our ability to use collected data, conduct new studies and potentially disrupt our business.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rely on our third-party providers to implement effective security measures and identify and correct for any such failures, deficiencies or breaches. We also rely on our employees and consultants to safeguard their security credentials and follow our policies and procedures regarding use and access of computers and other devices that may contain our sensitive information.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sz w:val="20"/>
        </w:rPr>
        <w:t>Risks Related to Our Common Stock</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The price of our common stock has been and may continue to be volatile and fluctuate substantially, and investors may lose all or part of their investment.</w:t>
      </w:r>
    </w:p>
    <w:p>
      <w:pPr>
        <w:pStyle w:val="TextBody"/>
        <w:spacing w:before="120" w:after="0"/>
        <w:jc w:val="both"/>
        <w:rPr>
          <w:rFonts w:ascii="Times New Roman" w:hAnsi="Times New Roman"/>
          <w:sz w:val="20"/>
        </w:rPr>
      </w:pPr>
      <w:r>
        <w:rPr>
          <w:rFonts w:ascii="Times New Roman;serif" w:hAnsi="Times New Roman;serif"/>
          <w:b w:val="false"/>
          <w:sz w:val="20"/>
        </w:rPr>
        <w:t>Our stock price has been volatile and may continue to be subject to wide fluctuations in response to various factors. The stock market in general and the market for biopharmaceutical companies in particular have experienced extreme volatility that has often been unrelated to the operating performance of particular companies., including in connection with developments related to COVID-19, the conflict between Russia and Ukraine and related sanctions against Russia, increasing inflation rates, and interest rate changes, which have resulted in decreased stock prices for many companies notwithstanding the lack of a fundamental change in their underlying business models or prospects. As a result of this volatility, you may lose all or part of your investment. The market price for our common stock may be influenced by many factors, including:</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success of competitive drugs or technologies;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results of preclinical studies and clinical trials of our current or future product candidates or those of our competitors;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regulatory or legal developments in the U.S. and other countries;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developments or disputes concerning patent applications, issued patents or other proprietary rights;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recruitment or departure of key personnel;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level of expenses related to any of our current or future product candidates or clinical development programs;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results of our efforts to discover, develop, acquire or in-license additional current or future product candidates or drugs;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actual or anticipated changes in estimates as to financial results, development timelines or recommendations by securities analysts;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variations in our financial results or those of companies that are perceived to be similar to us;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changes in the structure of healthcare payment systems;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market conditions in the pharmaceutical and biotechnology sectors;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announcements regarding our collaboration agreements, including announcements regarding our collaboration agreement with Sanofi;</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general economic, industry and market conditions;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the other factors described in this “Risk Factors” section. </w:t>
      </w:r>
    </w:p>
    <w:p>
      <w:pPr>
        <w:pStyle w:val="TextBody"/>
        <w:spacing w:before="0" w:after="0"/>
        <w:jc w:val="both"/>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These and other market and industry factors may cause the market price and demand for shares of our common stock to fluctuate substantially, regardless of our actual operating performance, which may limit or prevent investors from selling their shares at or above the price paid for the shares and may otherwise negatively affect the liquidity of our common stock. The realization of any of the above risks or any of a broad range of other risks, including those described in this section, could have a significant and material adverse impact on the market price of our common stock. The price of our common stock may be disproportionately affected as investors may favor traditional profit-making industries and companies during the times of market uncertainty and instability.</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70</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i/>
          <w:sz w:val="20"/>
        </w:rPr>
        <w:t>Unstable market and economic conditions may have serious adverse consequences on our business, financial condition and stock price.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As widely reported,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including most recently in connection with the ongoing COVID-19 pandemic.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 Furthermore, our stock price may decline due in part to the volatility of the stock market and the general economic downturn.</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 on schedule and on budget.</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Raising additional capital may cause dilution to our stockholders, restrict our operations or require us to relinquish rights to our technologies or current or future product candidates.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Until such time, if ever, as we can generate substantial product revenues, we expect to finance our cash needs through a combination of private and public equity offerings, debt financings, collaborations, strategic alliances and marketing, distribution or licensing arrangements. We do not currently have any committed external source of funds. To the extent that we raise additional capital through the sale of common stock or securities convertible or exchangeable into common stock, your ownership interest will be diluted, and the terms of these securities may include liquidation or other preferences that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If we raise funds through additional collaborations, strategic alliances or marketing, distribution or licensing arrangements with third parties, we may have to relinquish valuable rights to our intellectual property, future revenue streams, research programs or current or future product candidates or to grant licenses on terms that may not be favorable to us. If we are unable to raise additional funds through equity or debt financings when needed, we may be required to delay, scale back or discontinue the development and commercialization of one or more of our product candidates, delay our pursuit of potential in-licenses or acquisitions or grant rights to develop and market current or future product candidates that we would otherwise prefer to develop and market ourselves.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If securities analysts do not publish research or reports about our business or if they publish negative evaluations of our stock, the price of our stock could decline.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The trading market for our common stock will rely in part on the research and reports that industry or financial analysts publish about us or our business. We do not have control over these analysts. Although we have obtained research coverage from certain analysts, there can be no assurance that analysts will continue to cover us or provide favorable coverage. If one or more of the analysts covering our business downgrade their evaluations of our stock, the price of our stock could decline. In addition, if one or more of these analysts cease to cover our stock, we could lose visibility in the market for our stock, which in turn could cause our stock price to decline.</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Our executive officers, directors, principal stockholders and their affiliates exercise significant influence over our company, which will limit your ability to influence corporate matters and could delay or prevent a change in corporate control.</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As of March 31, 2023, the existing holdings of our executive officers, directors, principal stockholders and their affiliates represent beneficial ownership, in the aggregate, of approximately 21% of our outstanding common stock.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This may prevent or discourage unsolicited acquisition proposals or offers for our common stock that you may feel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 Additionally, from time to time, any of our non-affiliated shareholders may accumulate or acquire significant positions in our common stock and may similarly be able to influence our business or matters submitted to our stockholders for approval.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71</w:t>
      </w:r>
    </w:p>
    <w:p>
      <w:pPr>
        <w:pStyle w:val="HorizontalLine"/>
        <w:rPr/>
      </w:pPr>
      <w:r>
        <w:rPr/>
      </w:r>
    </w:p>
    <w:p>
      <w:pPr>
        <w:pStyle w:val="TextBody"/>
        <w:spacing w:before="0" w:after="0"/>
        <w:jc w:val="left"/>
        <w:rPr/>
      </w:pPr>
      <w:r>
        <w:rPr/>
        <w:t>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concentration of voting power among these stockholders may also have an adverse effect on the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pStyle w:val="TextBody"/>
        <w:spacing w:before="0" w:after="0"/>
        <w:jc w:val="both"/>
        <w:rPr>
          <w:rFonts w:ascii="Times New Roman" w:hAnsi="Times New Roman"/>
          <w:sz w:val="20"/>
        </w:rPr>
      </w:pPr>
      <w:r>
        <w:rPr>
          <w:rFonts w:ascii="Times New Roman;serif" w:hAnsi="Times New Roman;serif"/>
          <w:b/>
          <w:i/>
          <w:sz w:val="20"/>
        </w:rPr>
        <w:t>Sales of a substantial number of shares of our common stock in the public market could cause our stock price to fall.</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Certain holders of our common stock have rights, subject to conditions, to require us to file registration statements covering their shares or to include their shares in registration statements that we may file for ourselves or other stockholders. We have also filed registration statements on Form S-8 registering the issuance of shares of common stock issued or reserved for future issuance under our equity compensation plans. Shares registered under this registration statement on Form S-8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pStyle w:val="TextBody"/>
        <w:spacing w:before="0" w:after="0"/>
        <w:jc w:val="both"/>
        <w:rPr>
          <w:rFonts w:ascii="Times New Roman" w:hAnsi="Times New Roman"/>
          <w:sz w:val="20"/>
        </w:rPr>
      </w:pPr>
      <w:r>
        <w:rPr>
          <w:rFonts w:ascii="Times New Roman;serif" w:hAnsi="Times New Roman;serif"/>
          <w:b/>
          <w:i/>
          <w:sz w:val="20"/>
        </w:rPr>
        <w:t>Because we do not anticipate paying any cash dividends on our capital stock in the foreseeable future, capital appreciation, if any, will be investors’ sole source of gain.</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have never declared or paid cash dividends on our capital stock. We currently intend to retain all of our future earnings, if any, to finance the growth and development of our business. As a result, capital appreciation, if any, of our common stock will be investors’ sole source of gain for the foreseeable future.</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We may be at an increased risk of securities class action litigation.</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 Additionally,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Furthermore, during the course of litigation, there could be negative public announcements of the results of hearings, motions or other interim proceedings or developments, which could have a negative effect on the market price of our common stock.</w:t>
      </w:r>
    </w:p>
    <w:p>
      <w:pPr>
        <w:pStyle w:val="TextBody"/>
        <w:spacing w:before="0" w:after="0"/>
        <w:jc w:val="both"/>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Risks Related to Tax</w:t>
      </w:r>
    </w:p>
    <w:p>
      <w:pPr>
        <w:pStyle w:val="TextBody"/>
        <w:spacing w:before="0" w:after="0"/>
        <w:jc w:val="both"/>
        <w:rPr/>
      </w:pPr>
      <w:r>
        <w:rPr/>
        <w:t> </w:t>
      </w:r>
    </w:p>
    <w:p>
      <w:pPr>
        <w:pStyle w:val="TextBody"/>
        <w:spacing w:before="0" w:after="0"/>
        <w:jc w:val="both"/>
        <w:rPr>
          <w:rFonts w:ascii="Times New Roman;serif" w:hAnsi="Times New Roman;serif"/>
          <w:b/>
          <w:i/>
          <w:sz w:val="20"/>
        </w:rPr>
      </w:pPr>
      <w:r>
        <w:rPr>
          <w:rFonts w:ascii="Times New Roman;serif" w:hAnsi="Times New Roman;serif"/>
          <w:b/>
          <w:i/>
          <w:sz w:val="20"/>
        </w:rPr>
        <w:t>Changes in tax law may adversely affect us or our investors.</w:t>
      </w:r>
    </w:p>
    <w:p>
      <w:pPr>
        <w:pStyle w:val="TextBody"/>
        <w:spacing w:before="120" w:after="0"/>
        <w:jc w:val="both"/>
        <w:rPr>
          <w:rFonts w:ascii="Times New Roman" w:hAnsi="Times New Roman"/>
          <w:sz w:val="20"/>
        </w:rPr>
      </w:pPr>
      <w:r>
        <w:rPr>
          <w:rFonts w:ascii="Times New Roman;serif" w:hAnsi="Times New Roman;serif"/>
          <w:b w:val="false"/>
          <w:sz w:val="20"/>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 future.</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Additional changes to U.S. federal income tax law are currently being contemplated, and future changes in tax laws could have a material adverse effect on our business, cash flow, financial condition or results of operations. 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 You are urged to consult your tax advisor regarding the implications of potential changes in tax laws on an investment in our common stock.</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72</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i/>
          <w:sz w:val="20"/>
        </w:rPr>
        <w:t>Our ability to utilize our net operating loss carryforwards and certain other tax attributes to offset future taxable income may be subject to certain limitations, and, as a result, unavailable to reduce our future tax liability.</w:t>
      </w:r>
      <w:r>
        <w:rPr>
          <w:rFonts w:ascii="Times New Roman" w:hAnsi="Times New Roman"/>
          <w:sz w:val="20"/>
        </w:rPr>
        <w:t xml:space="preserve"> </w:t>
      </w:r>
    </w:p>
    <w:p>
      <w:pPr>
        <w:pStyle w:val="TextBody"/>
        <w:spacing w:before="0" w:after="0"/>
        <w:jc w:val="both"/>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As of December 31, 2022, we had federal and state net operating loss carryforwards of $153.9 million and $139.8 million, respectively, which begin to expire in various amounts in 2036 (other than federal net operating loss carryforwards arising in taxable years beginning after December 31, 2017, which are not subject to expiration but the deductibility of such federal NOLs may be limited to 80% of our taxable income annually for tax years beginning after December 31, 2020). As of December 31, 2022, we also had federal and state research and development tax credit carryforwards of $12.7 million and $6.1 million, respectively, which begin to expire in 2036. These net operating loss and tax credit carryforwards could expire unused and be unavailable to offset future income tax liabilities.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where the aggregate stock ownership of one or more stockholders or groups of stockholders who own at least 5% of a corporation’s stock increases by more than 50 percentage points over the lowest ownership percentage of such stockholders or groups of stockholders within a specified testing period. Our existing NOLs or credits may be subject to limitations arising from previous ownership changes. In addition, future changes in our stock ownership, many of which are outside of our control, could result in an ownership change under Sections 382 and 383 of the Code and limit our ability to utilize NOLs or credit. Our NOLs or credits may also be impaired under state law. Accordingly, we may not be able to utilize a material portion of our NOLs or credits. Furthermore, our ability to utilize our NOLs or credits is conditioned upon our attaining profitability and generating U.S. federal and state taxable income. As described above under “Risk Factors—Risks Related to our Financial Position and Need for Additional Capital,” we have incurred significant net losses since our inception and anticipate that we will continue to incur significant losses for the foreseeable future; and therefore, we do not know whether or when we will generate the U.S. federal or state taxable income necessary to utilize our NOLs or credit carryforwards that are subject to limitation by Sections 382 and 383 of the Code.</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sz w:val="20"/>
        </w:rPr>
        <w:t>Risks Related to Our Controls and Reporting Requirements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If we fail to maintain proper and effective internal control over financial reporting, our operating results and our ability to operate our business could be harmed.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Pursuant to Section 404 of the Sarbanes-Oxley Act of 2002, or Section 404, we are required to furnish a report by our management on our internal control over financial reporting, including an attestation report on internal control over financial reporting issued by our independent registered public accounting firm.</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To achieve compliance with Section 404, we have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investors’ perceptions that our internal controls are inadequate or that we are unable to produce accurate financial statements on a timely basis may harm our stock price and make it more difficult for us to effectively market and sell any of our present or future product candidates that may receive regulatory approval.</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73</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i/>
          <w:sz w:val="20"/>
        </w:rPr>
        <w:t>Our disclosure controls and procedures may not prevent or detect all errors or acts of fraud.</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sz w:val="20"/>
        </w:rPr>
        <w:t>Risks Related to Our Charter and Bylaws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Our fourth amended and restated certificate of incorporation and our second amended and restated bylaws contain provisions that could delay or prevent a change of control of our company or changes in our board of directors that our stockholders might consider favorable. Some of these provisions include:</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a board of directors divided into three classes serving staggered three-year terms, such that not all members of the board will be elected at one time;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a prohibition on stockholder action through written consent, which requires that all stockholder actions be taken at a meeting of our stockholders;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a requirement that special meetings of stockholders be called only by the board of directors acting pursuant to a resolution approved by the affirmative vote of a majority of the directors then in office;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advance notice requirements for stockholder proposals and nominations for election to our board of directors;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a requirement of approval of not less than two-thirds of all outstanding shares of our voting stock to amend any bylaws by stockholder action or to amend specific provisions of our certificate of incorporation;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the authority of the board of directors to issue preferred stock on terms determined by the board of directors without stockholder approval and which preferred stock may include rights superior to the rights of the holders of common stock. </w:t>
      </w:r>
    </w:p>
    <w:p>
      <w:pPr>
        <w:pStyle w:val="TextBody"/>
        <w:spacing w:before="120" w:after="0"/>
        <w:jc w:val="both"/>
        <w:rPr>
          <w:rFonts w:ascii="Times New Roman" w:hAnsi="Times New Roman"/>
          <w:sz w:val="20"/>
        </w:rPr>
      </w:pPr>
      <w:r>
        <w:rPr>
          <w:rFonts w:ascii="Times New Roman;serif" w:hAnsi="Times New Roman;serif"/>
          <w:b w:val="false"/>
          <w:sz w:val="20"/>
        </w:rPr>
        <w:t>In addition, because we are incorporated in Delaware, we are governed by the provisions of Section 203 of the Delaware General Corporate Law, or DGCL,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74</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i/>
          <w:sz w:val="20"/>
        </w:rPr>
        <w:t>Our amended and restated bylaws designate specific courts as the exclusive forum for certain litigation that may be initiated by our stockholders, which could limit our stockholders’ ability to obtain a favorable judicial forum for disputes with us.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Pursuant to our amended and restated bylaws, unless we consent in writing to the selection of an alternative forum, the Court of Chancery of the State of Delaware is the sole and exclusive forum for any state law claims for (1) any derivative action or proceeding brought on our behalf; (2) any action asserting a claim of or based on a breach of a fiduciary duty owed by any director, officer or other employee of ours to us or our stockholders; (3) any action asserting a claim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r>
        <w:rPr>
          <w:rFonts w:ascii="Times New Roman" w:hAnsi="Times New Roman"/>
          <w:sz w:val="20"/>
        </w:rPr>
        <w:t xml:space="preserve"> </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as applicable.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and other state courts have upheld the validity of, that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spacing w:before="360" w:after="0"/>
        <w:jc w:val="both"/>
        <w:rPr>
          <w:rFonts w:ascii="Times New Roman;serif" w:hAnsi="Times New Roman;serif"/>
          <w:b/>
          <w:sz w:val="20"/>
        </w:rPr>
      </w:pPr>
      <w:bookmarkStart w:id="18" w:name="item_2_unregistered_sales_equity_securit"/>
      <w:bookmarkEnd w:id="18"/>
      <w:r>
        <w:rPr>
          <w:rFonts w:ascii="Times New Roman;serif" w:hAnsi="Times New Roman;serif"/>
          <w:b/>
          <w:sz w:val="20"/>
        </w:rPr>
        <w:t>Item 2. Unregistered Sales of Equity Securities and Use of Proceeds.</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During the quarter ended March 31, 2023, we did not have any sales of unregistered securities.</w:t>
      </w:r>
    </w:p>
    <w:p>
      <w:pPr>
        <w:pStyle w:val="TextBody"/>
        <w:spacing w:before="360" w:after="0"/>
        <w:jc w:val="both"/>
        <w:rPr>
          <w:rFonts w:ascii="Times New Roman;serif" w:hAnsi="Times New Roman;serif"/>
          <w:b/>
          <w:sz w:val="20"/>
        </w:rPr>
      </w:pPr>
      <w:bookmarkStart w:id="19" w:name="item_3_defaults_upon_senior_securities"/>
      <w:bookmarkEnd w:id="19"/>
      <w:r>
        <w:rPr>
          <w:rFonts w:ascii="Times New Roman;serif" w:hAnsi="Times New Roman;serif"/>
          <w:b/>
          <w:sz w:val="20"/>
        </w:rPr>
        <w:t>Item 3. Defaults Upon Senior Securities.</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both"/>
        <w:rPr>
          <w:rFonts w:ascii="Times New Roman;serif" w:hAnsi="Times New Roman;serif"/>
          <w:b/>
          <w:sz w:val="20"/>
        </w:rPr>
      </w:pPr>
      <w:bookmarkStart w:id="20" w:name="item_4_mine_safety_disclosures"/>
      <w:bookmarkEnd w:id="20"/>
      <w:r>
        <w:rPr>
          <w:rFonts w:ascii="Times New Roman;serif" w:hAnsi="Times New Roman;serif"/>
          <w:b/>
          <w:sz w:val="20"/>
        </w:rPr>
        <w:t>Item 4. Mine Safety Disclosures.</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both"/>
        <w:rPr>
          <w:rFonts w:ascii="Times New Roman" w:hAnsi="Times New Roman"/>
          <w:sz w:val="20"/>
        </w:rPr>
      </w:pPr>
      <w:bookmarkStart w:id="21" w:name="item_5_or_information"/>
      <w:bookmarkEnd w:id="21"/>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75</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bookmarkStart w:id="22" w:name="ii_item6"/>
      <w:bookmarkEnd w:id="22"/>
      <w:r>
        <w:rPr>
          <w:rFonts w:ascii="Times New Roman;serif" w:hAnsi="Times New Roman;serif"/>
          <w:b/>
          <w:sz w:val="20"/>
        </w:rPr>
        <w:t>Item 6. E</w:t>
      </w:r>
      <w:bookmarkStart w:id="23" w:name="item_6_exhibits"/>
      <w:bookmarkEnd w:id="23"/>
      <w:r>
        <w:rPr>
          <w:rFonts w:ascii="Times New Roman;serif" w:hAnsi="Times New Roman;serif"/>
          <w:b/>
          <w:sz w:val="20"/>
        </w:rPr>
        <w:t>xhibits.</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791"/>
        <w:gridCol w:w="146"/>
        <w:gridCol w:w="9268"/>
      </w:tblGrid>
      <w:tr>
        <w:trPr/>
        <w:tc>
          <w:tcPr>
            <w:tcW w:w="7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268" w:type="dxa"/>
            <w:tcBorders/>
            <w:shd w:fill="auto" w:val="clear"/>
            <w:vAlign w:val="center"/>
          </w:tcPr>
          <w:p>
            <w:pPr>
              <w:pStyle w:val="TableContents"/>
              <w:spacing w:before="0" w:after="283"/>
              <w:rPr>
                <w:sz w:val="4"/>
                <w:szCs w:val="4"/>
              </w:rPr>
            </w:pPr>
            <w:r>
              <w:rPr>
                <w:sz w:val="4"/>
                <w:szCs w:val="4"/>
              </w:rPr>
            </w:r>
          </w:p>
        </w:tc>
      </w:tr>
      <w:tr>
        <w:trPr/>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26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7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68" w:type="dxa"/>
            <w:tcBorders/>
            <w:shd w:fill="auto" w:val="clear"/>
            <w:vAlign w:val="center"/>
          </w:tcPr>
          <w:p>
            <w:pPr>
              <w:pStyle w:val="TableContents"/>
              <w:spacing w:before="0" w:after="0"/>
              <w:ind w:left="0" w:right="0" w:hanging="0"/>
              <w:jc w:val="left"/>
              <w:rPr/>
            </w:pPr>
            <w:r>
              <w:rPr/>
              <w:t> </w:t>
            </w:r>
          </w:p>
        </w:tc>
      </w:tr>
      <w:tr>
        <w:trPr/>
        <w:tc>
          <w:tcPr>
            <w:tcW w:w="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268" w:type="dxa"/>
            <w:tcBorders/>
            <w:shd w:fill="auto" w:val="clear"/>
            <w:vAlign w:val="center"/>
          </w:tcPr>
          <w:p>
            <w:pPr>
              <w:pStyle w:val="TableContents"/>
              <w:spacing w:before="0" w:after="0"/>
              <w:ind w:left="0" w:right="0" w:hanging="0"/>
              <w:jc w:val="left"/>
              <w:rPr/>
            </w:pPr>
            <w:hyperlink w:anchor="kymr-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7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68" w:type="dxa"/>
            <w:tcBorders/>
            <w:shd w:fill="auto" w:val="clear"/>
            <w:vAlign w:val="center"/>
          </w:tcPr>
          <w:p>
            <w:pPr>
              <w:pStyle w:val="TableContents"/>
              <w:spacing w:before="0" w:after="0"/>
              <w:ind w:left="0" w:right="0" w:hanging="0"/>
              <w:jc w:val="left"/>
              <w:rPr/>
            </w:pPr>
            <w:r>
              <w:rPr/>
              <w:t> </w:t>
            </w:r>
          </w:p>
        </w:tc>
      </w:tr>
      <w:tr>
        <w:trPr/>
        <w:tc>
          <w:tcPr>
            <w:tcW w:w="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268" w:type="dxa"/>
            <w:tcBorders/>
            <w:shd w:fill="auto" w:val="clear"/>
            <w:vAlign w:val="center"/>
          </w:tcPr>
          <w:p>
            <w:pPr>
              <w:pStyle w:val="TableContents"/>
              <w:spacing w:before="0" w:after="0"/>
              <w:ind w:left="0" w:right="0" w:hanging="0"/>
              <w:jc w:val="left"/>
              <w:rPr/>
            </w:pPr>
            <w:hyperlink w:anchor="kymr-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7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68" w:type="dxa"/>
            <w:tcBorders/>
            <w:shd w:fill="auto" w:val="clear"/>
            <w:vAlign w:val="center"/>
          </w:tcPr>
          <w:p>
            <w:pPr>
              <w:pStyle w:val="TableContents"/>
              <w:spacing w:before="0" w:after="0"/>
              <w:ind w:left="0" w:right="0" w:hanging="0"/>
              <w:jc w:val="left"/>
              <w:rPr/>
            </w:pPr>
            <w:r>
              <w:rPr/>
              <w:t> </w:t>
            </w:r>
          </w:p>
        </w:tc>
      </w:tr>
      <w:tr>
        <w:trPr/>
        <w:tc>
          <w:tcPr>
            <w:tcW w:w="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268" w:type="dxa"/>
            <w:tcBorders/>
            <w:shd w:fill="auto" w:val="clear"/>
            <w:vAlign w:val="center"/>
          </w:tcPr>
          <w:p>
            <w:pPr>
              <w:pStyle w:val="TableContents"/>
              <w:spacing w:before="0" w:after="0"/>
              <w:ind w:left="0" w:right="0" w:hanging="0"/>
              <w:jc w:val="left"/>
              <w:rPr/>
            </w:pPr>
            <w:hyperlink w:anchor="kymr-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r>
      <w:tr>
        <w:trPr/>
        <w:tc>
          <w:tcPr>
            <w:tcW w:w="7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68" w:type="dxa"/>
            <w:tcBorders/>
            <w:shd w:fill="auto" w:val="clear"/>
            <w:vAlign w:val="center"/>
          </w:tcPr>
          <w:p>
            <w:pPr>
              <w:pStyle w:val="TableContents"/>
              <w:spacing w:before="0" w:after="0"/>
              <w:ind w:left="0" w:right="0" w:hanging="0"/>
              <w:jc w:val="left"/>
              <w:rPr/>
            </w:pPr>
            <w:r>
              <w:rPr/>
              <w:t> </w:t>
            </w:r>
          </w:p>
        </w:tc>
      </w:tr>
      <w:tr>
        <w:trPr/>
        <w:tc>
          <w:tcPr>
            <w:tcW w:w="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268" w:type="dxa"/>
            <w:tcBorders/>
            <w:shd w:fill="auto" w:val="clear"/>
            <w:vAlign w:val="center"/>
          </w:tcPr>
          <w:p>
            <w:pPr>
              <w:pStyle w:val="TableContents"/>
              <w:spacing w:before="0" w:after="0"/>
              <w:ind w:left="0" w:right="0" w:hanging="0"/>
              <w:jc w:val="left"/>
              <w:rPr/>
            </w:pPr>
            <w:hyperlink w:anchor="kymr-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r>
      <w:tr>
        <w:trPr/>
        <w:tc>
          <w:tcPr>
            <w:tcW w:w="7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68" w:type="dxa"/>
            <w:tcBorders/>
            <w:shd w:fill="auto" w:val="clear"/>
            <w:vAlign w:val="center"/>
          </w:tcPr>
          <w:p>
            <w:pPr>
              <w:pStyle w:val="TableContents"/>
              <w:spacing w:before="0" w:after="0"/>
              <w:ind w:left="0" w:right="0" w:hanging="0"/>
              <w:jc w:val="left"/>
              <w:rPr/>
            </w:pPr>
            <w:r>
              <w:rPr/>
              <w:t> </w:t>
            </w:r>
          </w:p>
        </w:tc>
      </w:tr>
      <w:tr>
        <w:trPr/>
        <w:tc>
          <w:tcPr>
            <w:tcW w:w="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w:t>
            </w:r>
          </w:p>
        </w:tc>
      </w:tr>
      <w:tr>
        <w:trPr/>
        <w:tc>
          <w:tcPr>
            <w:tcW w:w="7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68" w:type="dxa"/>
            <w:tcBorders/>
            <w:shd w:fill="auto" w:val="clear"/>
            <w:vAlign w:val="center"/>
          </w:tcPr>
          <w:p>
            <w:pPr>
              <w:pStyle w:val="TableContents"/>
              <w:spacing w:before="0" w:after="0"/>
              <w:ind w:left="0" w:right="0" w:hanging="0"/>
              <w:jc w:val="left"/>
              <w:rPr/>
            </w:pPr>
            <w:r>
              <w:rPr/>
              <w:t> </w:t>
            </w:r>
          </w:p>
        </w:tc>
      </w:tr>
      <w:tr>
        <w:trPr/>
        <w:tc>
          <w:tcPr>
            <w:tcW w:w="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vAlign w:val="center"/>
          </w:tcPr>
          <w:p>
            <w:pPr>
              <w:pStyle w:val="TableContents"/>
              <w:spacing w:before="0" w:after="0"/>
              <w:ind w:left="0" w:right="0" w:hanging="0"/>
              <w:jc w:val="left"/>
              <w:rPr/>
            </w:pPr>
            <w:r>
              <w:rPr/>
              <w:t> </w:t>
            </w:r>
          </w:p>
        </w:tc>
        <w:tc>
          <w:tcPr>
            <w:tcW w:w="9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7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68" w:type="dxa"/>
            <w:tcBorders/>
            <w:shd w:fill="auto" w:val="clear"/>
            <w:vAlign w:val="center"/>
          </w:tcPr>
          <w:p>
            <w:pPr>
              <w:pStyle w:val="TableContents"/>
              <w:spacing w:before="0" w:after="0"/>
              <w:ind w:left="0" w:right="0" w:hanging="0"/>
              <w:jc w:val="left"/>
              <w:rPr/>
            </w:pPr>
            <w:r>
              <w:rPr/>
              <w:t> </w:t>
            </w:r>
          </w:p>
        </w:tc>
      </w:tr>
      <w:tr>
        <w:trPr/>
        <w:tc>
          <w:tcPr>
            <w:tcW w:w="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vAlign w:val="center"/>
          </w:tcPr>
          <w:p>
            <w:pPr>
              <w:pStyle w:val="TableContents"/>
              <w:spacing w:before="0" w:after="0"/>
              <w:ind w:left="0" w:right="0" w:hanging="0"/>
              <w:jc w:val="left"/>
              <w:rPr/>
            </w:pPr>
            <w:r>
              <w:rPr/>
              <w:t> </w:t>
            </w:r>
          </w:p>
        </w:tc>
        <w:tc>
          <w:tcPr>
            <w:tcW w:w="9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7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68" w:type="dxa"/>
            <w:tcBorders/>
            <w:shd w:fill="auto" w:val="clear"/>
            <w:vAlign w:val="center"/>
          </w:tcPr>
          <w:p>
            <w:pPr>
              <w:pStyle w:val="TableContents"/>
              <w:spacing w:before="0" w:after="0"/>
              <w:ind w:left="0" w:right="0" w:hanging="0"/>
              <w:jc w:val="left"/>
              <w:rPr/>
            </w:pPr>
            <w:r>
              <w:rPr/>
              <w:t> </w:t>
            </w:r>
          </w:p>
        </w:tc>
      </w:tr>
      <w:tr>
        <w:trPr/>
        <w:tc>
          <w:tcPr>
            <w:tcW w:w="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vAlign w:val="center"/>
          </w:tcPr>
          <w:p>
            <w:pPr>
              <w:pStyle w:val="TableContents"/>
              <w:spacing w:before="0" w:after="0"/>
              <w:ind w:left="0" w:right="0" w:hanging="0"/>
              <w:jc w:val="left"/>
              <w:rPr/>
            </w:pPr>
            <w:r>
              <w:rPr/>
              <w:t> </w:t>
            </w:r>
          </w:p>
        </w:tc>
        <w:tc>
          <w:tcPr>
            <w:tcW w:w="9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7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68" w:type="dxa"/>
            <w:tcBorders/>
            <w:shd w:fill="auto" w:val="clear"/>
            <w:vAlign w:val="center"/>
          </w:tcPr>
          <w:p>
            <w:pPr>
              <w:pStyle w:val="TableContents"/>
              <w:spacing w:before="0" w:after="0"/>
              <w:ind w:left="0" w:right="0" w:hanging="0"/>
              <w:jc w:val="left"/>
              <w:rPr/>
            </w:pPr>
            <w:r>
              <w:rPr/>
              <w:t> </w:t>
            </w:r>
          </w:p>
        </w:tc>
      </w:tr>
      <w:tr>
        <w:trPr/>
        <w:tc>
          <w:tcPr>
            <w:tcW w:w="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vAlign w:val="center"/>
          </w:tcPr>
          <w:p>
            <w:pPr>
              <w:pStyle w:val="TableContents"/>
              <w:spacing w:before="0" w:after="0"/>
              <w:ind w:left="0" w:right="0" w:hanging="0"/>
              <w:jc w:val="left"/>
              <w:rPr/>
            </w:pPr>
            <w:r>
              <w:rPr/>
              <w:t> </w:t>
            </w:r>
          </w:p>
        </w:tc>
        <w:tc>
          <w:tcPr>
            <w:tcW w:w="9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7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68" w:type="dxa"/>
            <w:tcBorders/>
            <w:shd w:fill="auto" w:val="clear"/>
            <w:vAlign w:val="center"/>
          </w:tcPr>
          <w:p>
            <w:pPr>
              <w:pStyle w:val="TableContents"/>
              <w:spacing w:before="0" w:after="0"/>
              <w:ind w:left="0" w:right="0" w:hanging="0"/>
              <w:jc w:val="left"/>
              <w:rPr/>
            </w:pPr>
            <w:r>
              <w:rPr/>
              <w:t> </w:t>
            </w:r>
          </w:p>
        </w:tc>
      </w:tr>
      <w:tr>
        <w:trPr/>
        <w:tc>
          <w:tcPr>
            <w:tcW w:w="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vAlign w:val="center"/>
          </w:tcPr>
          <w:p>
            <w:pPr>
              <w:pStyle w:val="TableContents"/>
              <w:spacing w:before="0" w:after="0"/>
              <w:ind w:left="0" w:right="0" w:hanging="0"/>
              <w:jc w:val="left"/>
              <w:rPr/>
            </w:pPr>
            <w:r>
              <w:rPr/>
              <w:t> </w:t>
            </w:r>
          </w:p>
        </w:tc>
        <w:tc>
          <w:tcPr>
            <w:tcW w:w="9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7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68" w:type="dxa"/>
            <w:tcBorders/>
            <w:shd w:fill="auto" w:val="clear"/>
            <w:vAlign w:val="center"/>
          </w:tcPr>
          <w:p>
            <w:pPr>
              <w:pStyle w:val="TableContents"/>
              <w:spacing w:before="0" w:after="0"/>
              <w:ind w:left="0" w:right="0" w:hanging="0"/>
              <w:jc w:val="left"/>
              <w:rPr/>
            </w:pPr>
            <w:r>
              <w:rPr/>
              <w:t> </w:t>
            </w:r>
          </w:p>
        </w:tc>
      </w:tr>
      <w:tr>
        <w:trPr/>
        <w:tc>
          <w:tcPr>
            <w:tcW w:w="7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0"/>
              <w:ind w:left="0" w:right="0" w:hanging="0"/>
              <w:jc w:val="left"/>
              <w:rPr/>
            </w:pPr>
            <w:r>
              <w:rPr/>
              <w:t> </w:t>
            </w:r>
          </w:p>
        </w:tc>
        <w:tc>
          <w:tcPr>
            <w:tcW w:w="9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w:t>
            </w:r>
          </w:p>
        </w:tc>
      </w:tr>
    </w:tbl>
    <w:p>
      <w:pPr>
        <w:pStyle w:val="TextBody"/>
        <w:pBdr>
          <w:bottom w:val="single" w:sz="4" w:space="1" w:color="000000"/>
        </w:pBdr>
        <w:spacing w:before="0" w:after="0"/>
        <w:jc w:val="both"/>
        <w:rPr/>
      </w:pPr>
      <w:r>
        <w:rPr/>
        <w:t> </w:t>
      </w:r>
    </w:p>
    <w:p>
      <w:pPr>
        <w:pStyle w:val="TextBody"/>
        <w:spacing w:before="40" w:after="0"/>
        <w:jc w:val="both"/>
        <w:rPr>
          <w:rFonts w:ascii="Times New Roman;serif" w:hAnsi="Times New Roman;serif"/>
          <w:b w:val="false"/>
          <w:sz w:val="20"/>
        </w:rPr>
      </w:pPr>
      <w:r>
        <w:rPr>
          <w:rFonts w:ascii="Times New Roman;serif" w:hAnsi="Times New Roman;serif"/>
          <w:b w:val="false"/>
          <w:sz w:val="20"/>
        </w:rPr>
        <w:t>* This certification will not be deemed “filed” for purposes of Section 18 of the Securities Exchange Act of 1934, as amended, or otherwise subject to the liability of that section. Such certification will not be deemed to be incorporated by reference into any filing under the Securities Act of 1933, as amended, except to the extent specifically incorporated by reference into such filing.</w:t>
      </w:r>
    </w:p>
    <w:p>
      <w:pPr>
        <w:pStyle w:val="TextBody"/>
        <w:spacing w:before="40" w:after="0"/>
        <w:jc w:val="both"/>
        <w:rPr>
          <w:rFonts w:ascii="Times New Roman;serif" w:hAnsi="Times New Roman;serif"/>
          <w:b w:val="false"/>
          <w:sz w:val="20"/>
        </w:rPr>
      </w:pPr>
      <w:r>
        <w:rPr>
          <w:rFonts w:ascii="Times New Roman;serif" w:hAnsi="Times New Roman;serif"/>
          <w:b w:val="false"/>
          <w:sz w:val="20"/>
        </w:rPr>
        <w:t>**Schedules and exhibits have been omitted pursuant to Item 601(a)(5) of Regulation S-K. A copy of any omitted schedule and/or exhibit will be furnished to the SEC upon request.</w:t>
      </w:r>
    </w:p>
    <w:p>
      <w:pPr>
        <w:pStyle w:val="TextBody"/>
        <w:spacing w:before="40" w:after="0"/>
        <w:jc w:val="both"/>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76</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4" w:name="signatures"/>
      <w:bookmarkEnd w:id="24"/>
      <w:r>
        <w:rPr>
          <w:rFonts w:ascii="Times New Roman;serif" w:hAnsi="Times New Roman;serif"/>
          <w:b/>
          <w:sz w:val="20"/>
        </w:rPr>
        <w:t>SIGNATURES</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both"/>
        <w:rPr/>
      </w:pPr>
      <w:r>
        <w:rPr/>
        <w:t> </w:t>
      </w:r>
    </w:p>
    <w:tbl>
      <w:tblPr>
        <w:tblW w:w="5482" w:type="dxa"/>
        <w:jc w:val="left"/>
        <w:tblInd w:w="0" w:type="dxa"/>
        <w:tblCellMar>
          <w:top w:w="28" w:type="dxa"/>
          <w:left w:w="28" w:type="dxa"/>
          <w:bottom w:w="28" w:type="dxa"/>
          <w:right w:w="28" w:type="dxa"/>
        </w:tblCellMar>
      </w:tblPr>
      <w:tblGrid>
        <w:gridCol w:w="1636"/>
        <w:gridCol w:w="109"/>
        <w:gridCol w:w="406"/>
        <w:gridCol w:w="3331"/>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33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73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Kymera Therapeutics, Inc.</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4,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3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Nello Mainolfi, Ph.D.</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Nello Mainolfi, Ph.D</w:t>
            </w:r>
            <w:r>
              <w:rPr>
                <w:rFonts w:ascii="Times New Roman;serif" w:hAnsi="Times New Roman;serif"/>
                <w:b w:val="false"/>
                <w:sz w:val="20"/>
              </w:rPr>
              <w:t>.</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President and Chief Executive Officer</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4,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3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Bruce Jacobs, CFA, MBA</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Bruce Jacobs, CFA, MBA</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77</w:t>
      </w:r>
    </w:p>
    <w:p>
      <w:pPr>
        <w:pStyle w:val="HorizontalLine"/>
        <w:rPr/>
      </w:pPr>
      <w:r>
        <w:rPr/>
      </w:r>
      <w:r>
        <w:br w:type="page"/>
      </w:r>
    </w:p>
    <w:p>
      <w:pPr>
        <w:pStyle w:val="TextBody"/>
        <w:spacing w:before="0" w:after="0"/>
        <w:jc w:val="left"/>
        <w:rPr/>
      </w:pPr>
      <w:bookmarkStart w:id="25" w:name="kymr-ex31_1.htm"/>
      <w:bookmarkStart w:id="26" w:name="kskymrex31_1"/>
      <w:bookmarkEnd w:id="25"/>
      <w:bookmarkEnd w:id="26"/>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31.1</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Nello Mainolfi, Ph.D., certify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for the period ended March 31, 2023 of Kymera Therapeutics, Inc.;</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rFonts w:ascii="Times New Roman" w:hAnsi="Times New Roman"/>
          <w:b w:val="false"/>
          <w:sz w:val="20"/>
        </w:rPr>
      </w:pPr>
      <w:r>
        <w:rPr>
          <w:rFonts w:ascii="Times New Roman" w:hAnsi="Times New Roman"/>
          <w:b w:val="false"/>
          <w:sz w:val="20"/>
        </w:rPr>
        <w:t>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left"/>
        <w:rPr>
          <w:rFonts w:ascii="Times New Roman" w:hAnsi="Times New Roman"/>
          <w:b w:val="false"/>
          <w:sz w:val="20"/>
        </w:rPr>
      </w:pPr>
      <w:r>
        <w:rPr>
          <w:rFonts w:ascii="Times New Roman" w:hAnsi="Times New Roman"/>
          <w:b w:val="false"/>
          <w:sz w:val="20"/>
        </w:rPr>
        <w:t>4.</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240" w:after="0"/>
        <w:jc w:val="left"/>
        <w:rPr>
          <w:rFonts w:ascii="Times New Roman" w:hAnsi="Times New Roman"/>
          <w:b w:val="false"/>
          <w:sz w:val="20"/>
        </w:rPr>
      </w:pPr>
      <w:r>
        <w:rPr>
          <w:rFonts w:ascii="Times New Roman" w:hAnsi="Times New Roman"/>
          <w:b w:val="false"/>
          <w:sz w:val="20"/>
        </w:rPr>
        <w:t>(c)</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240" w:after="0"/>
        <w:jc w:val="left"/>
        <w:rPr>
          <w:rFonts w:ascii="Times New Roman" w:hAnsi="Times New Roman"/>
          <w:b w:val="false"/>
          <w:sz w:val="20"/>
        </w:rPr>
      </w:pPr>
      <w:r>
        <w:rPr>
          <w:rFonts w:ascii="Times New Roman" w:hAnsi="Times New Roman"/>
          <w:b w:val="false"/>
          <w:sz w:val="20"/>
        </w:rPr>
        <w:t>(d)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left"/>
        <w:rPr>
          <w:rFonts w:ascii="Times New Roman" w:hAnsi="Times New Roman"/>
          <w:b w:val="false"/>
          <w:sz w:val="20"/>
        </w:rPr>
      </w:pPr>
      <w:r>
        <w:rPr>
          <w:rFonts w:ascii="Times New Roman" w:hAnsi="Times New Roman"/>
          <w:b w:val="false"/>
          <w:sz w:val="20"/>
        </w:rPr>
        <w:t>5.</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5482" w:type="dxa"/>
        <w:jc w:val="left"/>
        <w:tblInd w:w="0" w:type="dxa"/>
        <w:tblCellMar>
          <w:top w:w="28" w:type="dxa"/>
          <w:left w:w="28" w:type="dxa"/>
          <w:bottom w:w="28" w:type="dxa"/>
          <w:right w:w="28" w:type="dxa"/>
        </w:tblCellMar>
      </w:tblPr>
      <w:tblGrid>
        <w:gridCol w:w="1636"/>
        <w:gridCol w:w="109"/>
        <w:gridCol w:w="406"/>
        <w:gridCol w:w="3331"/>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33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4,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3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Nello Mainolfi, Ph.D.</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Nello Mainolfi, Ph.D</w:t>
            </w:r>
            <w:r>
              <w:rPr>
                <w:rFonts w:ascii="Times New Roman;serif" w:hAnsi="Times New Roman;serif"/>
                <w:b w:val="false"/>
                <w:sz w:val="20"/>
              </w:rPr>
              <w:t>.</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President and Chief Executive Officer</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bl>
    <w:p>
      <w:pPr>
        <w:pStyle w:val="TextBody"/>
        <w:spacing w:before="24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7" w:name="kymr-ex31_2.htm"/>
      <w:bookmarkStart w:id="28" w:name="kskymrex31_2"/>
      <w:bookmarkEnd w:id="27"/>
      <w:bookmarkEnd w:id="28"/>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31.2</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Bruce Jacobs, CFA, MBA, certify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for the period ended March 31, 2023 of Kymera Therapeutics, Inc.;</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rFonts w:ascii="Times New Roman" w:hAnsi="Times New Roman"/>
          <w:b w:val="false"/>
          <w:sz w:val="20"/>
        </w:rPr>
      </w:pPr>
      <w:r>
        <w:rPr>
          <w:rFonts w:ascii="Times New Roman" w:hAnsi="Times New Roman"/>
          <w:b w:val="false"/>
          <w:sz w:val="20"/>
        </w:rPr>
        <w:t>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left"/>
        <w:rPr>
          <w:rFonts w:ascii="Times New Roman" w:hAnsi="Times New Roman"/>
          <w:b w:val="false"/>
          <w:sz w:val="20"/>
        </w:rPr>
      </w:pPr>
      <w:r>
        <w:rPr>
          <w:rFonts w:ascii="Times New Roman" w:hAnsi="Times New Roman"/>
          <w:b w:val="false"/>
          <w:sz w:val="20"/>
        </w:rPr>
        <w:t>4.</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240" w:after="0"/>
        <w:jc w:val="left"/>
        <w:rPr>
          <w:rFonts w:ascii="Times New Roman" w:hAnsi="Times New Roman"/>
          <w:b w:val="false"/>
          <w:sz w:val="20"/>
        </w:rPr>
      </w:pPr>
      <w:r>
        <w:rPr>
          <w:rFonts w:ascii="Times New Roman" w:hAnsi="Times New Roman"/>
          <w:b w:val="false"/>
          <w:sz w:val="20"/>
        </w:rPr>
        <w:t>(c)</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240" w:after="0"/>
        <w:jc w:val="left"/>
        <w:rPr>
          <w:rFonts w:ascii="Times New Roman" w:hAnsi="Times New Roman"/>
          <w:b w:val="false"/>
          <w:sz w:val="20"/>
        </w:rPr>
      </w:pPr>
      <w:r>
        <w:rPr>
          <w:rFonts w:ascii="Times New Roman" w:hAnsi="Times New Roman"/>
          <w:b w:val="false"/>
          <w:sz w:val="20"/>
        </w:rPr>
        <w:t>(d)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left"/>
        <w:rPr>
          <w:rFonts w:ascii="Times New Roman" w:hAnsi="Times New Roman"/>
          <w:b w:val="false"/>
          <w:sz w:val="20"/>
        </w:rPr>
      </w:pPr>
      <w:r>
        <w:rPr>
          <w:rFonts w:ascii="Times New Roman" w:hAnsi="Times New Roman"/>
          <w:b w:val="false"/>
          <w:sz w:val="20"/>
        </w:rPr>
        <w:t>5.</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4717" w:type="dxa"/>
        <w:jc w:val="left"/>
        <w:tblInd w:w="0" w:type="dxa"/>
        <w:tblCellMar>
          <w:top w:w="28" w:type="dxa"/>
          <w:left w:w="28" w:type="dxa"/>
          <w:bottom w:w="28" w:type="dxa"/>
          <w:right w:w="28" w:type="dxa"/>
        </w:tblCellMar>
      </w:tblPr>
      <w:tblGrid>
        <w:gridCol w:w="1636"/>
        <w:gridCol w:w="109"/>
        <w:gridCol w:w="406"/>
        <w:gridCol w:w="2566"/>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66"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4,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6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Bruce Jacobs, CFO, MBA</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Bruce Jacobs, CFO, MBA</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(Principal Financial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9" w:name="kymr-ex32_1.htm"/>
      <w:bookmarkStart w:id="30" w:name="kskymrex32_1"/>
      <w:bookmarkEnd w:id="29"/>
      <w:bookmarkEnd w:id="30"/>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32.1</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Kymera Therapeutics, Inc. (the “Company”) on Form 10-Q for the period ending March 31, 2023 as filed with the Securities and Exchange Commission on the date hereof (the “Report”), I certify, pursuant to 18 U.S.C. § 1350, as adopted pursuant to § 906 of the Sarbanes-Oxley Act of 2002,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spacing w:before="0" w:after="0"/>
        <w:jc w:val="left"/>
        <w:rPr/>
      </w:pPr>
      <w:r>
        <w:rPr/>
        <w:t> </w:t>
      </w:r>
    </w:p>
    <w:tbl>
      <w:tblPr>
        <w:tblW w:w="5482" w:type="dxa"/>
        <w:jc w:val="left"/>
        <w:tblInd w:w="0" w:type="dxa"/>
        <w:tblCellMar>
          <w:top w:w="28" w:type="dxa"/>
          <w:left w:w="28" w:type="dxa"/>
          <w:bottom w:w="28" w:type="dxa"/>
          <w:right w:w="28" w:type="dxa"/>
        </w:tblCellMar>
      </w:tblPr>
      <w:tblGrid>
        <w:gridCol w:w="1636"/>
        <w:gridCol w:w="109"/>
        <w:gridCol w:w="406"/>
        <w:gridCol w:w="3331"/>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33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4,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3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Nello Mainolfi, Ph.D.</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Nello Mainolfi, Ph.D</w:t>
            </w:r>
            <w:r>
              <w:rPr>
                <w:rFonts w:ascii="Times New Roman;serif" w:hAnsi="Times New Roman;serif"/>
                <w:b w:val="false"/>
                <w:sz w:val="20"/>
              </w:rPr>
              <w:t>.</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President and Chief Executive Officer</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31" w:name="kymr-ex32_2.htm"/>
      <w:bookmarkStart w:id="32" w:name="kskymrex32_2"/>
      <w:bookmarkEnd w:id="31"/>
      <w:bookmarkEnd w:id="32"/>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32.2</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Kymera Therapeutics, Inc. (the “Company”) on Form 10-Q for the period ending March 31, 2023 as filed with the Securities and Exchange Commission on the date hereof (the “Report”), I certify, pursuant to 18 U.S.C. § 1350, as adopted pursuant to § 906 of the Sarbanes-Oxley Act of 2002,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spacing w:before="0" w:after="0"/>
        <w:jc w:val="left"/>
        <w:rPr/>
      </w:pPr>
      <w:r>
        <w:rPr/>
        <w:t> </w:t>
      </w:r>
    </w:p>
    <w:tbl>
      <w:tblPr>
        <w:tblW w:w="4717" w:type="dxa"/>
        <w:jc w:val="left"/>
        <w:tblInd w:w="0" w:type="dxa"/>
        <w:tblCellMar>
          <w:top w:w="28" w:type="dxa"/>
          <w:left w:w="28" w:type="dxa"/>
          <w:bottom w:w="28" w:type="dxa"/>
          <w:right w:w="28" w:type="dxa"/>
        </w:tblCellMar>
      </w:tblPr>
      <w:tblGrid>
        <w:gridCol w:w="1636"/>
        <w:gridCol w:w="109"/>
        <w:gridCol w:w="406"/>
        <w:gridCol w:w="2566"/>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66"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4,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6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Bruce Jacobs, CFA, MBA</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Bruce Jacobs, CFA, MBA</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(Principal Financial Officer)</w:t>
            </w:r>
          </w:p>
        </w:tc>
      </w:tr>
    </w:tbl>
    <w:p>
      <w:pPr>
        <w:pStyle w:val="TextBody"/>
        <w:spacing w:before="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60380</Words>
  <CharactersWithSpaces>397744</CharactersWithSpaces>
  <Paragraphs>4912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