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8" w:lineRule="exact"/>
        <w:rPr>
          <w:sz w:val="24"/>
          <w:szCs w:val="24"/>
          <w:color w:val="auto"/>
        </w:rPr>
      </w:pPr>
    </w:p>
    <w:p>
      <w:pPr>
        <w:ind w:left="3860" w:right="1600" w:hanging="3852"/>
        <w:spacing w:after="0" w:line="344" w:lineRule="auto"/>
        <w:tabs>
          <w:tab w:leader="none" w:pos="46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2600" w:right="1600" w:hanging="2592"/>
        <w:spacing w:after="0" w:line="226" w:lineRule="auto"/>
        <w:tabs>
          <w:tab w:leader="none" w:pos="459"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___________________ to ___________________</w:t>
      </w:r>
    </w:p>
    <w:p>
      <w:pPr>
        <w:spacing w:after="0" w:line="46"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Commission File Number: 001-39460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KYMERA THERAPEUTICS, INC.</w:t>
      </w:r>
    </w:p>
    <w:p>
      <w:pPr>
        <w:sectPr>
          <w:pgSz w:w="11900" w:h="16838" w:orient="portrait"/>
          <w:cols w:equalWidth="0" w:num="1">
            <w:col w:w="11240"/>
          </w:cols>
          <w:pgMar w:left="320" w:top="1334"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2"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81-2992166</w:t>
      </w:r>
    </w:p>
    <w:p>
      <w:pPr>
        <w:spacing w:after="0" w:line="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53" w:lineRule="exact"/>
        <w:rPr>
          <w:sz w:val="24"/>
          <w:szCs w:val="24"/>
          <w:color w:val="auto"/>
        </w:rPr>
      </w:pPr>
    </w:p>
    <w:p>
      <w:pPr>
        <w:sectPr>
          <w:pgSz w:w="11900" w:h="16838" w:orient="portrait"/>
          <w:cols w:equalWidth="0" w:num="2">
            <w:col w:w="7700" w:space="160"/>
            <w:col w:w="3380"/>
          </w:cols>
          <w:pgMar w:left="320" w:top="1334" w:right="339"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8"/>
          <w:szCs w:val="18"/>
          <w:b w:val="1"/>
          <w:bCs w:val="1"/>
          <w:color w:val="auto"/>
        </w:rPr>
        <w:t>500 North Beacon Street, 4th Floor</w:t>
      </w:r>
    </w:p>
    <w:p>
      <w:pPr>
        <w:spacing w:after="0" w:line="31" w:lineRule="exact"/>
        <w:rPr>
          <w:sz w:val="24"/>
          <w:szCs w:val="24"/>
          <w:color w:val="auto"/>
        </w:rPr>
      </w:pPr>
    </w:p>
    <w:p>
      <w:pPr>
        <w:ind w:left="176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Watertown, Massachusetts</w:t>
      </w:r>
      <w:r>
        <w:rPr>
          <w:sz w:val="20"/>
          <w:szCs w:val="20"/>
          <w:color w:val="auto"/>
        </w:rPr>
        <w:tab/>
      </w:r>
      <w:r>
        <w:rPr>
          <w:rFonts w:ascii="Times New Roman" w:cs="Times New Roman" w:eastAsia="Times New Roman" w:hAnsi="Times New Roman"/>
          <w:sz w:val="18"/>
          <w:szCs w:val="18"/>
          <w:b w:val="1"/>
          <w:bCs w:val="1"/>
          <w:color w:val="auto"/>
        </w:rPr>
        <w:t>02472</w:t>
      </w:r>
    </w:p>
    <w:p>
      <w:pPr>
        <w:spacing w:after="0" w:line="2" w:lineRule="exact"/>
        <w:rPr>
          <w:sz w:val="24"/>
          <w:szCs w:val="24"/>
          <w:color w:val="auto"/>
        </w:r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53"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285-5300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KYMR</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49"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8, 2025, the registrant had 71,497,597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ind w:left="1303"/>
        <w:spacing w:after="0"/>
        <w:rPr>
          <w:sz w:val="20"/>
          <w:szCs w:val="20"/>
          <w:color w:val="auto"/>
        </w:rPr>
      </w:pPr>
      <w:r>
        <w:rPr>
          <w:rFonts w:ascii="Times New Roman" w:cs="Times New Roman" w:eastAsia="Times New Roman" w:hAnsi="Times New Roman"/>
          <w:sz w:val="18"/>
          <w:szCs w:val="18"/>
          <w:b w:val="1"/>
          <w:bCs w:val="1"/>
          <w:color w:val="auto"/>
        </w:rPr>
        <w:t>SUMMARY OF THE MATERIAL AND OTHER RISKS ASSOCIATED WITH OUR BUSINESS</w:t>
      </w:r>
    </w:p>
    <w:p>
      <w:pPr>
        <w:spacing w:after="0" w:line="337" w:lineRule="exact"/>
        <w:rPr>
          <w:sz w:val="20"/>
          <w:szCs w:val="20"/>
          <w:color w:val="auto"/>
        </w:rPr>
      </w:pPr>
    </w:p>
    <w:p>
      <w:pPr>
        <w:ind w:left="503" w:right="20"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 stage company and that may make it difficult for our stockholders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anticipate that we will incur continued losses for the foreseeable future.</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early in our development efforts and our STAT6 program is in early clinical development with additional programs in preclinical development. If we are unable to advance them through the clinic for safety or efficacy reasons or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is novel and unproven, which makes it difficult to predict the time, cost of development and likelihood of successfully developing any products.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or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epidemic, or outbreak of an infectious disease may materially and adversely affect our business and our financial results and could cause a disruption to the development of our product candidates.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ongoing and planned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global economic and geopolitical conditions may have serious adverse consequences on our business, financial condition, stock price and results of operations.</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or Quarterly Report, contains forward-looking statements which are made pursuant to the safe harbor provisions of Section 27A of the Securities Act of 1933, as amended, and Section 21E of the Securities Exchange Act of 1934, as amended.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express or implied statements about:</w:t>
      </w:r>
    </w:p>
    <w:p>
      <w:pPr>
        <w:spacing w:after="0" w:line="187" w:lineRule="exact"/>
        <w:rPr>
          <w:sz w:val="20"/>
          <w:szCs w:val="20"/>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and clinical studies, including statements regarding the timing of initiation and completion of studies or trials and related preparatory work,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enable a rational and effective drug discovery and development engine;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the success of preclinical development efforts for our IRF5 and IRAK4 programs and clinical studies for our STAT6 program;</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submit investigational new drug applications to the U.S. Food and Drug Administration, or FDA for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 initiation of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research priorities and apply a risk-mitigated strategy to efficiently discover and develop product candidates, including by applying learnings from one program to other programs and from one modality to our other modalities;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manufacture our drug substances, delivery vehicles, and product candidates for preclinical use, for clinical trials and on a larger scale for commercial use, if approved;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continue research and development activities relating to our development candidates and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pandemics, geopolitical conflicts or new or increased international tariffs, including mitigation efforts and economic effects, on any of the foregoing or other aspects of our business operations, including but not limited to our preclinical studies and future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cross-study assessments comparing non-head-to-head clinical data of KT-621 to published data for dupilumab;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Quarterly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All of our forward-looking statements are as of the date of this Quarterly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even if such results, changes or circumstances make it clear that any forward-looking information will not be realized. Any public statements or disclosures by us following this Quarterly Report that modify or impact any of the forward-looking statements contained in this Quarterly Report will be deemed to modify or supersede such statements in this Quarterly Report.</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Quarterly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6"/>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5"/>
        </w:trPr>
        <w:tc>
          <w:tcPr>
            <w:tcW w:w="8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335,816</w:t>
            </w:r>
          </w:p>
        </w:tc>
        <w:tc>
          <w:tcPr>
            <w:tcW w:w="1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Marketable securities (Note 4)</w:t>
            </w:r>
          </w:p>
        </w:tc>
        <w:tc>
          <w:tcPr>
            <w:tcW w:w="2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329,629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368,488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Contract assets</w:t>
            </w:r>
          </w:p>
        </w:tc>
        <w:tc>
          <w:tcPr>
            <w:tcW w:w="24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tcBorders>
              <w:bottom w:val="single" w:sz="8" w:color="CFF0FC"/>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22,882</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20,577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728,327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510,268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Marketable securities, non-current (Note 4)</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297,629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362,159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 (Note 6)</w:t>
            </w:r>
          </w:p>
        </w:tc>
        <w:tc>
          <w:tcPr>
            <w:tcW w:w="2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48,572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50,457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Right-of-use assets, operating leases</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46,045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47,407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2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5,820</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5,794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1,131,068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978,035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3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5,781</w:t>
            </w:r>
          </w:p>
        </w:tc>
        <w:tc>
          <w:tcPr>
            <w:tcW w:w="1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Accrued expenses (Note 8)</w:t>
            </w:r>
          </w:p>
        </w:tc>
        <w:tc>
          <w:tcPr>
            <w:tcW w:w="2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27,976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11,766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Finance lease liabilities</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87,540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67,767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Non-current liabilities</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69,835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72,423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tcBorders>
              <w:bottom w:val="single" w:sz="8" w:color="CFF0FC"/>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2,213</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2,226</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Borders>
              <w:bottom w:val="single" w:sz="8" w:color="CFF0FC"/>
            </w:tcBorders>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159,588</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142,416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30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4"/>
                <w:szCs w:val="14"/>
                <w:color w:val="auto"/>
              </w:rPr>
              <w:t>Preferred stock, $0.0001 par value; 10,000,000 shares authorized and no shares issued and outstanding as of June 30, 2025 and December</w:t>
            </w:r>
          </w:p>
        </w:tc>
        <w:tc>
          <w:tcPr>
            <w:tcW w:w="240" w:type="dxa"/>
            <w:vAlign w:val="bottom"/>
            <w:shd w:val="clear" w:color="auto" w:fill="CFF0FC"/>
          </w:tcPr>
          <w:p>
            <w:pPr>
              <w:spacing w:after="0"/>
              <w:rPr>
                <w:sz w:val="10"/>
                <w:szCs w:val="10"/>
                <w:color w:val="auto"/>
              </w:rPr>
            </w:pPr>
          </w:p>
        </w:tc>
        <w:tc>
          <w:tcPr>
            <w:tcW w:w="12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31, 2024</w:t>
            </w:r>
          </w:p>
        </w:tc>
        <w:tc>
          <w:tcPr>
            <w:tcW w:w="240" w:type="dxa"/>
            <w:vAlign w:val="bottom"/>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30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Common stock, $0.0001 par value; 150,000,000 shares authorized at June 30, 2025 and December 31, 2024, 70,557,442 and</w:t>
            </w:r>
          </w:p>
        </w:tc>
        <w:tc>
          <w:tcPr>
            <w:tcW w:w="2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64,890,193 shares issued and outstanding at June 30, 2025 and December 31, 2024, respectively</w:t>
            </w:r>
          </w:p>
        </w:tc>
        <w:tc>
          <w:tcPr>
            <w:tcW w:w="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1,867,999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1,591,707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(896,805)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(754,610)</w:t>
            </w: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(1,485)</w:t>
            </w:r>
          </w:p>
        </w:tc>
        <w:tc>
          <w:tcPr>
            <w:tcW w:w="0" w:type="dxa"/>
            <w:vAlign w:val="bottom"/>
          </w:tcPr>
          <w:p>
            <w:pPr>
              <w:spacing w:after="0"/>
              <w:rPr>
                <w:sz w:val="1"/>
                <w:szCs w:val="1"/>
                <w:color w:val="auto"/>
              </w:rPr>
            </w:pPr>
          </w:p>
        </w:tc>
      </w:tr>
      <w:tr>
        <w:trPr>
          <w:trHeight w:val="142"/>
        </w:trPr>
        <w:tc>
          <w:tcPr>
            <w:tcW w:w="8300" w:type="dxa"/>
            <w:vAlign w:val="bottom"/>
            <w:tcBorders>
              <w:top w:val="single" w:sz="8" w:color="CFF0FC"/>
            </w:tcBorders>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971,480</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835,619</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300" w:type="dxa"/>
            <w:vAlign w:val="bottom"/>
            <w:tcBorders>
              <w:bottom w:val="single" w:sz="8" w:color="CFF0FC"/>
            </w:tcBorders>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1,131,068</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978,035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-2939415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-2365375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-1109345</wp:posOffset>
            </wp:positionV>
            <wp:extent cx="93980" cy="136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-1109345</wp:posOffset>
            </wp:positionV>
            <wp:extent cx="93980" cy="136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-231140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2025 and 2024</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2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33,576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78,388</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59,202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158,643</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96,033</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76,575</w:t>
            </w: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192,559</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144,693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(84,557)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(50,925)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(158,983)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9"/>
        </w:trPr>
        <w:tc>
          <w:tcPr>
            <w:tcW w:w="57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(76,614)</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(42,062)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(142,195)</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(90,619)</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49"/>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(76,277)</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(140,431)</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(92,166)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vMerge w:val="restart"/>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(76,614)</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(42,062)</w:t>
            </w:r>
          </w:p>
        </w:tc>
        <w:tc>
          <w:tcPr>
            <w:tcW w:w="22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(142,195)</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(90,619)</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(0.95)</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stock outstanding, basic and diluted</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80,449,405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73,059,398</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80,298,940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71,908,963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-2099310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-2099310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-2099310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-2099310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-1250950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-1250950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-1250950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-1250950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-659130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-642620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-659130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-642620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-659130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-642620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-659130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-642620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-187960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-170815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-187960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-187960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-187960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-170815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1" w:right="4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2025 and 2024</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900" w:type="dxa"/>
            <w:vAlign w:val="bottom"/>
            <w:gridSpan w:val="4"/>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900" w:type="dxa"/>
            <w:vAlign w:val="bottom"/>
            <w:tcBorders>
              <w:bottom w:val="single" w:sz="8" w:color="auto"/>
            </w:tcBorders>
            <w:gridSpan w:val="4"/>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2024</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61,353,146</w:t>
            </w:r>
          </w:p>
        </w:tc>
        <w:tc>
          <w:tcPr>
            <w:tcW w:w="900" w:type="dxa"/>
            <w:vAlign w:val="bottom"/>
            <w:gridSpan w:val="3"/>
            <w:shd w:val="clear" w:color="auto" w:fill="CFF0FC"/>
          </w:tcPr>
          <w:p>
            <w:pPr>
              <w:jc w:val="right"/>
              <w:ind w:right="4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3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1,292,283</w:t>
            </w:r>
          </w:p>
        </w:tc>
        <w:tc>
          <w:tcPr>
            <w:tcW w:w="3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(579,309)</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(1,777)</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711,203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74,318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80,694</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employee stock purchase plan</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64,225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14,341</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(42,062)</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(42,062)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2024</w:t>
            </w: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61,572,383</w:t>
            </w:r>
          </w:p>
        </w:tc>
        <w:tc>
          <w:tcPr>
            <w:tcW w:w="120" w:type="dxa"/>
            <w:vAlign w:val="bottom"/>
          </w:tcPr>
          <w:p>
            <w:pPr>
              <w:spacing w:after="0"/>
              <w:rPr>
                <w:sz w:val="12"/>
                <w:szCs w:val="12"/>
                <w:color w:val="auto"/>
              </w:rPr>
            </w:pPr>
          </w:p>
        </w:tc>
        <w:tc>
          <w:tcPr>
            <w:tcW w:w="780" w:type="dxa"/>
            <w:vAlign w:val="bottom"/>
            <w:tcBorders>
              <w:bottom w:val="single" w:sz="8" w:color="auto"/>
            </w:tcBorders>
            <w:gridSpan w:val="2"/>
          </w:tcPr>
          <w:p>
            <w:pPr>
              <w:jc w:val="right"/>
              <w:ind w:right="456"/>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w:t>
            </w:r>
          </w:p>
        </w:tc>
        <w:tc>
          <w:tcPr>
            <w:tcW w:w="3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1,308,388</w:t>
            </w:r>
          </w:p>
        </w:tc>
        <w:tc>
          <w:tcPr>
            <w:tcW w:w="2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(621,371)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(2,099)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684,924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at March 31, 2025</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65,112,714</w:t>
            </w:r>
          </w:p>
        </w:tc>
        <w:tc>
          <w:tcPr>
            <w:tcW w:w="900" w:type="dxa"/>
            <w:vAlign w:val="bottom"/>
            <w:gridSpan w:val="3"/>
            <w:shd w:val="clear" w:color="auto" w:fill="CFF0FC"/>
          </w:tcPr>
          <w:p>
            <w:pPr>
              <w:jc w:val="right"/>
              <w:ind w:right="456"/>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1,606,475</w:t>
            </w:r>
          </w:p>
        </w:tc>
        <w:tc>
          <w:tcPr>
            <w:tcW w:w="3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(820,191)</w:t>
            </w:r>
          </w:p>
        </w:tc>
        <w:tc>
          <w:tcPr>
            <w:tcW w:w="1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786,233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accompanying pre-funded</w:t>
            </w: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warrants from June 2025 public offering, net of issuance costs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5,044,500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237,294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237,294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 $13.5 million</w:t>
            </w: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278,086</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7,703</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78,013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employee stock purchase plan</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44,129</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1,112</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15,415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(76,614)</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(76,614)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2025</w:t>
            </w:r>
          </w:p>
        </w:tc>
        <w:tc>
          <w:tcPr>
            <w:tcW w:w="1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70,557,442</w:t>
            </w:r>
          </w:p>
        </w:tc>
        <w:tc>
          <w:tcPr>
            <w:tcW w:w="320" w:type="dxa"/>
            <w:vAlign w:val="bottom"/>
            <w:tcBorders>
              <w:bottom w:val="single" w:sz="8" w:color="CFF0FC"/>
            </w:tcBorders>
            <w:gridSpan w:val="2"/>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w:t>
            </w:r>
          </w:p>
        </w:tc>
        <w:tc>
          <w:tcPr>
            <w:tcW w:w="3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1,867,999</w:t>
            </w:r>
          </w:p>
        </w:tc>
        <w:tc>
          <w:tcPr>
            <w:tcW w:w="2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(896,805)</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279</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971,480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3009900</wp:posOffset>
            </wp:positionH>
            <wp:positionV relativeFrom="paragraph">
              <wp:posOffset>-1319530</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-1319530</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-1319530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-1319530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-1319530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-1319530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-25400</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-7620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-25400</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-7620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-25400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-25400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-25400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-25400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981" w:right="3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 and 2024</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640" w:type="dxa"/>
            <w:vAlign w:val="bottom"/>
            <w:gridSpan w:val="3"/>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040" w:type="dxa"/>
            <w:vAlign w:val="bottom"/>
          </w:tcPr>
          <w:p>
            <w:pPr>
              <w:spacing w:after="0"/>
              <w:rPr>
                <w:sz w:val="13"/>
                <w:szCs w:val="13"/>
                <w:color w:val="auto"/>
              </w:rPr>
            </w:pPr>
          </w:p>
        </w:tc>
        <w:tc>
          <w:tcPr>
            <w:tcW w:w="164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8"/>
              <w:spacing w:after="0" w:line="160"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9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55,585,305</w:t>
            </w:r>
          </w:p>
        </w:tc>
        <w:tc>
          <w:tcPr>
            <w:tcW w:w="720" w:type="dxa"/>
            <w:vAlign w:val="bottom"/>
            <w:gridSpan w:val="2"/>
            <w:shd w:val="clear" w:color="auto" w:fill="CFF0FC"/>
          </w:tcPr>
          <w:p>
            <w:pPr>
              <w:jc w:val="right"/>
              <w:ind w:right="47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926,269</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(530,752)</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(552)</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394,971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accompanying pre-funded warrants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3,884,158</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301,373</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301,373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from public offering, net of issuance costs of $14.9 million</w:t>
            </w: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At-The Market Sales Agreement,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1,519,453</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of issuance costs of $1.2 million</w:t>
            </w:r>
          </w:p>
        </w:tc>
        <w:tc>
          <w:tcPr>
            <w:tcW w:w="9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355,339</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4,562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163,903</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employee stock purchase plan</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64,225</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26,309</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26,309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(1,547)</w:t>
            </w: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(90,619)</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(90,619)</w:t>
            </w:r>
          </w:p>
        </w:tc>
        <w:tc>
          <w:tcPr>
            <w:tcW w:w="0" w:type="dxa"/>
            <w:vAlign w:val="bottom"/>
          </w:tcPr>
          <w:p>
            <w:pPr>
              <w:spacing w:after="0"/>
              <w:rPr>
                <w:sz w:val="1"/>
                <w:szCs w:val="1"/>
                <w:color w:val="auto"/>
              </w:rPr>
            </w:pPr>
          </w:p>
        </w:tc>
      </w:tr>
      <w:tr>
        <w:trPr>
          <w:trHeight w:val="142"/>
        </w:trPr>
        <w:tc>
          <w:tcPr>
            <w:tcW w:w="404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2024</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61,572,383</w:t>
            </w:r>
          </w:p>
        </w:tc>
        <w:tc>
          <w:tcPr>
            <w:tcW w:w="120" w:type="dxa"/>
            <w:vAlign w:val="bottom"/>
            <w:tcBorders>
              <w:top w:val="single" w:sz="8" w:color="CFF0FC"/>
              <w:bottom w:val="single" w:sz="8" w:color="CFF0FC"/>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478"/>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w:t>
            </w:r>
          </w:p>
        </w:tc>
        <w:tc>
          <w:tcPr>
            <w:tcW w:w="24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1,308,388</w:t>
            </w:r>
          </w:p>
        </w:tc>
        <w:tc>
          <w:tcPr>
            <w:tcW w:w="24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(621,371)</w:t>
            </w:r>
          </w:p>
        </w:tc>
        <w:tc>
          <w:tcPr>
            <w:tcW w:w="14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(2,099)</w:t>
            </w:r>
          </w:p>
        </w:tc>
        <w:tc>
          <w:tcPr>
            <w:tcW w:w="14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684,924</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2024</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64,890,193</w:t>
            </w:r>
          </w:p>
        </w:tc>
        <w:tc>
          <w:tcPr>
            <w:tcW w:w="720" w:type="dxa"/>
            <w:vAlign w:val="bottom"/>
            <w:gridSpan w:val="2"/>
            <w:shd w:val="clear" w:color="auto" w:fill="CFF0FC"/>
          </w:tcPr>
          <w:p>
            <w:pPr>
              <w:jc w:val="right"/>
              <w:ind w:right="47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1,591,707</w:t>
            </w:r>
          </w:p>
        </w:tc>
        <w:tc>
          <w:tcPr>
            <w:tcW w:w="3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(754,610)</w:t>
            </w:r>
          </w:p>
        </w:tc>
        <w:tc>
          <w:tcPr>
            <w:tcW w:w="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(1,485)</w:t>
            </w:r>
          </w:p>
        </w:tc>
        <w:tc>
          <w:tcPr>
            <w:tcW w:w="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835,619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accompanying pre-funded warrants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5,044,500</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237,294</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237,294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from June 2025 public offering, net of issuance costs of $13.5 million</w:t>
            </w: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353,738</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8,237</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224,882</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employee stock purchase plan</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44,129</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29,649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1,764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(142,195)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(142,195)</w:t>
            </w:r>
          </w:p>
        </w:tc>
        <w:tc>
          <w:tcPr>
            <w:tcW w:w="0" w:type="dxa"/>
            <w:vAlign w:val="bottom"/>
          </w:tcPr>
          <w:p>
            <w:pPr>
              <w:spacing w:after="0"/>
              <w:rPr>
                <w:sz w:val="1"/>
                <w:szCs w:val="1"/>
                <w:color w:val="auto"/>
              </w:rPr>
            </w:pPr>
          </w:p>
        </w:tc>
      </w:tr>
      <w:tr>
        <w:trPr>
          <w:trHeight w:val="182"/>
        </w:trPr>
        <w:tc>
          <w:tcPr>
            <w:tcW w:w="40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2025</w:t>
            </w:r>
          </w:p>
        </w:tc>
        <w:tc>
          <w:tcPr>
            <w:tcW w:w="9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70,557,442</w:t>
            </w: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ind w:right="478"/>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w:t>
            </w: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1,867,999</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(896,805)</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279</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971,480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-1199515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-1199515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-1199515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-1199515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-1199515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 and 2024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7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9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9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(142,195)</w:t>
            </w:r>
          </w:p>
        </w:tc>
        <w:tc>
          <w:tcPr>
            <w:tcW w:w="6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(90,619)</w:t>
            </w: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29,649</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26,309</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Lease impairment charge</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4,925</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4,132</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Premiums and discounts on available-for-sale marketable securities</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(4,646)</w:t>
            </w:r>
          </w:p>
        </w:tc>
        <w:tc>
          <w:tcPr>
            <w:tcW w:w="6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(7,093)</w:t>
            </w: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(2,305)</w:t>
            </w:r>
          </w:p>
        </w:tc>
        <w:tc>
          <w:tcPr>
            <w:tcW w:w="6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(2,076)</w:t>
            </w:r>
          </w:p>
        </w:tc>
      </w:tr>
      <w:tr>
        <w:trPr>
          <w:trHeight w:val="203"/>
        </w:trPr>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7"/>
                <w:szCs w:val="17"/>
                <w:color w:val="auto"/>
              </w:rPr>
            </w:pPr>
          </w:p>
        </w:tc>
        <w:tc>
          <w:tcPr>
            <w:tcW w:w="132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(40,000)</w:t>
            </w: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Contract asset</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long term assets</w:t>
            </w:r>
          </w:p>
        </w:tc>
        <w:tc>
          <w:tcPr>
            <w:tcW w:w="300" w:type="dxa"/>
            <w:vAlign w:val="bottom"/>
          </w:tcPr>
          <w:p>
            <w:pPr>
              <w:spacing w:after="0"/>
              <w:rPr>
                <w:sz w:val="17"/>
                <w:szCs w:val="17"/>
                <w:color w:val="auto"/>
              </w:rPr>
            </w:pPr>
          </w:p>
        </w:tc>
        <w:tc>
          <w:tcPr>
            <w:tcW w:w="132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(2,725)</w:t>
            </w: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(216)</w:t>
            </w: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tcPr>
          <w:p>
            <w:pPr>
              <w:spacing w:after="0"/>
              <w:rPr>
                <w:sz w:val="17"/>
                <w:szCs w:val="17"/>
                <w:color w:val="auto"/>
              </w:rPr>
            </w:pPr>
          </w:p>
        </w:tc>
        <w:tc>
          <w:tcPr>
            <w:tcW w:w="132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(6,939)</w:t>
            </w:r>
          </w:p>
        </w:tc>
        <w:tc>
          <w:tcPr>
            <w:tcW w:w="6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(7,591)</w:t>
            </w:r>
          </w:p>
        </w:tc>
      </w:tr>
      <w:tr>
        <w:trPr>
          <w:trHeight w:val="202"/>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26,424</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(32,203)</w:t>
            </w:r>
          </w:p>
        </w:tc>
      </w:tr>
      <w:tr>
        <w:trPr>
          <w:trHeight w:val="203"/>
        </w:trPr>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(2,416)</w:t>
            </w: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4,149</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300" w:type="dxa"/>
            <w:vAlign w:val="bottom"/>
          </w:tcPr>
          <w:p>
            <w:pPr>
              <w:spacing w:after="0"/>
              <w:rPr>
                <w:sz w:val="17"/>
                <w:szCs w:val="17"/>
                <w:color w:val="auto"/>
              </w:rPr>
            </w:pPr>
          </w:p>
        </w:tc>
        <w:tc>
          <w:tcPr>
            <w:tcW w:w="132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(106)</w:t>
            </w:r>
          </w:p>
        </w:tc>
        <w:tc>
          <w:tcPr>
            <w:tcW w:w="6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(363)</w:t>
            </w:r>
          </w:p>
        </w:tc>
      </w:tr>
      <w:tr>
        <w:trPr>
          <w:trHeight w:val="20"/>
        </w:trPr>
        <w:tc>
          <w:tcPr>
            <w:tcW w:w="7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(139,034)</w:t>
            </w:r>
          </w:p>
        </w:tc>
        <w:tc>
          <w:tcPr>
            <w:tcW w:w="6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(82,527)</w:t>
            </w:r>
          </w:p>
        </w:tc>
      </w:tr>
      <w:tr>
        <w:trPr>
          <w:trHeight w:val="196"/>
        </w:trPr>
        <w:tc>
          <w:tcPr>
            <w:tcW w:w="7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 of property and equipment, net</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(1,162)</w:t>
            </w:r>
          </w:p>
        </w:tc>
        <w:tc>
          <w:tcPr>
            <w:tcW w:w="6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(12,091)</w:t>
            </w: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investments</w:t>
            </w:r>
          </w:p>
        </w:tc>
        <w:tc>
          <w:tcPr>
            <w:tcW w:w="300" w:type="dxa"/>
            <w:vAlign w:val="bottom"/>
          </w:tcPr>
          <w:p>
            <w:pPr>
              <w:spacing w:after="0"/>
              <w:rPr>
                <w:sz w:val="17"/>
                <w:szCs w:val="17"/>
                <w:color w:val="auto"/>
              </w:rPr>
            </w:pPr>
          </w:p>
        </w:tc>
        <w:tc>
          <w:tcPr>
            <w:tcW w:w="132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(141,907)</w:t>
            </w:r>
          </w:p>
        </w:tc>
        <w:tc>
          <w:tcPr>
            <w:tcW w:w="6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(526,860)</w:t>
            </w:r>
          </w:p>
        </w:tc>
      </w:tr>
      <w:tr>
        <w:trPr>
          <w:trHeight w:val="202"/>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Maturities of investments</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251,705</w:t>
            </w:r>
          </w:p>
        </w:tc>
        <w:tc>
          <w:tcPr>
            <w:tcW w:w="28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223,986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108,636</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(314,965)</w:t>
            </w:r>
          </w:p>
        </w:tc>
      </w:tr>
      <w:tr>
        <w:trPr>
          <w:trHeight w:val="19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and accompanying pre-funded warrants from January 2024 public offering, net of issuance</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costs of $14.9 million</w:t>
            </w:r>
          </w:p>
        </w:tc>
        <w:tc>
          <w:tcPr>
            <w:tcW w:w="300" w:type="dxa"/>
            <w:vAlign w:val="bottom"/>
          </w:tcPr>
          <w:p>
            <w:pPr>
              <w:spacing w:after="0"/>
              <w:rPr>
                <w:sz w:val="18"/>
                <w:szCs w:val="18"/>
                <w:color w:val="auto"/>
              </w:rPr>
            </w:pPr>
          </w:p>
        </w:tc>
        <w:tc>
          <w:tcPr>
            <w:tcW w:w="1320" w:type="dxa"/>
            <w:vAlign w:val="bottom"/>
            <w:gridSpan w:val="2"/>
          </w:tcPr>
          <w:p>
            <w:pPr>
              <w:jc w:val="right"/>
              <w:ind w:right="22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301,373</w:t>
            </w:r>
          </w:p>
        </w:tc>
        <w:tc>
          <w:tcPr>
            <w:tcW w:w="100" w:type="dxa"/>
            <w:vAlign w:val="bottom"/>
          </w:tcPr>
          <w:p>
            <w:pPr>
              <w:spacing w:after="0"/>
              <w:rPr>
                <w:sz w:val="18"/>
                <w:szCs w:val="18"/>
                <w:color w:val="auto"/>
              </w:rPr>
            </w:pPr>
          </w:p>
        </w:tc>
      </w:tr>
      <w:tr>
        <w:trPr>
          <w:trHeight w:val="192"/>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issuance of common stock through At-The Market Sales Agreement, net of issuance costs of</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$1.2 million</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48,740</w:t>
            </w:r>
          </w:p>
        </w:tc>
        <w:tc>
          <w:tcPr>
            <w:tcW w:w="100" w:type="dxa"/>
            <w:vAlign w:val="bottom"/>
            <w:shd w:val="clear" w:color="auto" w:fill="CFF0FC"/>
          </w:tcPr>
          <w:p>
            <w:pPr>
              <w:spacing w:after="0"/>
              <w:rPr>
                <w:sz w:val="18"/>
                <w:szCs w:val="18"/>
                <w:color w:val="auto"/>
              </w:rPr>
            </w:pPr>
          </w:p>
        </w:tc>
      </w:tr>
      <w:tr>
        <w:trPr>
          <w:trHeight w:val="189"/>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and accompanying pre-funded warrants from June 2025 public offering, net of issuance</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costs of $13.5 million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237,294</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8,237</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(659)</w:t>
            </w:r>
          </w:p>
        </w:tc>
        <w:tc>
          <w:tcPr>
            <w:tcW w:w="6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(642)</w:t>
            </w:r>
          </w:p>
        </w:tc>
      </w:tr>
      <w:tr>
        <w:trPr>
          <w:trHeight w:val="196"/>
        </w:trPr>
        <w:tc>
          <w:tcPr>
            <w:tcW w:w="7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245,984</w:t>
            </w:r>
          </w:p>
        </w:tc>
        <w:tc>
          <w:tcPr>
            <w:tcW w:w="280" w:type="dxa"/>
            <w:vAlign w:val="bottom"/>
            <w:tcBorders>
              <w:top w:val="single" w:sz="8" w:color="CFF0FC"/>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355,168</w:t>
            </w:r>
          </w:p>
        </w:tc>
        <w:tc>
          <w:tcPr>
            <w:tcW w:w="100" w:type="dxa"/>
            <w:vAlign w:val="bottom"/>
            <w:tcBorders>
              <w:top w:val="single" w:sz="8" w:color="CFF0FC"/>
            </w:tcBorders>
          </w:tcPr>
          <w:p>
            <w:pPr>
              <w:spacing w:after="0"/>
              <w:rPr>
                <w:sz w:val="17"/>
                <w:szCs w:val="17"/>
                <w:color w:val="auto"/>
              </w:rPr>
            </w:pPr>
          </w:p>
        </w:tc>
      </w:tr>
      <w:tr>
        <w:trPr>
          <w:trHeight w:val="19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215,586</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(42,324)</w:t>
            </w: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126,050</w:t>
            </w:r>
          </w:p>
        </w:tc>
        <w:tc>
          <w:tcPr>
            <w:tcW w:w="2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115,777</w:t>
            </w:r>
          </w:p>
        </w:tc>
        <w:tc>
          <w:tcPr>
            <w:tcW w:w="100" w:type="dxa"/>
            <w:vAlign w:val="bottom"/>
          </w:tcPr>
          <w:p>
            <w:pPr>
              <w:spacing w:after="0"/>
              <w:rPr>
                <w:sz w:val="17"/>
                <w:szCs w:val="17"/>
                <w:color w:val="auto"/>
              </w:rPr>
            </w:pPr>
          </w:p>
        </w:tc>
      </w:tr>
      <w:tr>
        <w:trPr>
          <w:trHeight w:val="196"/>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341,636</w:t>
            </w:r>
          </w:p>
        </w:tc>
        <w:tc>
          <w:tcPr>
            <w:tcW w:w="28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73,453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activities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purchases included in accounts payable and accrued expenses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and equipment through finance lease</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280" w:type="dxa"/>
            <w:vAlign w:val="bottom"/>
          </w:tcPr>
          <w:p>
            <w:pPr>
              <w:spacing w:after="0"/>
              <w:rPr>
                <w:sz w:val="17"/>
                <w:szCs w:val="17"/>
                <w:color w:val="auto"/>
              </w:rPr>
            </w:pPr>
          </w:p>
        </w:tc>
        <w:tc>
          <w:tcPr>
            <w:tcW w:w="6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Offering costs included in accrued expenses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-3274060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-2750820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-1319530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-779145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9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300" w:type="dxa"/>
            <w:vAlign w:val="bottom"/>
            <w:gridSpan w:val="2"/>
            <w:shd w:val="clear" w:color="auto" w:fill="CFF0FC"/>
          </w:tcPr>
          <w:p>
            <w:pPr>
              <w:jc w:val="right"/>
              <w:ind w:right="8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335,816</w:t>
            </w: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67,612</w:t>
            </w: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3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100" w:type="dxa"/>
            <w:vAlign w:val="bottom"/>
          </w:tcPr>
          <w:p>
            <w:pPr>
              <w:spacing w:after="0"/>
              <w:rPr>
                <w:sz w:val="17"/>
                <w:szCs w:val="17"/>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3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2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341,636</w:t>
            </w:r>
          </w:p>
        </w:tc>
        <w:tc>
          <w:tcPr>
            <w:tcW w:w="1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73,453</w:t>
            </w: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2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Kymera Therapeutics, Inc., together with its subsidiary Kymera Securities Corporation, is referred to on a consolidated basis as the “Company”. The Company is a biopharmaceutical company focused on discovering and developing small molecule therapeutics that selectively degrade disease-causing proteins by harnessing the body’s own natural cellular process, a method known as targeted protein degradation. The Company has devoted its efforts principally to research and development since formation. The Company has not yet completed product development, filed for or obtained regulatory approvals for any products, nor verified the market acceptance and demand for such products. As a result, the Company is subject to a number of risks common to emerging companies in the biotech industry. Principal among these risks are the uncertainties of the product discovery and development process, dependence on key individuals, development of the same or similar technological innovations by the Company’s competitors, protection of proprietary technology, compliance with government regulations and approval requirements, the Company’s ability to access capital and uncertainty of market acceptance of products.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historical net losses and anticipates that it will continue to incur losses for the foreseeable future and had an accumulated deficit of $896.8 million as of June 30, 2025. The Company has funded these losses principally through the issuance and sale of its convertible preferred stock to outside investors and collaborators in private equity financings, its initial public offering, or IPO, follow-on offerings, Private Investment in Public Equity, or PIPE offering, and at-the market sales programs as well as from cash proceeds received in connection with the Company’s corporate collaboration agreements (see Note 5). The Company expects to continue to incur operating losses and negative operating cash flows until such time as it generates a level of revenue that is sufficient to support its cost structure.</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cash, cash equivalents and marketable securities of $963.1 million. The Company believes these cash, cash equivalents and marketable securities will be sufficient to fund its operations and capital expenditure requirements through at least twelve months from the issuance of these condensed consolidated financial statements.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expects to finance the future research and development costs of its product portfolio with its existing cash, cash equivalents and marketable securities, or through strategic financing opportunities that could include, but are not limited to future offerings of its equity, collaboration agreements, or the incurrence of debt. However, there is no guarantee that any of these strategic or financing opportunities will be executed or realized on favorable terms, if at all, and some could be dilutive to existing stockholders. If the Company fails to obtain additional future capital, it may be unable to complete its planned preclinical studies and clinical trials.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2024 Follow-on Public Offerings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January 9, 2024, the Company completed a follow-on offering of its common stock and, in lieu of common stock to certain investors, pre-funded warrants to purchase shares of its common stock. The Company issued and sold 3,884,158 shares of common stock, including full exercise of the underwriters’ option to purchase an additional 1,633,663 shares, at a public offering price of $25.25 per share. Additionally, in lieu of common stock to certain investors, the Company issued and sold pre-funded warrants to purchase 8,640,594 shares of its common stock at a public offering price of $25.2499 per pre-funded warrant, which represents the per share public offering price of each share of common stock less the $0.0001 per share exercise price for each pre-funded warrant. The aggregate gross proceeds before deducting underwriting discounts and commissions, and other estimated offering expenses payable by the Company were approximately $316.2 million.</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August 21, 2024, the Company completed a follow-on offering of its common stock and, in lieu of common stock to certain investors, pre-funded warrants to purchase shares of its common stock. The Company issued and sold 2,830,533 shares of common stock, including full exercise of the underwriters’ option to purchase an additional 828,220 shares, at a public offering price of $40.75 per share. Additionally, in lieu of common stock to certain investors, the Company issued and sold pre-funded warrants to purchase 3,519,159 shares of its common stock at a public offering price of $40.7499 per pre-funded warrant, which represents the per share public offering price of each share of common stock less the $0.0001 per share exercise price for each pre-funded warrant. The aggregate gross proceeds before deducting underwriting discounts and commissions, and other estimated offering expenses payable by the Company were approximately $258.7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2025 Follow-on Public Offering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June 30, 2025, the Company issued and sold 5,044,500 shares of common stock at a public offering price of $44.00 per share. Additionally, in lieu of common stock to a certain investor, the Company issued and sold pre-funded warrants to purchase 655,500 shares of common stock at a public offering price of $43.9999 per pre-funded warrant, which represents the public offering price per share of common stock less the $0.0001 per share exercise price of each pre-funded warrant. The aggregate gross proceeds from this initial closing, before deducting underwriting discounts and commissions and other estimated offering expenses payable by the Company, were approximately $250.8 million.</w:t>
      </w:r>
    </w:p>
    <w:p>
      <w:pPr>
        <w:spacing w:after="0" w:line="75" w:lineRule="exact"/>
        <w:rPr>
          <w:sz w:val="20"/>
          <w:szCs w:val="20"/>
          <w:color w:val="auto"/>
        </w:rPr>
      </w:pPr>
    </w:p>
    <w:p>
      <w:pPr>
        <w:jc w:val="both"/>
        <w:ind w:firstLine="566"/>
        <w:spacing w:after="0" w:line="261" w:lineRule="auto"/>
        <w:rPr>
          <w:sz w:val="20"/>
          <w:szCs w:val="20"/>
          <w:color w:val="auto"/>
        </w:rPr>
      </w:pPr>
      <w:r>
        <w:rPr>
          <w:rFonts w:ascii="Times New Roman" w:cs="Times New Roman" w:eastAsia="Times New Roman" w:hAnsi="Times New Roman"/>
          <w:sz w:val="18"/>
          <w:szCs w:val="18"/>
          <w:color w:val="auto"/>
        </w:rPr>
        <w:t>In July 2025, the Company completed the follow-on offering through the closing of the underwriters’ full exercise of their option to purchase an additional 855,000 shares of common stock. As a result, the total aggregate gross proceeds from this follow-on offering, including the proceeds from the initial closing on June 30, 2025 and the subsequent closings, were approximately $288.4 million, before deducting underwriting discounts and commissions and other estimated offering expenses payable by the Company.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certain offerings the Company has issued pre-funded warrants to purchase common stock in lieu of common stock. 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sheets. The pre-funded warrants are exercisable at any time. The holders of Pre-Funded Warrants may not exercise the warrant if the holder, together with its affiliates, would beneficially own more than 4.99% (or, at the election of the holder, 9.99%) of the number of shares of the Common Stock outstanding immediately after giving effect to such exercise. The holders of Pre-Funded Warrants may increase or decrease such percentages not in excess of 19.99% by providing at least 61 days’ prior notice to the Company.</w:t>
      </w:r>
    </w:p>
    <w:p>
      <w:pPr>
        <w:spacing w:after="0" w:line="8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no pre-funded warrants were exercised. As of June 30, 2025, there were 15,815,253 pre-funded warrants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the application of certain significant accounting policies as described in this note, and elsewhere in the accompanying condensed consolidated financial statements and notes.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subsidiary Kymera Securities Corporation. All intercompany transactions and balances have been eliminated in consolidation.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 Certain information and footnote disclosures normally included in financial statements prepared in accordance with GAAP have been condensed or omitted from this report, as is permitted by such rules and regulations. Accordingly, these condensed consolidated financial statements should be read in conjunction with the Company’s audited consolidated financial statements and the notes thereto for the year ended December 31, 2024 included in the Company’s Annual Report on Form 10-K, filed with the SEC on February 27, 2025.</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consolidated financial statements as of and for the year ended December 31, 2024, and, in the opinion of management, reflect all adjustments necessary, all of which were normal and recurring, for the fair statement of the Company’s financial position as of June 30, 2025, the results of operations and equity for the three and six months ended June 30, 2025, and cash flows for the six months ended June 30, 2025 and 2024. The results for the three and six months ended June 30, 2025 are not necessarily indicative of the results for the year ended December 31, 2025 or for any future period.</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for the three and six months ended June 30, 2025 are consistent with those discussed in Note 2 to the consolidated financial statements in the 2024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We are currently evaluating the disclosure requirements related to this new standard.</w:t>
      </w:r>
    </w:p>
    <w:p>
      <w:pPr>
        <w:spacing w:after="0" w:line="11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is intended to improve disclosures by requiring additional information about specific expense categories in the notes to the financial statements on an annual and interim basis. The standard will be effective for annual reporting periods beginning after December 15, 2026, and interim reporting periods beginning after December 15, 2027, with early adoption permitted. The standard updates may be applied on either a prospective or retrospective basis. We are currently evaluating the disclosure requirements related to this new standard.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indicates the level of the fair value hierarchy utilized to determine such fair values as of June 30, 2025 and December 31, 2024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73"/>
        </w:trPr>
        <w:tc>
          <w:tcPr>
            <w:tcW w:w="5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gridSpan w:val="2"/>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324,219</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324,219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treasuries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treasuries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111,574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165,377</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165,377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treasuries</w:t>
            </w: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121,828</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136,904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136,904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480,510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481,283</w:t>
            </w:r>
          </w:p>
        </w:tc>
        <w:tc>
          <w:tcPr>
            <w:tcW w:w="10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961,793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28"/>
        </w:trPr>
        <w:tc>
          <w:tcPr>
            <w:tcW w:w="580" w:type="dxa"/>
            <w:vAlign w:val="bottom"/>
          </w:tcPr>
          <w:p>
            <w:pPr>
              <w:spacing w:after="0"/>
              <w:rPr>
                <w:sz w:val="24"/>
                <w:szCs w:val="24"/>
                <w:color w:val="auto"/>
              </w:rPr>
            </w:pPr>
          </w:p>
        </w:tc>
        <w:tc>
          <w:tcPr>
            <w:tcW w:w="3740" w:type="dxa"/>
            <w:vAlign w:val="bottom"/>
            <w:tcBorders>
              <w:top w:val="single" w:sz="8" w:color="CFF0FC"/>
            </w:tcBorders>
          </w:tcPr>
          <w:p>
            <w:pPr>
              <w:spacing w:after="0"/>
              <w:rPr>
                <w:sz w:val="24"/>
                <w:szCs w:val="24"/>
                <w:color w:val="auto"/>
              </w:rPr>
            </w:pPr>
          </w:p>
        </w:tc>
        <w:tc>
          <w:tcPr>
            <w:tcW w:w="1600" w:type="dxa"/>
            <w:vAlign w:val="bottom"/>
            <w:tcBorders>
              <w:top w:val="single" w:sz="8" w:color="CFF0FC"/>
            </w:tcBorders>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-933450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-916940</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-933450</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-916940</wp:posOffset>
            </wp:positionV>
            <wp:extent cx="596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-933450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-916940</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-916940</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106,234</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106,234</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96,442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96,442</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42,068</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42,068</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214,127</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214,127</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62,022</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135,749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135,749</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164,388</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164,388</w:t>
            </w:r>
          </w:p>
        </w:tc>
        <w:tc>
          <w:tcPr>
            <w:tcW w:w="100" w:type="dxa"/>
            <w:vAlign w:val="bottom"/>
          </w:tcPr>
          <w:p>
            <w:pPr>
              <w:spacing w:after="0"/>
              <w:rPr>
                <w:sz w:val="18"/>
                <w:szCs w:val="18"/>
                <w:color w:val="auto"/>
              </w:rPr>
            </w:pPr>
          </w:p>
        </w:tc>
      </w:tr>
      <w:tr>
        <w:trPr>
          <w:trHeight w:val="216"/>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271,989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582,108</w:t>
            </w:r>
          </w:p>
        </w:tc>
        <w:tc>
          <w:tcPr>
            <w:tcW w:w="102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854,097</w:t>
            </w:r>
          </w:p>
        </w:tc>
        <w:tc>
          <w:tcPr>
            <w:tcW w:w="10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-170815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596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-170815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six months ended June 30, 2025 and the year ended December 31, 2024, there were no transfers in or out of Level 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available-for-sale debt securities held at June 30, 2025 and December 31, 2024 (in thousands):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150,238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150,471</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170,696</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170,331</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securities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301,866</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302,282</w:t>
            </w:r>
          </w:p>
        </w:tc>
        <w:tc>
          <w:tcPr>
            <w:tcW w:w="100" w:type="dxa"/>
            <w:vAlign w:val="bottom"/>
            <w:shd w:val="clear" w:color="auto" w:fill="CFF0FC"/>
          </w:tcPr>
          <w:p>
            <w:pPr>
              <w:spacing w:after="0"/>
              <w:rPr>
                <w:sz w:val="18"/>
                <w:szCs w:val="18"/>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68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626,978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627,258</w:t>
            </w:r>
          </w:p>
        </w:tc>
        <w:tc>
          <w:tcPr>
            <w:tcW w:w="10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3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24"/>
                <w:szCs w:val="2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158,464</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179,030</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(1,248)</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177,815</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securities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378,736</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378,516</w:t>
            </w:r>
          </w:p>
        </w:tc>
        <w:tc>
          <w:tcPr>
            <w:tcW w:w="100" w:type="dxa"/>
            <w:vAlign w:val="bottom"/>
            <w:shd w:val="clear" w:color="auto" w:fill="CFF0FC"/>
          </w:tcPr>
          <w:p>
            <w:pPr>
              <w:spacing w:after="0"/>
              <w:rPr>
                <w:sz w:val="18"/>
                <w:szCs w:val="18"/>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6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732,131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730,647</w:t>
            </w:r>
          </w:p>
        </w:tc>
        <w:tc>
          <w:tcPr>
            <w:tcW w:w="10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-1379220</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-1379220</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-1379220</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-1379220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-170815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June 30, 2025, the Company held 119 securities that had been in an unrealized loss position for less than 12 months with an aggregate fair value of $315.1 million. As of December 31, 2024, the Company held 121 securities that had been in an unrealized loss position for less than 12 months with an aggregate fair value of $342.1 million. As of June 30, 2025, the Company held no securities that had been in an unrealized loss position for greater than 12 months. As of December 31, 2024, the Company held 4 securities that had been in an unrealized loss position for greater than 12 months with an aggregate fair value of $7.6 million.</w:t>
      </w:r>
    </w:p>
    <w:p>
      <w:pPr>
        <w:spacing w:after="0" w:line="2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June 30, 2025 the Company had 113 securities with a fair value of $329.6 million with a contractual maturity of less than 12 months and 108 securities with a fair value of $297.6 million with a contractual maturity of greater than 12 months. As of December 31, 2024, the Company had 129 securities with a fair value of $368.5 million with a contractual maturity of less than 12 months and 116 securities with a fair value of $362.2 million with a contractual maturity of greater than 12 months.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14" w:name="page15"/>
    <w:bookmarkEnd w:id="14"/>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required to determine whether a decline in the fair value below the amortized cost basis of available-for-sale securities is due to credit-related factors. 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spacing w:after="0" w:line="27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Unrealized losses on available-for-sale securities presented in the previous table have not been recognized in the condensed consolidated statements of operations because the securities are high credit quality, investment grade securities that the Company does not intend to sell and will not be required to sell prior to their anticipated recovery, and the decline in fair value is attributable to factors other than credit losses. Based on its evaluation, the Company determined it does not have any credit losses related to its available-for-sale securities as of June 30, 2025 and December 31, 2024.</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Terms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June 25, 2025, the Company entered into an exclusive option and license agreement (the “Gilead Agreement”) with Gilead Sciences, Inc. (“Gilead”), to collaborate on developing novel molecular glue degraders directed against cyclin-dependent kinase 2 (“CDK2”). Under the Gilead Agreement, the Company granted to Gilead an exclusive option, exercisable during a defined option period, to exercise an exclusive, worldwide license to develop, manufacture, and commercialize certain CDK2 degraders generated under the collaboration.</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Gilead Agreement, the Company is responsible for all discovery and preclinical research activities through the delivery of a complete data package as defined in the agreement. If, after receiving the complete data package, Gilead exercises its option to license the program, Gilead will have global rights to develop, manufacture and commercialize all products resulting from the collaboration.</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Gilead does not exercise the option during the option period defined in the agreement, then the Gilead Agreement will terminate. Following option exercise, the Gilead Agreement will expire on a product-by-product and country-by-country basis upon the expiration of all royalty obligations under the agreement. Gilead may terminate the agreement for convenience upon advance written notice. Each party may also terminate the agreement for material breach, insolvency, and the agreement may be terminated for certain other customary reasons, including Gilead’s right to terminate certain provisions of the agreement following a change of control of the Company.</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consideration for the exclusive option and rights granted under the Gilead Agreement, the Company received a non-refundable upfront payment of $40.0 million. In addition, if Gilead exercises the option, the Company is entitled to receive an option exercise payment of $45.0 million and will be eligible to receive up to $665.0 million upon the achievement of certain development, regulatory and commercial milestones. The Company is also eligible to receive tiered royalties on net sales by Gilead ranging from high single-digit to mid-teen percentages, subject to customary reductions in certain circumstances.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the Gilead Agreement under ASC 606, Revenue from Contracts with Customers, and determined that the arrangement represents a contract with a customer. The Company identified the following material promises under the Gilead Agreement: (1) the discovery and preclinical research activities and (2) an option granting Gilead the right to acquire an exclusive license to the program.</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option to acquire an exclusive license to the program was evaluated as a material right. The Company determined that the option to acquire an exclusive license in the future was not priced at a discount, and that the option exercise fee is at or above the standalone selling price for research at this stage of development; as such, the options and the underlying licenses are excluded from the performance obligation and the option exercise fees are excluded from the transaction price until the underlying option is exercised.</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total transaction price as of June 30, 2025, was determined to be $40.0 million, which represents the upfront payment. The option exercise payment and all future milestone and royalty payments are excluded from the initial transaction price as they are contingent on future events and were deemed constrained due to the uncertainty of achievement and the Company’s limited control over their occurrence.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recognizes revenue associated with the performance obligation as the discovery and preclinical research activities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are provided using an input method, according to costs incurred and the costs expected to be incurred in the future to satisfy that individual performance obligation. The transfer of control occurs over this time period and, in management’s judgment, is the best measure of progress towards satisfying each performance obligation. As of June 30, 2025, the Company has not recognized revenue under the Gilead Agreement. The remaining deferred revenue of $40.0 million will be recognized over the remainder of the estimated research period, which is expected to conclude within the next 1.0 years.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All option and milestone payments were constrained as the achievement of such milestones are contingent upon the success of the underlying research and development activities and are generally outside the control of the Company. Any amounts related to the option exercise fee or milestone payments will be included in the transaction price and recognized on a cumulative catch-up basis when the risk of revenue reversal is resolved. Royalties and commercial milestone payments, if any, will be recognized at the later of when the related sales occur or when the associated performance obligation has been satisfied.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Terms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July 7, 2020, the Company entered into a collaboration agreement, or the Sanofi Agreement, with Sanofi, to co-develop drug candidates directed to two biological targets. Under the Sanofi Agreement, the Company granted to Sanofi a worldwide exclusive license to develop, manufacture and commercialize certain lead compounds generated during the collaboration directed against IRAK4, or Collaboration Target 1, and one additional undisclosed target in an undisclosed field of use, or Collaboration Target 2. Such license is exercisable on a collaboration target-by-collaboration target basis only after specified milestones. For compounds directed against IRAK4, the field of use includes diagnosis, treatment, cure, mitigation or prevention of any diseases, disorders or conditions, excluding oncology and immuno-oncology.</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Sanofi Agreement, the Company is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pursuant to the Sanofi Agreement, Sanofi will grant to the Company an exclusive option, or Opt-In Right, exercisable on a collaboration target-by-collaboration target basis that will include the right to (i)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the Company exercises the Opt-In Right, Sanofi will grant to the Company an exclusive option, applicable to each collaboration target, which upon exercise will allow the Company to conduct certain co-promotion activities in the field in the United States.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The Company or Sanofi may terminate the agreement upon the other party’s material breach or insolvency or for certain patent challenges. In addition, Sanofi may terminate the Sanofi Agreement for convenience or for a material safety event upon advance prior written notice, and the Company may terminate the Sanofi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paid to us an upfront payment of $150.0 million. In addition to the upfront payment, under the agreement we were eligible to receive certain development milestone payments of up to $1.48 billion, and commercial milestone payments of up to $700.0 million, in the aggregate. The Company will further be eligible to receive tiered royalties on net sales ranging from the high single digits to high teens, subject to low-single digits upward adjustments in certain circumstances.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15, 2022, the Company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with respect to Sanofi, on December 2, 2022, Sanofi provided the Company with written notice of its intention to advance the collaboration target 1 candidate, KT-474, into Phase 2 clinical trials. In the fourth quarter of 2023, the Company achieved two milestones of $40.0 million and $15.0 million relating to the dosing of the first patient in the Phase 2 clinical trial for the first and second indications, respectively. In the first quarter of 2025, the Company achieved a development milestone related to certain preclinical activities associated with the IRAK4 program. In connection with this milestone the Company unconstrained $20.0 million of consideration in the first quarter of 2025.</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2023, the Company and Sanofi mutually agreed to cease activities related to Collaboration Target 2.</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2025, Sanofi communicated its decision to exercise its full participation election under the terms of the companies’ collaboration agreement, and to advance KT-485/SAR447971, into clinical testing. As a result, Sanofi intends to stop development of KT-474. In connection with the IRAK4 program, the Company remains eligible to receive up to $975 million in development and commercial milestones upon the achievement of certain developmental or regulatory events and upon the achievement of certain net sales thresholds.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analyzed the discovery and preclinical research activities as well as the exclusive license grants under the Sanofi Agreement and concluded that the arrangement was indicative of a vendor-customer relationship and would be accounted for under ASC 606.</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identified the following material promises under the arrangement: (1) research services for Collaboration Target 1, (2) research license for Collaboration Target 1, (3) exclusive license for Collaboration Target 1, (4) research services for Collaboration Target 2, (5) research license for Collaboration Target 2, (6) exclusive license for Collaboration Target 2, (7) option to extend the research term, and (8) optional research services during the development period.</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that Collaboration Targets 1 and 2 are distinct from each other. The research associated with degraders directed to each target is at different stages and the licensed field, should development activities be successful, are different from each other. As such, all promises associated with each target are considered distinct from promises associated with the other target.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research and development services for each collaboration target were determined not to be distinct from the research license and the exclusive license and have been combined into a single performance obligation for each collaboration target. That is, two performance obligations were identified, the combined research services, research license and exclusive license for Collaboration Target 1 and the combined research services, research license and exclusive license for Collaboration Target 2. The exclusive license for each target is not distinct from the preclinical and clinical research and development services under the Sanofi Agreement, primarily due to the highly specialized nature of the research and novel technology involved with developing protein degraders – the preclinical activities and studies and first phase 1 clinical trial could not be conducted by another party in the manner required.</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option to extend the research term and optional research services during the development period were evaluated as material rights. The fees associated with each option are at or above the standalone selling price. As such, the underlying options are not performance obligations and fees associated with each option are excluded from the transaction price until the underlying option is exercised.</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determined the total transaction price to be $150.0 million, which consists solely of the upfront payment. All milestone payments and option payments were constrained as the achievement of such milestones are contingent upon the success of the underlying research and development activities and are generally outside the control of the Company. The reimbursement of costs for the IRAK4 backup degrader is also treated as constrained variable consideration as the criteria for reimbursement may not always be met, under which circumstances the Company would be responsible for the costs related to the backup degrader. Upon becoming unconstrained, the reimbursement consideration will be added to the transaction price and allocated to Collaboration Target 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The Company allocated the upfront payment to each performance obligation based on the relative standalone selling price, as follows:</w:t>
      </w:r>
    </w:p>
    <w:p>
      <w:pPr>
        <w:spacing w:after="0" w:line="11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1: $120.0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2: $30.0 million</w:t>
      </w:r>
    </w:p>
    <w:p>
      <w:pPr>
        <w:spacing w:after="0" w:line="22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the allocation of the $150.0 million transaction price between Collaboration Target 1 and Collaboration Target 2 based on the value of the research and development for the programs from projected research and development costs for each collaboration target plus a developer’s profit and the total potential milestones for each collaboration target.</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revenue associated with each performance obligation as the research and development services are provided using an input method, according to costs incurred as related to the research and development activities for each individual program and the costs expected to be incurred in the future to satisfy that individual performance obligation. The transfer of control occurs over this time period and, in management’s judgment, is the best measure of progress towards satisfying each performance obligation. Milestone and reimbursement consideration added to the transaction price will be recognized as revenue with a cumulative catch-up upon becoming unconstrained.</w:t>
      </w:r>
    </w:p>
    <w:p>
      <w:pPr>
        <w:spacing w:after="0" w:line="22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With Sanofi's exercise of its full participation election under the agreement for Collaboration Target 1, the performance obligation associated with Collaboration Target 1 has been fully satisfied as of June 30, 2025. The performance obligation associated with Collaboration Target 2 has been fully satisfied.</w:t>
      </w:r>
    </w:p>
    <w:p>
      <w:pPr>
        <w:spacing w:after="0" w:line="20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three months ended June 30, 2025, the Company recognized $11.5 million in revenue under the Sanofi Agreement, all of which was associated with Collaboration Target 1. In the six months ended June 30, 2025, the Company recognized $33.6 million in revenue under the Sanofi Agreement, all of which was associated with Collaboration Target 1. In the three months ended June 30, 2024, the Company recognized $25.7 million in revenue under the Sanofi Agreement, all of which was associated with Collaboration Target 1. In the six months ended June 30, 2024, the Company recognized $35.9 million in revenue under the Sanofi Agreement, all of which was associated with Collaboration Target 1. Of the $33.6 million of revenue recognized in the six months ended June 30, 2025, $13.6 million was recognized from amounts that were recorded in deferred revenue as of December 31, 2024. The aggregate amount of the transaction price allocated to the Company’s unsatisfied performance obligations and recorded in deferred revenue at June 30, 2025 and December 31, 2024 is $0 and $13.6 million, respectively. This decrease was the result of on-going activity under the collaboration agreement as well as a $11.5 million cumulative catch-up to revenue related to the Company satisfying the performance obligation under Collaboration Target 1 that occurred during the three months ended June 30, 2025. During the six months ended June 30, 2025, the Company received $0.9 million in cost reimbursement payments.</w:t>
      </w:r>
    </w:p>
    <w:p>
      <w:pPr>
        <w:spacing w:after="0" w:line="232" w:lineRule="exact"/>
        <w:rPr>
          <w:sz w:val="20"/>
          <w:szCs w:val="20"/>
          <w:color w:val="auto"/>
        </w:rPr>
      </w:pPr>
    </w:p>
    <w:p>
      <w:pPr>
        <w:jc w:val="both"/>
        <w:ind w:firstLine="563"/>
        <w:spacing w:after="0" w:line="256" w:lineRule="auto"/>
        <w:rPr>
          <w:sz w:val="20"/>
          <w:szCs w:val="20"/>
          <w:color w:val="auto"/>
        </w:rPr>
      </w:pPr>
      <w:r>
        <w:rPr>
          <w:rFonts w:ascii="Times New Roman" w:cs="Times New Roman" w:eastAsia="Times New Roman" w:hAnsi="Times New Roman"/>
          <w:sz w:val="18"/>
          <w:szCs w:val="18"/>
          <w:color w:val="auto"/>
        </w:rPr>
        <w:t>In the fourth quarter of 2023, the Company achieved two development milestones relating to the dosing of the first patient in the KT-474 Phase 2 clinical trials for the first and second indications, respectively. In connection with these milestones the Company unconstrained $55.0 million of consideration in the fourth quarter of 2023. In the first quarter of 2025, the Company achieved a development milestone related to certain preclinical activities associated with the IRAK4 program. During the three and six month periods ended June 30, 2025, the Company recognized $3.7 million and $23.6 million of revenue from the unconstrained milestones, respectively. As of June 30, 2025, all of the $75.0 million of consideration has been recorded as revenue.</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Vertex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May 9, 2019 (the “Effective Date”), the Company entered into a collaboration agreement (the “Vertex Agreement”) with Vertex to advance small molecule protein degraders against up to six targets. Under the Vertex Agreement, Vertex had the exclusive option to license the rights to the product candidates developed for the designated targets at which point Vertex would control development and commercialization. Pursuant to the Vertex Agreement, the Company was only responsible for discovery and preclinical research on the targets, and Vertex was responsible for development, manufacturing, and commercialization of the product candidates after it exercises its option to license. The initial research term of the collaboration was four (4) years, extendable for an additional one (1) year period upon mutual agreement by the parties and payment by Vertex of certain per-target fees.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Vertex provided the Company with a non-refundable upfront payment of $50.0 million and purchased 3,059,695 shares of the Company’s Series B-1 Convertible Preferred Stock (the “Series B-1 Preferred Stock”) at $6.54 a share, pursuant to a separate, but simultaneously executed Share Purchase Agreement. The shares were purchased at a premium of $5.9 million, which was included in the transaction price and will be recognized as revenue over the period of performance. As a result of this purchase, Vertex was considered a related party. Vertex is no longer considered a related party.</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was eligible to receive up to $170.0 million in payments per target, including development, regulatory and commercial milestones as well as option exercise payments. In addition, Vertex was obligated to pay the Company tiered royalties 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future net sales on any products that may result from the Vertex Agreement. None of the payments under the Vertex Agreement are refundable. The Company may also perform follow-on research for an optioned target upon Vertex’s request and at Vertex’s expense.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term of the Vertex Agreement began on the Effective Date and expired upon the completion of the initial research term on May 9, 2023.</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analyzed the joint research activities required under the Vertex Agreement and concluded that the arrangement was indicative of a vendor-customer relationship and would be accounted for under ASC 606.</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identified the following material promises under the arrangement: (1) the non-exclusive, royalty-free research license; (2) the research and development services to be performed on up to six targets; and (3) the option to license each of the targets for development, manufacturing, and commercialization efforts. The research and development services were determined not to be distinct from the research and development license and have been combined into a single performance obligation. The Company determined that the option to license the targets in the future was not priced at a discount, and that the option exercise fee for each target is at or above the standalone selling price for research at this stage of development; as such, the options and the underlying licenses are excluded from the performance obligation and the option exercise fees are excluded from the transaction price until the underlying option is exercised.</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part of its evaluation of constraining the research and development milestones, the Company considered numerous factors, including the fact that the achievement of the research and development milestones is contingent upon the results of the underlying research and development activities and is thus outside of the control of the Company.</w:t>
      </w:r>
    </w:p>
    <w:p>
      <w:pPr>
        <w:spacing w:after="0" w:line="176"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8"/>
          <w:szCs w:val="18"/>
          <w:color w:val="auto"/>
        </w:rPr>
        <w:t>At the commencement of the arrangement, two units of accounting were identified: the issuance of 3,059,695 shares of the Series B-1 Preferred Stock and the research activities the Company will perform over the Research Term. The Company determined the total transaction price to be $55.9 million, which consists of $5.9 million attributed to the premium from the shares of Series B-1 Preferred Stock sold to Vertex and the $50.0 million upfront payment. To determine the fair value of the Series B-1 Preferred Stock issued to Vertex, the Company performed a valuation of the shares of the Company’s common and preferred stock, which took into consideration recent financings, and the Company’s recent development and future exit strategies, as well as a discount for lack of marketability.</w:t>
      </w:r>
    </w:p>
    <w:p>
      <w:pPr>
        <w:spacing w:after="0" w:line="187" w:lineRule="exact"/>
        <w:rPr>
          <w:sz w:val="20"/>
          <w:szCs w:val="20"/>
          <w:color w:val="auto"/>
        </w:rPr>
      </w:pPr>
    </w:p>
    <w:p>
      <w:pPr>
        <w:jc w:val="both"/>
        <w:ind w:firstLine="515"/>
        <w:spacing w:after="0" w:line="254" w:lineRule="auto"/>
        <w:rPr>
          <w:sz w:val="20"/>
          <w:szCs w:val="20"/>
          <w:color w:val="auto"/>
        </w:rPr>
      </w:pPr>
      <w:r>
        <w:rPr>
          <w:rFonts w:ascii="Times New Roman" w:cs="Times New Roman" w:eastAsia="Times New Roman" w:hAnsi="Times New Roman"/>
          <w:sz w:val="18"/>
          <w:szCs w:val="18"/>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Vertex collaboration agreement expired upon completion of the initial research term in May of 2023. Accordingly, the Company fully satisfied its performance obligation and recognized all remaining deferred revenue associated with the Vertex collaboration in May 2023. There was no revenue recognized during the three and six months ended June 30, 2025 and 2024. There were no unsatisfied performance obligations as of June 30, 2025. The aggregate amount of the transaction price allocated to the Company’s unsatisfied performance obligation and recorded in deferred revenue is $0 at both June 30, 2025 and December 31, 2024.</w:t>
      </w:r>
    </w:p>
    <w:p>
      <w:pPr>
        <w:spacing w:after="0" w:line="19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accounts receivable, contract assets and contract liabilities for the six months ended June 30, 2025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20" w:type="dxa"/>
            <w:vAlign w:val="bottom"/>
          </w:tcPr>
          <w:p>
            <w:pPr>
              <w:spacing w:after="0"/>
              <w:rPr>
                <w:sz w:val="13"/>
                <w:szCs w:val="13"/>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and contract assets:</w:t>
            </w:r>
          </w:p>
        </w:tc>
        <w:tc>
          <w:tcPr>
            <w:tcW w:w="5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Billed receivables - Sanofi</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20,947</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(20,947)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Unbilled receivables - Sanofi</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(20,947)</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Billed receivables - Gilead</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accounts receivable and contract assets</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80,947</w:t>
            </w: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(41,894)</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Contract liabilities:</w:t>
            </w:r>
          </w:p>
        </w:tc>
        <w:tc>
          <w:tcPr>
            <w:tcW w:w="5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4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 Sanofi</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(33,576)</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Gilead</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(33,576)</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71"/>
        </w:trPr>
        <w:tc>
          <w:tcPr>
            <w:tcW w:w="3800" w:type="dxa"/>
            <w:vAlign w:val="bottom"/>
            <w:tcBorders>
              <w:top w:val="single" w:sz="8" w:color="CFF0FC"/>
            </w:tcBorders>
          </w:tcPr>
          <w:p>
            <w:pPr>
              <w:spacing w:after="0"/>
              <w:rPr>
                <w:sz w:val="24"/>
                <w:szCs w:val="24"/>
                <w:color w:val="auto"/>
              </w:rPr>
            </w:pPr>
          </w:p>
        </w:tc>
        <w:tc>
          <w:tcPr>
            <w:tcW w:w="5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-1670685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-1653540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-1670685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-1653540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-1670685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-1653540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-1087755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-1071245</wp:posOffset>
            </wp:positionV>
            <wp:extent cx="768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-1087755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-1071245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-1087755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-1071245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June 30, 2025 and December 31, 2024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and office equipment under finance right-of-use asset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Furniture &amp; fixtures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44,172</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44,010</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Assets not yet in service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68,778</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66,530</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(16,073)</w:t>
            </w:r>
          </w:p>
        </w:tc>
      </w:tr>
      <w:tr>
        <w:trPr>
          <w:trHeight w:val="249"/>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48,572</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50,457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514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June 30, 2025 and 2024 was $1.7 million and $1.9 million, respectively. Depreciation expense for the six months ended June 30, 2025 and 2024 was $3.3 million and $3.4 million, respectively.</w:t>
      </w:r>
    </w:p>
    <w:p>
      <w:pPr>
        <w:spacing w:after="0" w:line="162" w:lineRule="exact"/>
        <w:rPr>
          <w:sz w:val="20"/>
          <w:szCs w:val="20"/>
          <w:color w:val="auto"/>
        </w:rPr>
      </w:pPr>
    </w:p>
    <w:p>
      <w:pPr>
        <w:ind w:right="320" w:firstLine="450"/>
        <w:spacing w:after="0" w:line="282" w:lineRule="auto"/>
        <w:rPr>
          <w:sz w:val="20"/>
          <w:szCs w:val="20"/>
          <w:color w:val="auto"/>
        </w:rPr>
      </w:pPr>
      <w:r>
        <w:rPr>
          <w:rFonts w:ascii="Times New Roman" w:cs="Times New Roman" w:eastAsia="Times New Roman" w:hAnsi="Times New Roman"/>
          <w:sz w:val="18"/>
          <w:szCs w:val="18"/>
          <w:color w:val="auto"/>
        </w:rPr>
        <w:t>Included in property and equipment is lab and office equipment right-of-use assets under finance leases with a cost basis of $8.8 million and $7.8 million and accumulated amortization expense of $4.8 million and $3.8 million as of June 30, 2025 and December 31, 2024, respectively.</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Amortization expense related to right-of-use assets during the three months ended June 30, 2025 and 2024 was $0.4 million and $0.4 million, respectively. Amortization expense related to right-of-use assets during the six months ended June 30, 2025 and 2024 was $0.7 million and $0.8 million, respectively.</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October 2019, the Company entered into a noncancelable facility lease agreement (the “2019 Lease”) for 34,522 square feet of research and development and office space in Watertown, Massachusetts. The term of the 2019 Lease is 120 months and expires on March 31, 2030. The 2019 Lease has an option to be extended for an additional five years. The lease is not reasonably certain to be extended and as such the additional term is not included in the measurement of the lease. The 2019 Lease includes a rent escalation clause, and rent expense is being recorded on a straight-line basis. In accordance with the lease agreement, the Company is required to maintain a security deposit and provided a letter of credit to the landlord, which is recorded in restricted cash as of June 30, 2025 and December 31, 2024. The letter of credit totaled $1.3 million and $1.3 million as of June 30, 2025 and December 31, 2024, respectively.</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2021, the Company entered into a noncancelable lease (the “2021 Lease”) for 100,624 square feet of office and laboratory space in Watertown, Massachusetts, which the Company began occupying in February 2024. The 2021 Lease is subject to base rent of $0.8 million per month beginning two months after the commencement date, plus the Company’s ratable share of taxes, maintenance and other operating expenses. Base rent is subject to a 3% annual increase over the lease term of approximately 134 months following the commencement date. The Company also has two consecutive options to extend the term of the lease for five years each at then-market rates. The 2021 Lease also includes a tenant improvement allowance of approximately $20.1 million. In connection with the signing of the 2021 Lease, the Company issued a letter of credit for $4.5 million which is classified as restricted cash as of June 30, 2025 and December 31, 2024.</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2021 Lease required the landlord to build-out the base building prior to the construction of the Company’s premises. The Company concluded the accounting commencement date occurred when the landlord completed the build-out of the base building and control passed to the Company, which occurred in early January 2023. The Company assessed the classification of the 2021 Lease at the accounting commencement date and concluded the lease should be accounted for as an operating lease. The Company recorded an operating lease liability of $48.9 million, measured as the present value of the remaining lease payments discounted using the incremental borrowing rate as of the accounting commencement date. The Company recorded an operating lease right-of-use asset of $48.9 million, measured as the present value of the remaining lease payments, net of the tenant incentives.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concluded the improvements paid for by the landlord in connection with the tenant improvement allowance represent lessee assets and therefore recorded $20.1 million of leasehold improvements in property and equipment. The Company recorded an additional $17.9 million of leasehold improvements in excess of the tenant improvement allowance, all of which were placed in service in 2024.</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Upon occupancy of the 2021 Lease facility in February of 2024, the Company exited the 2019 Lease facility and is actively looking to sublease the entire facility for the remaining noncancellable lease term through March 31, 2030. These actions resulted in an impairment charge of $4.9 million in the three months ended March 31, 2024. The Company continues to evaluate the potential recovery of the ROU asset under sublease scenarios, and thus it is possible that additional impairments could be identified in future periods, and such amounts could be material.</w:t>
      </w:r>
    </w:p>
    <w:p>
      <w:pPr>
        <w:spacing w:after="0" w:line="180"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impairment charge reduces the carrying value of the associated ROU asset, leasehold improvements and certain furniture and fixture assets that remained in the facility to their estimated fair values. The fair values are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finance lease obligations consist of certain property and equipment financed through finance leases.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lease costs for the three and six months ended June 30, 2025 and 2024, were as follows (in thousands):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28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r>
      <w:tr>
        <w:trPr>
          <w:trHeight w:val="20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800" w:type="dxa"/>
            <w:vAlign w:val="bottom"/>
            <w:shd w:val="clear" w:color="auto" w:fill="CFF0FC"/>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2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7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Amortization of right-to-use assets, finance leases</w:t>
            </w: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 for finance lease liabilities</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r>
      <w:tr>
        <w:trPr>
          <w:trHeight w:val="216"/>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8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2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800" w:type="dxa"/>
            <w:vAlign w:val="bottom"/>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2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10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-170815</wp:posOffset>
            </wp:positionV>
            <wp:extent cx="60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-170815</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-170815</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relating to the Company’s leases for the six months ended June 30, 2025 and 2024, were as follows (in thousands):</w:t>
      </w:r>
    </w:p>
    <w:p>
      <w:pPr>
        <w:spacing w:after="0" w:line="182"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700" w:type="dxa"/>
        <w:tblCellMar>
          <w:top w:w="0" w:type="dxa"/>
          <w:left w:w="0" w:type="dxa"/>
          <w:bottom w:w="0" w:type="dxa"/>
          <w:right w:w="0" w:type="dxa"/>
        </w:tblCellMar>
      </w:tblPr>
      <w:tr>
        <w:trPr>
          <w:trHeight w:val="142"/>
        </w:trPr>
        <w:tc>
          <w:tcPr>
            <w:tcW w:w="47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91"/>
        </w:trPr>
        <w:tc>
          <w:tcPr>
            <w:tcW w:w="47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 measurement</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4"/>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lease liabilities:</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16"/>
        </w:trPr>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shd w:val="clear" w:color="auto" w:fill="CFF0FC"/>
          </w:tcPr>
          <w:p>
            <w:pPr>
              <w:spacing w:after="0"/>
              <w:rPr>
                <w:sz w:val="18"/>
                <w:szCs w:val="18"/>
                <w:color w:val="auto"/>
              </w:rPr>
            </w:pPr>
          </w:p>
        </w:tc>
      </w:tr>
      <w:tr>
        <w:trPr>
          <w:trHeight w:val="234"/>
        </w:trPr>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0"/>
                <w:szCs w:val="20"/>
                <w:color w:val="auto"/>
              </w:rPr>
            </w:pP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Weighted average remaining lease terms and discount rates as of June 30, 2025 and 2024 were as follows:</w:t>
      </w:r>
    </w:p>
    <w:p>
      <w:pPr>
        <w:spacing w:after="0" w:line="219"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44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17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0"/>
        </w:trPr>
        <w:tc>
          <w:tcPr>
            <w:tcW w:w="1700" w:type="dxa"/>
            <w:vAlign w:val="bottom"/>
          </w:tcPr>
          <w:p>
            <w:pPr>
              <w:spacing w:after="0"/>
              <w:rPr>
                <w:sz w:val="18"/>
                <w:szCs w:val="18"/>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lease term:</w:t>
            </w:r>
          </w:p>
        </w:tc>
        <w:tc>
          <w:tcPr>
            <w:tcW w:w="19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w:t>
            </w:r>
          </w:p>
        </w:tc>
        <w:tc>
          <w:tcPr>
            <w:tcW w:w="19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9.08 years</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10.03 years</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Finance lease</w:t>
            </w:r>
          </w:p>
        </w:tc>
        <w:tc>
          <w:tcPr>
            <w:tcW w:w="19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2.47 years</w:t>
            </w: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2.27 years</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w:t>
            </w:r>
          </w:p>
        </w:tc>
        <w:tc>
          <w:tcPr>
            <w:tcW w:w="36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8.71%</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8.73%</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lease</w:t>
            </w:r>
          </w:p>
        </w:tc>
        <w:tc>
          <w:tcPr>
            <w:tcW w:w="3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8.75%</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8.14%</w:t>
            </w:r>
          </w:p>
        </w:tc>
        <w:tc>
          <w:tcPr>
            <w:tcW w:w="1680" w:type="dxa"/>
            <w:vAlign w:val="bottom"/>
          </w:tcPr>
          <w:p>
            <w:pPr>
              <w:spacing w:after="0"/>
              <w:rPr>
                <w:sz w:val="20"/>
                <w:szCs w:val="20"/>
                <w:color w:val="auto"/>
              </w:rPr>
            </w:pPr>
          </w:p>
        </w:tc>
      </w:tr>
      <w:tr>
        <w:trPr>
          <w:trHeight w:val="630"/>
        </w:trPr>
        <w:tc>
          <w:tcPr>
            <w:tcW w:w="17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9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16</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color w:val="auto"/>
        </w:rPr>
        <w:t>The undiscounted future lease payments for operating and finance leases as of June 30, 2025, were as follows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60" w:type="dxa"/>
            <w:vAlign w:val="bottom"/>
          </w:tcPr>
          <w:p>
            <w:pPr>
              <w:spacing w:after="0"/>
              <w:rPr>
                <w:sz w:val="13"/>
                <w:szCs w:val="13"/>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3"/>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5"/>
                <w:szCs w:val="15"/>
                <w:color w:val="auto"/>
              </w:rPr>
            </w:pP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60" w:type="dxa"/>
            <w:vAlign w:val="bottom"/>
          </w:tcPr>
          <w:p>
            <w:pPr>
              <w:spacing w:after="0"/>
              <w:rPr>
                <w:sz w:val="15"/>
                <w:szCs w:val="15"/>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(excluding the first half)</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4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4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118,947</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amounts representing interest or imputed interest</w:t>
            </w: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(37,346)</w:t>
            </w: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81,601</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as of June 30, 2025 and December 31, 2024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0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16,670</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17,801</w:t>
            </w:r>
          </w:p>
        </w:tc>
        <w:tc>
          <w:tcPr>
            <w:tcW w:w="80" w:type="dxa"/>
            <w:vAlign w:val="bottom"/>
            <w:shd w:val="clear" w:color="auto" w:fill="CFF0FC"/>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Payroll and payroll-related</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80" w:type="dxa"/>
            <w:vAlign w:val="bottom"/>
          </w:tcPr>
          <w:p>
            <w:pPr>
              <w:spacing w:after="0"/>
              <w:rPr>
                <w:sz w:val="18"/>
                <w:szCs w:val="18"/>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80" w:type="dxa"/>
            <w:vAlign w:val="bottom"/>
            <w:shd w:val="clear" w:color="auto" w:fill="CFF0FC"/>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8"/>
                <w:szCs w:val="18"/>
                <w:color w:val="auto"/>
              </w:rPr>
            </w:pPr>
          </w:p>
        </w:tc>
      </w:tr>
      <w:tr>
        <w:trPr>
          <w:trHeight w:val="20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27,976</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34,867</w:t>
            </w:r>
          </w:p>
        </w:tc>
        <w:tc>
          <w:tcPr>
            <w:tcW w:w="80" w:type="dxa"/>
            <w:vAlign w:val="bottom"/>
            <w:shd w:val="clear" w:color="auto" w:fill="CFF0FC"/>
          </w:tcPr>
          <w:p>
            <w:pPr>
              <w:spacing w:after="0"/>
              <w:rPr>
                <w:sz w:val="18"/>
                <w:szCs w:val="18"/>
                <w:color w:val="auto"/>
              </w:rPr>
            </w:pPr>
          </w:p>
        </w:tc>
      </w:tr>
      <w:tr>
        <w:trPr>
          <w:trHeight w:val="20"/>
        </w:trPr>
        <w:tc>
          <w:tcPr>
            <w:tcW w:w="36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-8255</wp:posOffset>
            </wp:positionV>
            <wp:extent cx="431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520" w:right="8000" w:hanging="512"/>
        <w:spacing w:after="0" w:line="378" w:lineRule="auto"/>
        <w:tabs>
          <w:tab w:leader="none" w:pos="19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Commitments and Contingencies </w:t>
      </w:r>
      <w:r>
        <w:rPr>
          <w:rFonts w:ascii="Times New Roman" w:cs="Times New Roman" w:eastAsia="Times New Roman" w:hAnsi="Times New Roman"/>
          <w:sz w:val="18"/>
          <w:szCs w:val="18"/>
          <w:b w:val="1"/>
          <w:bCs w:val="1"/>
          <w:i w:val="1"/>
          <w:iCs w:val="1"/>
          <w:color w:val="auto"/>
        </w:rPr>
        <w:t>Legal Proceedings</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legal proceedings.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Arrangements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permitted under Delaware law, the Company has agreements whereby it indemnifies its investors, employees, officers, and directors (collectively, the “Indemnified Parties”) for certain events or occurrences while the Indemnified Parties are, or were serving, at its request in such capacity. The term of the indemnification period is for the Indemnified Parties’ lifetime. The Company believes the estimated fair value of these indemnification agreements is minimal. The Company enters into standard indemnification agreements in the ordinary course of business. Pursuant to these agreements, the Company indemnifies, holds harmless, and agrees to reimburse the indemnified party for losses suffered or incurred by the indemnified party, generally the Company’s business partners or customers, in connection with any U.S. patent or any copyright or other intellectual property infringement claim by any third party with respect to the Company’s products. The maximum potential amount of future payments the Company could be required to make under these indemnification agreements is unlimited. The Company is not aware of any claims under indemnification arrangements, and it has not accrued any liabilities related to such obligations as of June 30, 2025 or December 31, 2024.</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2018 Stock Option and Grant Plan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2018, the Company adopted, and its stockholders approved, the 2018 Stock Option and Grant Plan (the “2018 Plan”), which provides for the granting of stock options and other equity-based awards at the discretion of the Board of Directors or any subcommittee of the Board of Directors to the Company’s employees, officers, directors, and independent contractors. No further grants will be made under the 2018 Plan. However, the 2018 Plan will continue to govern outstanding equity awards granted thereunder. To the extent outstanding options granted under the 2018 Plan are cancelled, forfeited or otherwise terminated without being exercised and would otherwise have been returned to the share reserve under the 2018 Plan, the number of shares underlying such awards will be available for future grant under the 2020 Stock Option and Incentive Plan.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Stock Option and Incentive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Stock Option and Incentive Plan (the “2020 Plan”), which became effective on August 20, 2020. The 2020 Plan replaced the 2018 Plan as the Company’s Board of Directors has determined not to make additional awards under the 2018 Plan following the closing of the Company’s IPO. The 2020 Plan allows the Company to make equity-based and cash-based incentive awards to its officers, employees, directors and consultants. The Company initially reserved 4,457,370 shares of its common stock for the issuance of awards under the 2020 Plan, which includes the shares of common stock remaining available for issuance under its 2018 Plan as of the business day immediately prior to the effective date of the registration statement. The 2020 Plan provides that the number of shares reserved and available for issuance will automatically increase on January 1, 2021 and each January 1 thereafter, by 4% of the Company’s outstanding number of shares of common stock on the immediately preceding December 31, or such lesser number of shares as determined by the Company’s compensation committee. These limits are subject to adjustment in the event of a stock split, stock dividend or other change in the Company’s capitalization. In June 2024, in connection with the Company's 2024 annual shareholder meeting, shareholders approved an amendment to the 2020 stock option plan that redefined the definition of common stock outstanding for the purposes of calculating the annual increase to the shares available for issuance. After the amendment, outstanding equity includes all outstanding common shares as well as outstanding pre-funded warrants. As of June 30, 2025, there were an aggregate of 4,147,079 shares remaining available for future grants.</w:t>
      </w:r>
    </w:p>
    <w:p>
      <w:pPr>
        <w:spacing w:after="0" w:line="3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Employee Stock Purchase Plan (the “2020 ESPP”), which became effective August 20, 2020. The 2020 ESPP initially reserved and authorized the issuance of up to a total of 445,653 shares of common stock to participating employees. The 2020 ESPP provides that the number of shares reserved and available for issuance will automatically increase on January 1, 2021 and each January 1 thereafter through January 1, 2030, by the lesser of (i) 438,898 shares of common stock, (ii) 1% of the Company’s outstanding number of shares of common stock on the immediately preceding December 31 or (iii) such lesser number of shares of common stock as determined by the administrator of the 2020 ESPP. The number of shares reserved under the 2020 ESPP is subject to adjustment in the event of a stock split, stock dividend or other change in the Company’s capitalization. As of June 30, 2025, there were an aggregate 2,318,998 shares remaining available for future grants.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under the 2020 Plan for service and performance based vesting conditions during the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is as follows (in thousands except share and per share data):</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0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Strike</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0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9,447,790</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4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2,152,339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(353,738)</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(291,410)</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80" w:type="dxa"/>
            <w:vAlign w:val="bottom"/>
            <w:tcBorders>
              <w:top w:val="single" w:sz="8" w:color="CFF0FC"/>
              <w:bottom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Outstanding at June 30, 2025</w:t>
            </w:r>
          </w:p>
        </w:tc>
        <w:tc>
          <w:tcPr>
            <w:tcW w:w="130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10,954,981</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32.66</w:t>
            </w:r>
          </w:p>
        </w:tc>
        <w:tc>
          <w:tcPr>
            <w:tcW w:w="1480" w:type="dxa"/>
            <w:vAlign w:val="bottom"/>
            <w:tcBorders>
              <w:top w:val="single" w:sz="8" w:color="CFF0FC"/>
              <w:bottom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7.42</w:t>
            </w:r>
          </w:p>
        </w:tc>
        <w:tc>
          <w:tcPr>
            <w:tcW w:w="420" w:type="dxa"/>
            <w:vAlign w:val="bottom"/>
            <w:tcBorders>
              <w:top w:val="single" w:sz="8" w:color="CFF0FC"/>
              <w:bottom w:val="single" w:sz="8" w:color="CFF0FC"/>
            </w:tcBorders>
            <w:gridSpan w:val="2"/>
            <w:shd w:val="clear" w:color="auto" w:fill="CFF0FC"/>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FF0FC"/>
              <w:bottom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134,246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June 30,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6,905,441</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-730885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-730885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-156845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4827270</wp:posOffset>
            </wp:positionH>
            <wp:positionV relativeFrom="paragraph">
              <wp:posOffset>-314960</wp:posOffset>
            </wp:positionV>
            <wp:extent cx="85725" cy="1797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intrinsic value of stock options exercised during the three months ended June 30, 2025 and 2024 was $5.3 million and $1.8 million, respectively. The intrinsic value of stock options exercised during the six months ended June 30, 2025 and 2024 was $7.4 million and $8.6 million, respectively.</w:t>
      </w:r>
    </w:p>
    <w:p>
      <w:pPr>
        <w:spacing w:after="0" w:line="10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options granted during the three months ended June 30, 2025 and 2024 was $25.46 and $19.28 respectively. The weighted-average fair value of options granted during the six months ended June 30, 2025 and 2024 was $21.80 and $25.92 respectively.</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the total unrecognized stock-based compensation expense for unvested stock options was $84.5 million, with a weighted average recognition period of 2.1 years.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the Company began granting performance stock options, or PSOs, under the Company’s 2020 Stock Option and Incentive Plan to certain key employees of the Company, including the Company’s executive officers and management team. The total number of PSOs that may vest will range from 0 to a maximum of 100% of the target number of options granted.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jc w:val="both"/>
        <w:spacing w:after="0" w:line="255" w:lineRule="auto"/>
        <w:rPr>
          <w:sz w:val="20"/>
          <w:szCs w:val="20"/>
          <w:color w:val="auto"/>
        </w:rPr>
      </w:pPr>
      <w:r>
        <w:rPr>
          <w:rFonts w:ascii="Times New Roman" w:cs="Times New Roman" w:eastAsia="Times New Roman" w:hAnsi="Times New Roman"/>
          <w:sz w:val="18"/>
          <w:szCs w:val="18"/>
          <w:color w:val="auto"/>
        </w:rPr>
        <w:t>PSOs will vest in three separate installments based upon the achievement of three clinical milestones. The achievement of one clinical milestone will result in the vesting of 40% of the Target Amount, the achievement of a second clinical milestone will result in the vesting of 40% of the Target Amount and the achievement of third clinical milestones will result in the vesting of 20% of the Target Amount. None of the PSOs with respect to the clinical milestone objective may vest prior to the first anniversary of the grant date. During the 6 months ended June 30, 2025, the Company granted 88,000 PSOs with a weighted average strike price of $30.17. As of June 30, 2025 there are 88,000 PSOs outstanding with a weighted average strike price of $30.17. As of June 30, 2025 the Company has concluded that it is not deemed probable that the clinical milestone based performance conditions will be achieved, and as such, no stock based compensation has been recorded for PSOs.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outlines our equity-based compensation expense for stock options for the three and six months ended June 30, 2025 and 2024:</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11,628</w:t>
            </w:r>
          </w:p>
        </w:tc>
        <w:tc>
          <w:tcPr>
            <w:tcW w:w="100" w:type="dxa"/>
            <w:vAlign w:val="bottom"/>
          </w:tcPr>
          <w:p>
            <w:pPr>
              <w:spacing w:after="0"/>
              <w:rPr>
                <w:sz w:val="18"/>
                <w:szCs w:val="18"/>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23,961</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22,603</w:t>
            </w:r>
          </w:p>
        </w:tc>
        <w:tc>
          <w:tcPr>
            <w:tcW w:w="100" w:type="dxa"/>
            <w:vAlign w:val="bottom"/>
            <w:shd w:val="clear" w:color="auto" w:fill="CFF0FC"/>
          </w:tcPr>
          <w:p>
            <w:pPr>
              <w:spacing w:after="0"/>
              <w:rPr>
                <w:sz w:val="18"/>
                <w:szCs w:val="18"/>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-7620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assumptions that the Company used in the Black-Scholes option pricing model to determine the grant date fair value of stock options granted to employees and non-employees for the three and six months ended June 30, 2025 and 2024 were as follows:</w:t>
      </w:r>
    </w:p>
    <w:p>
      <w:pPr>
        <w:spacing w:after="0" w:line="7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120" w:type="dxa"/>
            <w:vAlign w:val="bottom"/>
            <w:gridSpan w:val="3"/>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60" w:type="dxa"/>
            <w:vAlign w:val="bottom"/>
            <w:gridSpan w:val="3"/>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3780" w:type="dxa"/>
            <w:vAlign w:val="bottom"/>
          </w:tcPr>
          <w:p>
            <w:pPr>
              <w:spacing w:after="0"/>
              <w:rPr>
                <w:sz w:val="15"/>
                <w:szCs w:val="15"/>
                <w:color w:val="auto"/>
              </w:rPr>
            </w:pPr>
          </w:p>
        </w:tc>
        <w:tc>
          <w:tcPr>
            <w:tcW w:w="2120" w:type="dxa"/>
            <w:vAlign w:val="bottom"/>
            <w:tcBorders>
              <w:bottom w:val="single" w:sz="8" w:color="auto"/>
            </w:tcBorders>
            <w:gridSpan w:val="3"/>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tcBorders>
              <w:bottom w:val="single" w:sz="8" w:color="auto"/>
            </w:tcBorders>
            <w:gridSpan w:val="3"/>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780" w:type="dxa"/>
            <w:vAlign w:val="bottom"/>
          </w:tcPr>
          <w:p>
            <w:pPr>
              <w:spacing w:after="0"/>
              <w:rPr>
                <w:sz w:val="12"/>
                <w:szCs w:val="12"/>
                <w:color w:val="auto"/>
              </w:rPr>
            </w:pPr>
          </w:p>
        </w:tc>
        <w:tc>
          <w:tcPr>
            <w:tcW w:w="1340" w:type="dxa"/>
            <w:vAlign w:val="bottom"/>
            <w:tcBorders>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2"/>
                <w:szCs w:val="12"/>
                <w:color w:val="auto"/>
              </w:rPr>
            </w:pPr>
          </w:p>
        </w:tc>
        <w:tc>
          <w:tcPr>
            <w:tcW w:w="1340" w:type="dxa"/>
            <w:vAlign w:val="bottom"/>
            <w:tcBorders>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0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8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5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3.97%</w:t>
            </w:r>
          </w:p>
        </w:tc>
        <w:tc>
          <w:tcPr>
            <w:tcW w:w="5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4.25%</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3.99%</w:t>
            </w:r>
          </w:p>
        </w:tc>
        <w:tc>
          <w:tcPr>
            <w:tcW w:w="4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4.14%</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5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4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granted shares of restricted stock units with service-based and performance-based vesting conditions. A summary of restricted stock activity during the six months ended June 30, 2025 is as follows:</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48"/>
        </w:trPr>
        <w:tc>
          <w:tcPr>
            <w:tcW w:w="536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3"/>
        </w:trPr>
        <w:tc>
          <w:tcPr>
            <w:tcW w:w="536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749,604</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(224,882)</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(54,544)</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80" w:type="dxa"/>
            <w:vAlign w:val="bottom"/>
          </w:tcPr>
          <w:p>
            <w:pPr>
              <w:spacing w:after="0"/>
              <w:rPr>
                <w:sz w:val="18"/>
                <w:szCs w:val="18"/>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June 30, 2025</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1,275,001</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-573405</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-573405</wp:posOffset>
            </wp:positionV>
            <wp:extent cx="431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first quarter of 2025, the Company began granting restricted stocks units with performance-based vesting conditions, or performance stock units ("PSUs") under the Company’s 2020 Stock Option and Incentive Plan to certain key employees of the Company, including the Company’s executive officers and management team. The total number of PSUs that may vest will range from 0 to a maximum of 100% of the target number of options granted. The PSUs will vest in three separate installments based upon the achievement of three clinical milestones. The achievement of one clinical milestone will result in the vesting of 40% of the Target Amount, the achievement of a second clinical milestone will result in the vesting of 40% of the Target Amount and the achievement of third clinical milestones will result in the vesting of 20% of the Target Amount. None of the PSUs with respect to the clinical milestone objective may vest prior to the first anniversary of the grant date.</w:t>
      </w:r>
    </w:p>
    <w:p>
      <w:pPr>
        <w:spacing w:after="0" w:line="18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 did not grant any restricted stock units with performance based vesting conditions. During the six months ended June 30, 2025 and 2024, the Company granted 285,723 and zero restricted stock units, respectively with performance based vesting conditions. As of June 30, 2025, the Company has concluded that it is not deemed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probable that the clinical milestone based performance conditions will be achieved, and as such, no stock based compensation has been recorded for PSUs.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 granted 191,300 and 12,150 restricted stock units, respectively, with service based vesting conditions. During the six months ended June 30, 2025 and 2024, the Company granted 519,100 and 243,984 restricted stock units, respectively with service based vesting conditions. As of June 30, 2025, the total unrecognized stock-based compensation expense for unvested restricted stock was $25.9 million with a weighted average recognition period of 2.5 years.</w:t>
      </w:r>
    </w:p>
    <w:p>
      <w:pPr>
        <w:spacing w:after="0" w:line="11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30, 2025 the Company recognized approximately $2.8 million of expense for restricted stock of which $1.9 million and $0.9 million was recorded in research and development and general and administrative expense, respectively. During the six months ended June 30, 2025 the Company recognized approximately $5.2 million of expense for restricted stock of which $3.5 million and $1.7 million was recorded in research and development and general and administrative expense, respectively. During the three months ended June 30, 2024 the Company recognized approximately $1.9 million of expense for restricted stock of which $1.2 million and $0.7 million was recorded in research and development and general and administrative expense, respectively. During the six months ended June 30, 2024 the Company recognized approximately $3.3 million of expense for restricted stock of which $2.1 million and $1.2 million was recorded in research and development and general and administrative expense, respectively.</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Total equity-based compensation expense recorded as research and development and general and administrative expenses for employees, directors, and non-employees during the three and six months ended June 30, 2025 and 2024 is as follows (in thousands):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13,340</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14,066</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12,969</w:t>
            </w:r>
          </w:p>
        </w:tc>
        <w:tc>
          <w:tcPr>
            <w:tcW w:w="100" w:type="dxa"/>
            <w:vAlign w:val="bottom"/>
          </w:tcPr>
          <w:p>
            <w:pPr>
              <w:spacing w:after="0"/>
              <w:rPr>
                <w:sz w:val="18"/>
                <w:szCs w:val="18"/>
                <w:color w:val="auto"/>
              </w:rPr>
            </w:pPr>
          </w:p>
        </w:tc>
      </w:tr>
      <w:tr>
        <w:trPr>
          <w:trHeight w:val="20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29,649</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26,309</w:t>
            </w:r>
          </w:p>
        </w:tc>
        <w:tc>
          <w:tcPr>
            <w:tcW w:w="100" w:type="dxa"/>
            <w:vAlign w:val="bottom"/>
            <w:shd w:val="clear" w:color="auto" w:fill="CFF0FC"/>
          </w:tcPr>
          <w:p>
            <w:pPr>
              <w:spacing w:after="0"/>
              <w:rPr>
                <w:sz w:val="18"/>
                <w:szCs w:val="18"/>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-7620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Related-Party Transactions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2025 Follow-on offering</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Company’s follow-on public offering completed on June 30, 2025, Jefferies LLC (“Jefferies”) acted as one of the underwriters in the syndicate of underwriters. John Maraganore is a member of the Company’s Board of Directors and is affiliated with Jefferies. In connection with its participation in the offering, Jefferies received customary underwriting discounts and commissions. The total underwriting commission paid to Jefferies through June 30, 2025 was approximately $2.1 million.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Concurrently with the June 2025 follow-on offering, the Company entered into a registration rights agreement (the “Registration Rights Agreement”) with Baker Brothers Life Sciences, L.P. and 667, L.P. (collectively, the “BBA Funds”), entities affiliated with Atlas Venture (“Atlas”) and entities affiliated with BVF Partners L.P. (“BVF” and, together with the BBA Funds and Atlas, the “Affiliated Entities”), all of which are considered related parties given their affiliation with certain members of the Company's Board of Directors.</w:t>
      </w:r>
    </w:p>
    <w:p>
      <w:pPr>
        <w:spacing w:after="0" w:line="9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Among other things, the Registration Rights Agreement provides the Affiliated Entities with certain “resale” registration rights. The Registration Rights Agreement provides that, subject to certain limitations, upon written request from the Affiliated Entities, beginning on February 28, 2026 the Company will be required to file a registration statement covering the resale of the registrable securities held by the Affiliated Entities. Furthermore, the Affiliated Entities will be entitled to include their registrable securities in a registration statement filed by the Company in connection with a public offering. The Registration Rights Agreement also requires the Company to pay certain expenses relating to such registrations and to indemnify the Affiliated Entities against certain liabilities.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Jefferies Open Market Sale Agreement</w:t>
      </w:r>
      <w:r>
        <w:rPr>
          <w:rFonts w:ascii="Times New Roman" w:cs="Times New Roman" w:eastAsia="Times New Roman" w:hAnsi="Times New Roman"/>
          <w:sz w:val="24"/>
          <w:szCs w:val="24"/>
          <w:i w:val="1"/>
          <w:iCs w:val="1"/>
          <w:color w:val="auto"/>
          <w:vertAlign w:val="superscript"/>
        </w:rPr>
        <w:t>SM</w:t>
      </w:r>
    </w:p>
    <w:p>
      <w:pPr>
        <w:spacing w:after="0" w:line="64"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On October 31, 2024, prior to Dr. Maraganore joining Jefferies,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“Jefferies Sales Agreement”) with Jefferies, pursuant to which the Company may offer and sell shares of its common stock having aggregate gross proceeds of up to $300.0 million from time to time in “at-the-market” offerings through Jefferies, as its sales agent. The Company agreed to pay Jefferies a commission of up to 3.0% of the gross proceeds of any shares sold by Jefferies under the Jefferies Sales Agreement. As of June 30, 2025, the Company has not sold any shares of its common stock under the Jefferies Sales Agreement.</w:t>
      </w:r>
    </w:p>
    <w:p>
      <w:pPr>
        <w:spacing w:after="0" w:line="9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than the aforementioned items, the Company had no related party transactions for the periods presented in the accompanying consolidated financial statements, which have not otherwise been discussed in these notes to the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Income taxes for the three and six months ended June 30, 2025 and 2024 have been calculated based on an estimated annual effective tax rate and certain discrete items. The Company recorded immaterial income tax expense related to investment income for the three and six months ended June 30, 2025 and 2024.</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never been examined by the Internal Revenue Service or any other jurisdiction for any tax years and, as such, all years within the applicable statutes of limitations are potentially subject to audit.</w:t>
      </w:r>
    </w:p>
    <w:p>
      <w:pPr>
        <w:spacing w:after="0" w:line="266" w:lineRule="exact"/>
        <w:rPr>
          <w:sz w:val="20"/>
          <w:szCs w:val="20"/>
          <w:color w:val="auto"/>
        </w:rPr>
      </w:pPr>
    </w:p>
    <w:p>
      <w:pPr>
        <w:ind w:left="520" w:right="9300" w:hanging="512"/>
        <w:spacing w:after="0" w:line="377" w:lineRule="auto"/>
        <w:tabs>
          <w:tab w:leader="none" w:pos="28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Loss per Share </w:t>
      </w:r>
      <w:r>
        <w:rPr>
          <w:rFonts w:ascii="Times New Roman" w:cs="Times New Roman" w:eastAsia="Times New Roman" w:hAnsi="Times New Roman"/>
          <w:sz w:val="18"/>
          <w:szCs w:val="18"/>
          <w:b w:val="1"/>
          <w:bCs w:val="1"/>
          <w:i w:val="1"/>
          <w:iCs w:val="1"/>
          <w:color w:val="auto"/>
        </w:rPr>
        <w:t>Net Loss per Share</w:t>
      </w:r>
    </w:p>
    <w:p>
      <w:pPr>
        <w:spacing w:after="0" w:line="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Basic and diluted loss per share is computed by dividing net loss by the weighted-average common stock outstanding for the period. The Company had 15,815,253 and 11,640,594 pre-funded warrants outstanding as of June 30, 2025 and 2024, respectively. Each pre-funded warrant is exercisable for one share of common stock at an exercise price of $0.0001 per share. Due to the nominal exercise price of the pre-funded warrants, they are considered to be outstanding shares of common stock for purposes of the calculation of earnings per share. (in thousands, except for share and per share data):</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(76,614)</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(42,062)</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(142,195)</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diluted</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65,282,527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61,418,804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65,135,585</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60,740,533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pre-funded warrants outstanding,</w:t>
            </w:r>
          </w:p>
        </w:tc>
        <w:tc>
          <w:tcPr>
            <w:tcW w:w="32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15,166,878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11,640,594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15,163,355</w:t>
            </w: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11,168,430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weighted average common stock outstanding,</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80,449,405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73,059,398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80,298,940</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71,908,963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(0.95)</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(0.58)</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-590550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-590550</wp:posOffset>
            </wp:positionV>
            <wp:extent cx="59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-590550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-590550</wp:posOffset>
            </wp:positionV>
            <wp:extent cx="59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-170815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-170815</wp:posOffset>
            </wp:positionV>
            <wp:extent cx="596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0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-170815</wp:posOffset>
            </wp:positionV>
            <wp:extent cx="596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from the computation of diluted net loss per share attributable to common stockholders at June 30, 2025 and 2024 because including them would have had an anti-dilutive effect:</w:t>
      </w:r>
    </w:p>
    <w:p>
      <w:pPr>
        <w:spacing w:after="0" w:line="204"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17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09"/>
        </w:trPr>
        <w:tc>
          <w:tcPr>
            <w:tcW w:w="170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3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1,275,001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636,585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1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10,954,981</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9,902,836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12,229,982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10,539,421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857"/>
        </w:trPr>
        <w:tc>
          <w:tcPr>
            <w:tcW w:w="1700" w:type="dxa"/>
            <w:vAlign w:val="bottom"/>
          </w:tcPr>
          <w:p>
            <w:pPr>
              <w:spacing w:after="0"/>
              <w:rPr>
                <w:sz w:val="24"/>
                <w:szCs w:val="24"/>
                <w:color w:val="auto"/>
              </w:rPr>
            </w:pPr>
          </w:p>
        </w:tc>
        <w:tc>
          <w:tcPr>
            <w:tcW w:w="3180" w:type="dxa"/>
            <w:vAlign w:val="bottom"/>
            <w:tcBorders>
              <w:top w:val="single" w:sz="8" w:color="CFF0FC"/>
            </w:tcBorders>
          </w:tcPr>
          <w:p>
            <w:pPr>
              <w:spacing w:after="0"/>
              <w:rPr>
                <w:sz w:val="24"/>
                <w:szCs w:val="24"/>
                <w:color w:val="auto"/>
              </w:rPr>
            </w:pPr>
          </w:p>
        </w:tc>
        <w:tc>
          <w:tcPr>
            <w:tcW w:w="2180" w:type="dxa"/>
            <w:vAlign w:val="bottom"/>
            <w:tcBorders>
              <w:top w:val="single" w:sz="8" w:color="CFF0FC"/>
            </w:tcBorders>
          </w:tcPr>
          <w:p>
            <w:pPr>
              <w:jc w:val="right"/>
              <w:ind w:right="125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-1053465</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-1053465</wp:posOffset>
            </wp:positionV>
            <wp:extent cx="431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segment and one operating segment, which is dedicated to reinventing the treatment of human disease through the development of innovative, highly differentiated medicines that address significant health problems and that meaningfully improve patients’ lives. The Company’s chief operating decision maker, or CODM, is the chief executive officer. The CODM assesses performance for the segment and decides how to allocate resources based on consolidated net loss that is also reported on the consolidated statements of operations.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sheets as total consolidated assets. All material long-lived assets are located in the United States. Long-lived assets consist of property and equipment, net, and operating lease right-of-use assets.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uses net loss to monitor budget versus actual results and to analyze cash flows in assessing performance of the segment and allocating resources.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Factors used in determining the reportable segment include the nature of the Company’s operating activities, the organizational and reporting structure and the type of information reviewed by the CODM to allocate resources and evaluate financial performance. The accounting policies of the segment are the same as those described in Note 2 of the notes to the consolidated financial statements included in the Company's Annual Report on Form 10-K.</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reportable segment profit and loss, including significant expense categories, attributable to the Company’s reportable segment for the periods presented: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76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7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33,576</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35,937</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STAT6</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11,707</w:t>
            </w: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42,798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15,626</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TYK2</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100" w:type="dxa"/>
            <w:vAlign w:val="bottom"/>
          </w:tcPr>
          <w:p>
            <w:pPr>
              <w:spacing w:after="0"/>
              <w:rPr>
                <w:sz w:val="18"/>
                <w:szCs w:val="18"/>
                <w:color w:val="auto"/>
              </w:rPr>
            </w:pPr>
          </w:p>
        </w:tc>
      </w:tr>
      <w:tr>
        <w:trPr>
          <w:trHeight w:val="216"/>
        </w:trPr>
        <w:tc>
          <w:tcPr>
            <w:tcW w:w="72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IRAK4</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ind w:left="540"/>
              <w:spacing w:after="0" w:line="216" w:lineRule="exact"/>
              <w:rPr>
                <w:sz w:val="20"/>
                <w:szCs w:val="20"/>
                <w:color w:val="auto"/>
              </w:rPr>
            </w:pPr>
            <w:r>
              <w:rPr>
                <w:rFonts w:ascii="Times New Roman" w:cs="Times New Roman" w:eastAsia="Times New Roman" w:hAnsi="Times New Roman"/>
                <w:sz w:val="18"/>
                <w:szCs w:val="18"/>
                <w:color w:val="auto"/>
              </w:rPr>
              <w:t xml:space="preserve">Other external research and development expense </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24,019</w:t>
            </w:r>
          </w:p>
        </w:tc>
        <w:tc>
          <w:tcPr>
            <w:tcW w:w="100" w:type="dxa"/>
            <w:vAlign w:val="bottom"/>
          </w:tcPr>
          <w:p>
            <w:pPr>
              <w:spacing w:after="0"/>
              <w:rPr>
                <w:sz w:val="18"/>
                <w:szCs w:val="18"/>
                <w:color w:val="auto"/>
              </w:rPr>
            </w:pPr>
          </w:p>
        </w:tc>
      </w:tr>
      <w:tr>
        <w:trPr>
          <w:trHeight w:val="216"/>
        </w:trPr>
        <w:tc>
          <w:tcPr>
            <w:tcW w:w="7220" w:type="dxa"/>
            <w:vAlign w:val="bottom"/>
            <w:shd w:val="clear" w:color="auto" w:fill="CFF0FC"/>
          </w:tcPr>
          <w:p>
            <w:pPr>
              <w:ind w:left="320"/>
              <w:spacing w:after="0" w:line="216" w:lineRule="exact"/>
              <w:rPr>
                <w:sz w:val="20"/>
                <w:szCs w:val="20"/>
                <w:color w:val="auto"/>
              </w:rPr>
            </w:pPr>
            <w:r>
              <w:rPr>
                <w:rFonts w:ascii="Times New Roman" w:cs="Times New Roman" w:eastAsia="Times New Roman" w:hAnsi="Times New Roman"/>
                <w:sz w:val="18"/>
                <w:szCs w:val="18"/>
                <w:color w:val="auto"/>
              </w:rPr>
              <w:t xml:space="preserve">Research and development compensation and related personnel expense </w:t>
            </w:r>
            <w:r>
              <w:rPr>
                <w:rFonts w:ascii="Times New Roman" w:cs="Times New Roman" w:eastAsia="Times New Roman" w:hAnsi="Times New Roman"/>
                <w:sz w:val="24"/>
                <w:szCs w:val="24"/>
                <w:color w:val="auto"/>
                <w:vertAlign w:val="superscript"/>
              </w:rPr>
              <w:t>(2)</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18,852</w:t>
            </w: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37,717</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 overhead and administrative costs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100" w:type="dxa"/>
            <w:vAlign w:val="bottom"/>
          </w:tcPr>
          <w:p>
            <w:pPr>
              <w:spacing w:after="0"/>
              <w:rPr>
                <w:sz w:val="18"/>
                <w:szCs w:val="18"/>
                <w:color w:val="auto"/>
              </w:rPr>
            </w:pPr>
          </w:p>
        </w:tc>
      </w:tr>
      <w:tr>
        <w:trPr>
          <w:trHeight w:val="216"/>
        </w:trPr>
        <w:tc>
          <w:tcPr>
            <w:tcW w:w="722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General &amp; administrative </w:t>
            </w:r>
            <w:r>
              <w:rPr>
                <w:rFonts w:ascii="Times New Roman" w:cs="Times New Roman" w:eastAsia="Times New Roman" w:hAnsi="Times New Roman"/>
                <w:sz w:val="24"/>
                <w:szCs w:val="24"/>
                <w:color w:val="auto"/>
                <w:vertAlign w:val="superscript"/>
              </w:rPr>
              <w:t>(3)</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33,916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Interest and other expense </w:t>
            </w:r>
            <w:r>
              <w:rPr>
                <w:rFonts w:ascii="Times New Roman" w:cs="Times New Roman" w:eastAsia="Times New Roman" w:hAnsi="Times New Roman"/>
                <w:sz w:val="24"/>
                <w:szCs w:val="24"/>
                <w:color w:val="auto"/>
                <w:vertAlign w:val="superscript"/>
              </w:rPr>
              <w:t>(4)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00" w:type="dxa"/>
            <w:vAlign w:val="bottom"/>
          </w:tcPr>
          <w:p>
            <w:pPr>
              <w:spacing w:after="0"/>
              <w:rPr>
                <w:sz w:val="18"/>
                <w:szCs w:val="18"/>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Plus:</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8,924</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18,268</w:t>
            </w:r>
          </w:p>
        </w:tc>
        <w:tc>
          <w:tcPr>
            <w:tcW w:w="100" w:type="dxa"/>
            <w:vAlign w:val="bottom"/>
          </w:tcPr>
          <w:p>
            <w:pPr>
              <w:spacing w:after="0"/>
              <w:rPr>
                <w:sz w:val="18"/>
                <w:szCs w:val="18"/>
                <w:color w:val="auto"/>
              </w:rPr>
            </w:pPr>
          </w:p>
        </w:tc>
      </w:tr>
      <w:tr>
        <w:trPr>
          <w:trHeight w:val="22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(76,614) $</w:t>
            </w:r>
          </w:p>
        </w:tc>
        <w:tc>
          <w:tcPr>
            <w:tcW w:w="8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(42,062)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(142,195) $</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(90,619)</w:t>
            </w:r>
          </w:p>
        </w:tc>
      </w:tr>
      <w:tr>
        <w:trPr>
          <w:trHeight w:val="20"/>
        </w:trPr>
        <w:tc>
          <w:tcPr>
            <w:tcW w:w="7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774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774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-25400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-8255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prior period amounts have been recast to conform with current period presentation.</w:t>
      </w:r>
    </w:p>
    <w:p>
      <w:pPr>
        <w:spacing w:after="0" w:line="26" w:lineRule="exact"/>
        <w:rPr>
          <w:rFonts w:ascii="Times New Roman" w:cs="Times New Roman" w:eastAsia="Times New Roman" w:hAnsi="Times New Roman"/>
          <w:sz w:val="16"/>
          <w:szCs w:val="16"/>
          <w:color w:val="auto"/>
        </w:rPr>
      </w:pPr>
    </w:p>
    <w:p>
      <w:pPr>
        <w:jc w:val="both"/>
        <w:ind w:firstLine="8"/>
        <w:spacing w:after="0" w:line="264" w:lineRule="auto"/>
        <w:tabs>
          <w:tab w:leader="none" w:pos="24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compensation and related personnel expense for the three months ended June 30, 2025 and 2024 is inclusive of $8.0 and $7.3 million of stock-based compensation expense, respectively. Research and development compensation and related personnel expense for the six months ended June 30, 2025 and 2024 is inclusive of $15.6 and $13.3 million of stock-based compensation expense, respectively.</w:t>
      </w:r>
    </w:p>
    <w:p>
      <w:pPr>
        <w:jc w:val="both"/>
        <w:ind w:firstLine="8"/>
        <w:spacing w:after="0" w:line="264" w:lineRule="auto"/>
        <w:tabs>
          <w:tab w:leader="none" w:pos="24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 expense for the three months ended June 30, 2025 and 2024 is inclusive of $7.4 million and $7.1 million of stock-based compensation expense, respectively. General and administrative expense for the six months ended June 30, 2025 and 2024 is inclusive of $14.1 million and $13.0 million of stock-based compensation expense, respectively.</w:t>
      </w:r>
    </w:p>
    <w:p>
      <w:pPr>
        <w:ind w:left="240" w:hanging="232"/>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expense for the six months ended June 30, 2024 is inclusive of a $4.9 million impairment of long-lived assets.</w:t>
      </w:r>
    </w:p>
    <w:p>
      <w:pPr>
        <w:spacing w:after="0" w:line="200" w:lineRule="exact"/>
        <w:rPr>
          <w:sz w:val="20"/>
          <w:szCs w:val="20"/>
          <w:color w:val="auto"/>
        </w:rPr>
      </w:pPr>
    </w:p>
    <w:p>
      <w:pPr>
        <w:spacing w:after="0" w:line="225"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Depreciation expense for the three months ended June 30, 2025 and 2024 was $1.7 million and $1.9 million respectively. Depreciation expense for the six months ended June 30, 2025 and 2024 was $3.3 million and $3.4 million respectively. Amortization expense related to right-of-use assets during the three months ended June 30, 2025 and 2024 was $0.4 million and $0.4 million, respectively. Amortization expense related to right-of-use assets during the six months ended June 30, 2025 and 2024 was $0.7 million and $0.8 million,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2025 Follow-on Public Offering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July 2025, subsequent to the balance sheet date, the Company completed a follow-on public offering of its common stock through the closing of the underwriters’ full exercise of their option. The full exercise of the underwriters' option resulted in the issuance and sale of an additional 855,000 shares of common stock resulting in gross proceeds of $37.6 million, before deducting underwriting discounts, commissions, and other estimated offering expenses payable by the Company.</w:t>
      </w:r>
    </w:p>
    <w:p>
      <w:pPr>
        <w:spacing w:after="0" w:line="7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total gross proceeds including the primary offering, which closed on June 30, 2025, and the aforementioned option exercise, were approximately $288.4 million, before deducting underwriting discounts, commissions, and other estimated offering expenses payable by the Company.</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underwriters' full exercise of their option, Jefferies (a related party as discussed in Footnote 11) was paid an additional $0.3 million in customary underwriting discounts and commissions in July of 2025.</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beliefs,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reinventing the treatment of human disease through the development of innovative, highly differentiated medicines that address significant health problems and that meaningfully improve patients’ lives. We are committed to advancing novel technologies to address targets that have known disease-causing biology, but which have not been drugged, or have been inadequately drugged, often based on limitations of existing technologies. Our approach is intended to discover and develop a new generation of medicines in a disease-agnostic manner.</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leader in targeted protein degradation (TPD) a next-generation small molecule therapeutic modality that engages the body’s natural cellular recycling system to selectively eliminate disease-causing proteins. Our objective is to develop molecules that are both potent and highly selective, creating the potential for our medicines to uniquely address diseases that are poorly served by current treatment options. To date, we have progressed five programs into clinical development and expect to advance at least one new molecular entity into clinical testing annually. We intend to leverage our drug development expertise to become a fully integrated biopharmaceutical company with an industry-leading pipeline of novel medicines.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current focus is primarily directed at high-value targets in immunology. We believe there are more than 160 million patients in the United States, Europe and Japan that are diagnosed with some of the most prevalent immune-inflammatory diseases that our programs have the potential to address, nearly half of whom remain untreated. Of those treated, most patients are treated with therapies that do not treat the underlying diseases but mostly their symptoms. As a result, only a small percentage of patients, which we believe to be approximately 3% of the diagnosed population with severe inflammatory diseases, are currently treated with systemic advanced therapies, mostly injectable biologics. While generally efficacious, biologics have drawbacks. Biologics tend to be more expensive to manufacture, and the cost is typically passed on to patients and payors. Patient access to therapy can also be a challenge, as biologics are more complex to prescribe and reimburse than small molecule medicines. Additionally, biologics are administered as injections, a less preferred route of administration for patients as compared to oral medications, which offer greater flexibility for patients. We believe we have the potential to deliver a compelling value proposition to a significant underserved patient population: small molecule medicines with biologics-like activity through the convenience of oral administration of a pill.</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publicly disclosed immunology programs target STAT6, IRF5 and IRAK4, each of which addresses targets within validated pathways, providing the opportunity to treat a broad range of diseases. We are developing KT-621 as part of our STAT6 program, which is currently being evaluated in patients with Atopic Dermatitis (AD) as part of our BroADen Phase 1b clinical trial. In May 2025, we announced KT-579, our lead molecule in our IRF5 program, which is currently in IND-enabling studies. We are collaborating with Sanofi S.A. (“Sanofi”) on the development of drug candidates targeting IRAK4. In June Sanofi communicated its decision to exercise its full participation election under the terms of the companies’ collaboration agreement, and to advance our next-generation IRAK4 degrader, KT-485/SAR447971, into clinical testing. As a result, Sanofi intends to stop development of KT-474. In June 2025, we announced a strategic collaboration with Gilead Sciences, Inc. (“Gilead”) to develop novel oral molecular glue degraders for cyclin-dependent kinase 2 (CDK2). In May 2025 we announced our strategic decision not to advance our TYK2 degrader, KT-295, into clinical development, even though we completed IND-enabling activities with no adverse findings in any of our studies, to dedicate more human and capital resources to our other immunology programs, as well as to extend our cash runway. Our additional pipeline programs focus on addressing high impact targets that have been elusive to conventional modalities and that drive the pathogenesis of multiple serious diseases with significant unmet medical needs.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immunology focus, we also have research initiatives in other therapeutic areas. Additionally, we believe many of our key discovery and development capabilities have broad applicability, creating an opportunity for us to develop impactful therapeutics leveraging small-molecule modalities in addition to TPD.</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in 2015, we have devoted substantially all our efforts to organizing and staffing our company, research and development activities, business planning, raising capital, building our intellectual property portfolio and providing general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administrative support for these operations. To date, we have received gross proceeds of $2.06 billion from sales of our convertible preferred stock, the sale of common stock including our August 2020 initial public offering, or IPO, and concurrent private placement, our subsequent follow-on offerings and private placement offering, our prior sales agreement with Cowen and through our corporate collaborations.</w:t>
      </w:r>
    </w:p>
    <w:p>
      <w:pPr>
        <w:spacing w:after="0" w:line="10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Our ability to generate product revenue sufficient to achieve profitability will depend heavily on the successful development and eventual commercialization of one or more of our current product candidates or any future product candidates. Our net losses were $223.9 million and $147.0 million for the years ended December 31, 2024 and 2023, respectively. We reported net losses of $76.6 million and $42.1 million for the three months ended June 30, 2025 and 2024, respectively and $142.2 million and $90.6 million for the six months ended June 30, 2025 and 2024, respectively. In addition, as of June 30, 2025 and December 31, 2024, we had an accumulated deficit of $896.8 million and $754.6 million, respectively. We expect that our expense and capital requirements will increase substantially in connection with our ongoing activities, particularly if and as we:</w:t>
      </w:r>
    </w:p>
    <w:p>
      <w:pPr>
        <w:spacing w:after="0" w:line="324"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U.S. Food and Drug Administration, or FDA, for current and future product candidates;</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drug discovery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33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if we obtain marketing approval for any of our lead product candidates, we expect to incur significant commercialization expenses related to product manufacturing, marketing, sales and distribution. 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one or more of our product candidates.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marketing approval for our drug candidates. The lengthy process of securing marketing approvals for new drugs requires the expenditure of substantial resources. Any delay or failure to obtain regulatory approvals would materially adversely affect our product candidate development efforts and our business overall.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June 30, 2025, we had cash, cash equivalents and marketable securities of $963.1 million. We believe the existing cash, cash equivalents and marketable securities on hand, plus net proceeds received from the exercise of the underwriters’ option in our June 2025 follow-on offering and our upfront payment from Gilead received in July, will be sufficient to fund our operations into the second half of 2028, beyond multiple clinical inflection points in our pipeline. We have based this estimate on assumptions that may prove to be wrong, and we could exhaust our available capital resources sooner than we expect. See “Liquidity and capital resources”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Our only revenues have been derived from research collaboration arrangements with Vertex and Sanofi. We expect that our revenue for the next several years will be derived primarily from our current collaboration agreements and any additional collaborations that we may enter into in the future. To date, we have not received any royalties under any of the collaboration agreements.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Gilead Agreement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June 25, 2025, the Company entered into an exclusive option and license agreement (the “Gilead Agreement”) with Gilead Sciences, Inc. (“Gilead”), to jointly collaborate on developing novel molecular glue degraders directed against cyclin-dependent kinase 2 (“CDK2”). Under the Gilead Agreement, the Company granted to Gilead an exclusive option, exercisable during a defined option period, to exercise an exclusive, worldwide license to develop, manufacture, and commercialize certain CDK2 degraders generated under the collaboration.</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Gilead Agreement, the Company is responsible for all discovery and preclinical research activities through the delivery of a complete data package as defined in the agreement. If Gilead exercises its option to license the program, Gilead will have global rights to develop, manufacture and commercialize all products resulting from the collaboration.</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Gilead does not exercise the option during the option period defined in the agreement, then the Gilead Agreement will terminate. Following option exercise, the Gilead Agreement will expire on a product-by-product and country-by-country basis upon the expiration of all royalty obligations under the agreement. Gilead may terminate the agreement for convenience upon advance written notice. Each party may also terminate the agreement for material breach, insolvency, and the agreement may be terminated for certain other customary reasons, including Gilead’s right to terminate certain provisions of the agreement following a change of control of the Company.</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consideration for the exclusive option and rights granted under the Gilead Agreement, the Company received a non-refundable upfront payment of $40.0 million. In addition, if Gilead exercises the option, the Company is entitled to receive an option exercise payment of $45.0 million and will be eligible to receive up to $665.0 million upon the achievement of certain development, regulatory and commercial milestones. The Company is also eligible to receive tiered royalties on net sales by Gilead ranging from high single-digit to mid-teen percentages, subject to customary reductions in certain circumstances.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July 7, 2020, we entered into a collaboration agreement, or the Sanofi Agreement, with Sanofi to co-develop drug candidates directed to two biological targets. Under the Sanofi Agreement, we granted to Sanofi a worldwide exclusive license to develop, manufacture and commercialize certain lead compounds generated during the collaboration directed against IRAK4 and one additional undisclosed target in an undisclosed field of use. Such license is exercisable on a collaboration target-by-collaboration target basis only after a specified milestone. For compounds directed against IRAK4, the field of use includes diagnosis, treatment, cure, mitigation or prevention of any diseases, disorders or conditions, excluding oncology and immuno-oncology. We are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an exclusive option, or Opt-In Right, exercisable on a collaboration-target-by-collaboration-target basis that will include the right to (i) to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we exercise the Opt-In Right, Sanofi will grant us an exclusive option, applicable to each collaboration target, which upon exercise will allow us to conduct certain co-promotion activities in the field in the United States.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We or Sanofi may terminate the agreement upon the other party’s material breach or insolvency or for certain patent challenges. In addition, Sanofi may terminate the agreement for convenience or for a material safety event upon advance prior written notice, and we may terminate the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paid to us an upfront payment of $150.0 million. In addition to the upfront payment, under the agreement we were eligible to receive certain development milestone payments of up to $1.48 billion, and commercial milestone payments of up to $700.0 million, in the aggregate. We will further be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eligible to receive tiered royalties on net sales ranging from the high single digits to high teens, subject to low-single digits upward adjustments in certain circumstances.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with respect to Sanofi, on December 2, 2022, Sanofi provided the Company with written notice of its intention to advance the collaboration target 1 candidate, KT-474, into Phase 2 clinical trials. In the fourth quarter of 2023, the Company achieved two milestones of $40.0 million and $15.0 million relating to the dosing of the first patient in the Phase 2 clinical trial for the first and second indications, respectively. In the first quarter of 2025, the Company achieved a development milestone related to certain preclinical activities associated with the IRAK4 program. In connection with this milestone the Company unconstrained $20.0 million of consideration in the first quarter of 2025.</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2023, the Company and Sanofi mutually agreed to cease activities related to Collaboration Target 2.</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2025, Sanofi communicated its decision to exercise its full participation election under the terms of the companies’ collaboration agreement, and to advance our next-generation IRAK4 degrader, KT-485/SAR447971, into clinical testing. As a result, Sanofi intends to stop development of KT474. In connection with the IRAK4 program, the Company remains eligible to receive up to $975 million in development and commercial milestones upon the achievement of certain developmental or regulatory events and upon the achievement of certain net sales thresholds.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Vertex Collaboration Agreement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May 9, 2019, we entered into a collaboration agreement, or the Vertex Agreement, with Vertex, to advance small molecule protein degradation against up to six targets. Under the Vertex Agreement, Vertex was granted the exclusive option to license the rights to the product candidates developed through the collaboration at which point Vertex would control development and commercialization. Pursuant to the Vertex Agreement, we were responsible for discovery and preclinical research on the targets, and Vertex was responsible for development, manufacturing, and commercialization of the product candidates after it exercises its option to license. Vertex provided us with a non-refundable upfront payment of $50.0 million and purchased 3,059,695 shares of our Series B-1 Convertible Preferred Stock at $6.54 a share, pursuant to a separate, but simultaneously executed Share Purchase Agreement.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Vertex Agreement expired upon the completion of the initial research term on May 9, 2023.</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primarily of research and development expenses and general and administrative expenses.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targeted protein degradation therapeutics. These research efforts and costs include external research costs, personnel costs, supplies, license fees and facility-related expenses. We expense research and development costs as incurred. These expenses include:</w:t>
      </w:r>
    </w:p>
    <w:p>
      <w:pPr>
        <w:spacing w:after="0" w:line="68" w:lineRule="exact"/>
        <w:rPr>
          <w:sz w:val="20"/>
          <w:szCs w:val="20"/>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third parties, including contract research organizations, or CROs, and other third parties that conduct clinical trials and preclinical activities on our behalf;</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manufacturing organizations, or CMOs, that are primarily engaged to provide drug substance and product for our preclinical research and development programs, nonclinical studies, clinical trials and other scientific development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and manufacturing clinical and nonclinical trial materials, including manufacturing registration and validation batches;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and insurance;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near term and in the future. At this time, we cannot accurately estimate or know the nature, timing and costs of the efforts that will be necessary to complete the clinical development of any future product candidates.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clinical development costs may vary significantly based on factors such as:</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successful development and commercialization of product candidates is highly uncertain. This is due to the numerous risks and uncertainties associated with product development and commercialization, including the following:</w:t>
      </w:r>
    </w:p>
    <w:p>
      <w:pPr>
        <w:spacing w:after="0" w:line="54"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necessary additional funds;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development programs and to establish new 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 substance and drug product for use in production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commercial manufacturing, if any of our product candidates are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insurance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with other products;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including the timing and enrollment of patients in our planned clinical trials, or to those of our manufacturers, suppliers, or other vendors resulting from a future pandemic or similar public health crisis;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for our therapies following approval.</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personnel in executive, finance, corporate and business development, and administrative functions. General and administrative expenses also include legal fees relating to patent and corporate matters, professional fees for accounting, auditing, tax and administrative consulting services, insurance costs, administrative travel expenses, marketing expenses and other operating costs.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development of our product candidates and our continued research activities. We also anticipate that we will incur increased accounting, audit, legal, regulatory, compliance and director and officer insurance costs as well as legal, investor and public relations expenses associated with being a public company.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and other income and expense,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and other income and expense consists of interest earned on our invested cash balances and interest expense related to our financing leases.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Comparison of three months ended June 30, 2025 and 2024</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2025 and 2024:</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(14,174)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78,388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59,202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17,645</w:t>
            </w: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96,033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(33,632)</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20" w:type="dxa"/>
            <w:vAlign w:val="bottom"/>
            <w:tcBorders>
              <w:bottom w:val="single" w:sz="8" w:color="auto"/>
            </w:tcBorders>
            <w:shd w:val="clear" w:color="auto" w:fill="CFF0FC"/>
          </w:tcPr>
          <w:p>
            <w:pPr>
              <w:spacing w:after="0" w:line="20" w:lineRule="exact"/>
              <w:rPr>
                <w:sz w:val="1"/>
                <w:szCs w:val="1"/>
                <w:color w:val="auto"/>
              </w:rPr>
            </w:pPr>
          </w:p>
        </w:tc>
        <w:tc>
          <w:tcPr>
            <w:tcW w:w="840" w:type="dxa"/>
            <w:vAlign w:val="bottom"/>
            <w:tcBorders>
              <w:bottom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(76,614)</w:t>
            </w:r>
          </w:p>
        </w:tc>
        <w:tc>
          <w:tcPr>
            <w:tcW w:w="80" w:type="dxa"/>
            <w:vAlign w:val="bottom"/>
          </w:tcPr>
          <w:p>
            <w:pPr>
              <w:spacing w:after="0"/>
              <w:rPr>
                <w:sz w:val="17"/>
                <w:szCs w:val="17"/>
                <w:color w:val="auto"/>
              </w:rPr>
            </w:pPr>
          </w:p>
        </w:tc>
        <w:tc>
          <w:tcPr>
            <w:tcW w:w="380" w:type="dxa"/>
            <w:vAlign w:val="bottom"/>
            <w:gridSpan w:val="2"/>
          </w:tcPr>
          <w:p>
            <w:pPr>
              <w:jc w:val="right"/>
              <w:ind w:right="108"/>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(42,062)</w:t>
            </w:r>
          </w:p>
        </w:tc>
        <w:tc>
          <w:tcPr>
            <w:tcW w:w="300" w:type="dxa"/>
            <w:vAlign w:val="bottom"/>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(34,552)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-599440</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-599440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-599440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-179705</wp:posOffset>
            </wp:positionV>
            <wp:extent cx="514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-179705</wp:posOffset>
            </wp:positionV>
            <wp:extent cx="514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under our collaboration agreements based on our pattern of performance related to the respective identified performance obligations, which is the period over which we will perform research services under each of the respective agreements.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Collaboration revenues were $11.5 million and $25.7 million for the three months ended June 30, 2025 and 2024, respectively, all of which is attributable to our collaboration agreement with Sanofi.</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period presented (program expenses are not disclosed prior to formal development candidate nomination):</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STAT6</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11,707</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TYK2</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IRAK4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compensation and related personnel expense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 overhead and administrative costs</w:t>
            </w: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10,898</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59,202</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-170815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$78.4 million for the three months ended June 30, 2025, compared to $59.2 for the three months ended June 30, 2024. The increase of $19.2 million was primarily due to a $10.5 million increase in costs related to our STAT6 program, a $4.3 million increase in personnel, stock-based compensation, occupancy, and other internal costs due to increase investment in employee talent and facilities in the research and development functions and a $4.5 million increase in costs related to our TYK2, IRAK4, and discovery and other programs.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$17.6 million for the three months ended June 30, 2025, compared to $17.4 miilion for the three months ended June 30, 2024. This increase of $0.2 million was primarily due to an increase in legal and professional service fees, personnel, facility, occupancy, and other expenses to support our growth. Stock based compensation expenses included in general and administrative expenses were $7.4 million and $7.1 million for the three months ended June 30, 2025 and 2024, respectively.</w:t>
      </w:r>
    </w:p>
    <w:p>
      <w:pPr>
        <w:spacing w:after="0" w:line="2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was $7.9 million for the three months ended June 30, 2025, compared to $8.9 million for the three months ended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$1.0 million decrease was primarily due to prevailing interest rates in the respective periods.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i w:val="1"/>
          <w:iCs w:val="1"/>
          <w:color w:val="auto"/>
        </w:rPr>
        <w:t>Comparison of six months ended June 30, 2025 and 2024</w:t>
      </w:r>
    </w:p>
    <w:p>
      <w:pPr>
        <w:spacing w:after="0" w:line="3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2025 and 2024:</w:t>
      </w:r>
    </w:p>
    <w:tbl>
      <w:tblPr>
        <w:tblLayout w:type="fixed"/>
        <w:tblInd w:w="0" w:type="dxa"/>
        <w:tblCellMar>
          <w:top w:w="0" w:type="dxa"/>
          <w:left w:w="0" w:type="dxa"/>
          <w:bottom w:w="0" w:type="dxa"/>
          <w:right w:w="0" w:type="dxa"/>
        </w:tblCellMar>
      </w:tblPr>
      <w:tr>
        <w:trPr>
          <w:trHeight w:val="151"/>
        </w:trPr>
        <w:tc>
          <w:tcPr>
            <w:tcW w:w="44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80" w:type="dxa"/>
            <w:vAlign w:val="bottom"/>
            <w:gridSpan w:val="6"/>
          </w:tcPr>
          <w:p>
            <w:pPr>
              <w:jc w:val="right"/>
              <w:ind w:right="1060"/>
              <w:spacing w:after="0" w:line="15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Revenue—from related parties</w:t>
            </w:r>
          </w:p>
        </w:tc>
        <w:tc>
          <w:tcPr>
            <w:tcW w:w="2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33,576</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35,937</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158,643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(4,925)</w:t>
            </w:r>
          </w:p>
        </w:tc>
        <w:tc>
          <w:tcPr>
            <w:tcW w:w="0" w:type="dxa"/>
            <w:vAlign w:val="bottom"/>
          </w:tcPr>
          <w:p>
            <w:pPr>
              <w:spacing w:after="0"/>
              <w:rPr>
                <w:sz w:val="1"/>
                <w:szCs w:val="1"/>
                <w:color w:val="auto"/>
              </w:rPr>
            </w:pPr>
          </w:p>
        </w:tc>
      </w:tr>
      <w:tr>
        <w:trPr>
          <w:trHeight w:val="209"/>
        </w:trPr>
        <w:tc>
          <w:tcPr>
            <w:tcW w:w="44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192,559</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144,693</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47,866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(158,983)</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(108,756)</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(50,227)</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(142,195)</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(90,619)</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(51,576)</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-591185</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-591185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under our collaboration agreements based on our pattern of performance related to the respective identified performance obligations, which is the period over which we will perform research services under each of the respective agreements.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Collaboration revenues were $33.6 million and $35.9 million for the six months ended June 30, 2025 and 2024, respectively, all of which is attributable to our collaboration agreement with Sanofi.</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period presented (program expenses are not disclosed prior to formal development candidate nomination):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STAT6</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15,626</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TYK2</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IRAK4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32,520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compensation and related personnel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 overhead and administrative costs</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22,155</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158,643</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108,021</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$158.6 million for the six months ended June 30, 2025, compared to $108.0 million for the six months ended June 30, 2024. The increase of $50.6 million was primarily due to an increase of $27.2 million in costs related to our STAT6 program, an increase in costs of $14.8 million related to personnel, stock-based compensation, occupancy, and other internal costs in the research and development function, as well as an increase in costs of $6.1 million and $8.5 million related to our TYK2 and our discovery and other programs respectively. These costs were partially offest by a decrease in costs related to our IRAK4 program of $0.6 million.</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$33.9 million for the six months ended June 30, 2025, compared to $31.7 million for the six months ended June 30, 2024. The $2.2 million increase was primarily due to an increase in legal and professional service fees, personnel, facility, occupancy, and other expenses to support our growth. Stock based compensation expenses included in general and administrative expenses were $14.1 million and $13.0 million for the six months ended June 30, 2025 and June 30, 2024,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6" w:name="page37"/>
    <w:bookmarkEnd w:id="36"/>
    <w:p>
      <w:pPr>
        <w:ind w:left="7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There was no impairment on long-lived assets for the six months ended June 30, 2025, compared to $4.9 million for six months ended June 30, 2024. The decrease of $4.9 million was as a result of the occupancy of the 2021 Lease facility in February of 2024 and the corresponding exit of the 2019 Lease facility, resulting in an impairment charge of $4.9 million in the six months ended June 30, 2024.</w:t>
      </w:r>
    </w:p>
    <w:p>
      <w:pPr>
        <w:spacing w:after="0" w:line="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income, net was $16.8 million for the six months ended June 30, 2025, compared to $18.1 million for the six months ended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$1.3 million decrease was primarily due to the prevailing interests rates in the respective periods.</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not yet generated any revenue from any product sales, and we have incurred significant operating losses since our inception. We have not yet commercialized any products and we do not expect to generate revenue from sales of products for several years, if at all. To date, we have received gross proceeds of $2.06 billion from sales of our convertible preferred stock, the sale of common stock including our August 2020 initial public offering, or IPO, and concurrent private placement, our follow-on offerings and private placement offering, our prior sales agreement with Cowen, and through our corporate collaborations. As of June 30, 2025, we had cash and cash equivalents and marketable securities of $963.1 million.</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2021, we entered into a sales agreement, or Cowen Sales Agreement, with Cowen, pursuant to which we were able to offer and sell shares of our common stock having aggregate gross proceeds of up to $250.0 million from time to time in “at-the-market” offerings through Cowen, as our sales agent. We agreed to pay Cowen a commission of up to 3.0% of the gross proceeds of any shares sold by Cowen under the Sales Agreement. As of June 30, 2025, we have sold 1,519,453 shares of common stock under the Sales Agreement resulting in gross proceeds of approximately $50 million. On October 30, 2024, Cowen acknowledged and accepted our prior written notice to terminate the Cowen Sales Agreement, which termination was effective on October 30, 2024. As a result of such termination, we will not offer or sell any additional shares of common stock under the Cowen Sales Agreement.</w:t>
      </w:r>
    </w:p>
    <w:p>
      <w:pPr>
        <w:spacing w:after="0" w:line="86"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On October 31, 2024,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or Jefferies Sales Agreement, with Jefferies LLC, or Jefferies, pursuant to which we may offer and sell shares of our common stock having aggregate gross proceeds of up to $300.0 million from time to time in “at-the-market” offerings through Jefferies, as our sales agent. We agreed to pay Jefferies a commission of up to 3.0% of the gross proceeds of any shares sold by Jefferies under the Sales Agreement. As of June 30, 2025, we have not sold any shares of common stock under the Jefferies Sales Agreement.</w:t>
      </w:r>
    </w:p>
    <w:p>
      <w:pPr>
        <w:spacing w:after="0" w:line="3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46"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7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(139,034)</w:t>
            </w: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245,984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355,168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215,586</w:t>
            </w:r>
          </w:p>
        </w:tc>
        <w:tc>
          <w:tcPr>
            <w:tcW w:w="12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431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used in Operating Activities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cash used in operating activities was $139.0 million, primarily resulting from our net loss of $142.2 million during the period and a $26.0 million net decrease in other operating assets and liabilities primarily driven by changes in contract assets, deferred revenue, accounts payable, accrued expenses and operating lease liabilities. This was partially offset by adjustments for non-cash items of $29.1 million (primarily consisting of stock-based compensation, depreciation &amp; amortization and premiums &amp; discounts on available-sale-securities).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7" w:name="page38"/>
    <w:bookmarkEnd w:id="37"/>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cash used in operating activities was $82.5 million, primarily resulting from our net loss of $90.6 million during the period and the $32.2 million change in deferred revenue related to our collaboration agreements. These were offset by a $12.8 million net decrease in other operating assets and liabilities primarily driven by changes in accounts receivable, accounts payable, accrued expenses and operating lease liabilities and adjustments for non-cash items of $27.5 million (primarily consisting of stock-based compensation, lease impairment charge, depreciation &amp; amortization and premiums &amp; discounts on available-sale-securities).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provided by Investing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cash provided by investing activities was $108.6 million comprised of maturities of marketable securities of $251.7 million, partially offset by purchases of marketable securities of $141.9 million and purchases of property and equipment of $1.2 million.</w:t>
      </w:r>
    </w:p>
    <w:p>
      <w:pPr>
        <w:spacing w:after="0" w:line="176"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cash used in investing activities was $315.0 million comprised of purchases of marketable securities of $526.9 million and purchases of property and equipment of $12.1 million, partially offset by maturities of marketable securities of $224.0 million.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provided by Financing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net cash provided by financing activities was $246.0 million, consisting of $237.3 million in proceeds from the issuance of common stock and accompanying pre-funded warrants, net of offering costs, $8.2 million in proceeds from the exercise of employee stock options, $1.1 million of proceeds from our employee stock purchase plan, partially offset by finance lease payments of $0.7 million.</w:t>
      </w:r>
    </w:p>
    <w:p>
      <w:pPr>
        <w:spacing w:after="0" w:line="176"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net cash provided by financing activities was $355.2 million, consisting of $301.4 million in proceeds from issuance of common stock and accompanying pre-funded warrants, net of offering costs, $48.7 million in proceeds from the issuance of common stock through an Sales Agreement, net of issuance costs, $4.6 million in proceeds from the exercise of employee stock options, $1.1 million from proceeds from the employee stock purchase plan, partially offset by finance lease payments of $0.6 million.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the later-stage clinical development of our product candidates. In addition, we expect to incur additional costs associated with operating as a public company.</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our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The timing and amount of our operating expenditures will depend largely on:</w:t>
      </w:r>
    </w:p>
    <w:p>
      <w:pPr>
        <w:spacing w:after="0" w:line="72" w:lineRule="exact"/>
        <w:rPr>
          <w:sz w:val="20"/>
          <w:szCs w:val="20"/>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nonclinical studies and clinical trials for our product candidates or any future product candidates we may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with key collaborators;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grow our business, including hiring key personnel and maintaining or acquiring operating space;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any approved product candidates, including product pricing, as well as product coverage and the adequacy of reimbursement by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a manufacturing site for commercial-scale manufacturing;</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and that we determine to commercialize;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believe the existing cash, cash equivalents and marketable securities of $963.1 million as of June 30, 2025, plus net proceeds received from the exercise of the underwriters’ option in our June 2025 follow-on offering and our upfront payment from Gilead received in July, will enable us to fund our operating expenses and capital expenditure requirements into the second half of 2028. We have based this estimate on assumptions that may prove to be wrong, and we could exhaust our available capital resources sooner than we expect. We expect that we will require additional funding to continue the clinical development of our clinical programs, commercialize our product candidates if we receive regulatory approval, and pursue in-licenses or acquisitions of other product candidates. If we receive regulatory approval for any of our product candidates, we expect to incur significant commercialization expenses related to product manufacturing, sales, marketing and distribution, depending on where we choose to commercialize our product candidates.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Market volatility resulting from macroeconomic factors could also adversely impact our ability to access capital as and when needed. To the extent that we raise additional capital through the sale of equity or convertible debt securities, the ownership interests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190" w:lineRule="exact"/>
        <w:rPr>
          <w:sz w:val="20"/>
          <w:szCs w:val="20"/>
          <w:color w:val="auto"/>
        </w:rPr>
      </w:pPr>
    </w:p>
    <w:p>
      <w:pPr>
        <w:jc w:val="both"/>
        <w:ind w:right="100" w:firstLine="749"/>
        <w:spacing w:after="0" w:line="256" w:lineRule="auto"/>
        <w:rPr>
          <w:sz w:val="20"/>
          <w:szCs w:val="20"/>
          <w:color w:val="auto"/>
        </w:rPr>
      </w:pPr>
      <w:r>
        <w:rPr>
          <w:rFonts w:ascii="Times New Roman" w:cs="Times New Roman" w:eastAsia="Times New Roman" w:hAnsi="Times New Roman"/>
          <w:sz w:val="18"/>
          <w:szCs w:val="18"/>
          <w:color w:val="auto"/>
        </w:rPr>
        <w:t>As of June 30, 2025, the Company had outstanding pre-funded warrants to purchase 15,815,253 shares of common stock, each with an exercise price of $0.0001 per share. These warrants can be exercised at any time at the discretion of the holders, subject to certain ownership limitations. While the potential exercise of these pre-funded warrants would result in the issuance of additional shares, thus increasing the total shares outstanding, their nominal exercise price means they are already considered outstanding for purposes of calculating the Company’s weighted average common stock outstanding and earnings per share. Due to the minimal exercise price, the Company doesn't anticipate significant additional cash proceeds upon exercise and consequently does not expect the exercise of these warrants to materially affect its liquidity, capital resources, or overall financial condition.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contractual obligations and commitments described under “Management’s Discussion and Analysis of Financial Condition and Results of Operations” in our Annual Report on Form 10-K for the fiscal year ended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During the six months ended June 30, 2025, there were no material changes to our critical accounting policies from those described in our Annual Report Form 10-K filed with the SEC on February 27, 2025.</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of money market funds and marketable securities and are invested in U.S. treasury or government obligations and corporate securities. However, because of the short-term nature of the duration of our portfolio and the low-risk profile of our investments, we believe an immediate 10% change in market interest rates would not be expected to have a material impact on the fair market value of our investments portfolio or on our financial condition or results of operations.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We contract with vendors that are located in Asia and Europe and certain invoices are denominated in foreign currencies. We are subject to fluctuations in foreign currency rates in connection with these arrangements. We do not currently hedge our foreign currency exchange rate risk. As of June 30, 2025, we had no significant liabilities denominated in foreign currencies.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third party vendors, and clinical trial costs. The global macroeconomic environment has experienced, and continues to experience, extraordinary challenges. These macroeconomic factors have contributed, and we expect will continue to contribute, to increased costs, among other concerns. We cannot predict how long these inflationary pressures will continue, or how they may change over time, but we expect to see continued impacts on the global economy, our industry and our company. If inflationary pressures continue to persist, they may continue to have an adverse impact on our consolidated financial position, results of operations and/or cash flows. As a result of the inflationary environment, however, interest rates have increased, which has resulted in higher interest income rates than were previously realized.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Management’s Evaluation of our Disclosure Controls and Procedures</w:t>
      </w:r>
    </w:p>
    <w:p>
      <w:pPr>
        <w:spacing w:after="0" w:line="13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who serves as our Principal Executive Officer, and our Chief Financial Officer, who serves as our Principal Financial Officer, has evaluated the effectiveness of our disclosure controls and procedures as of June 30, 2025, the end of the period covered by this Quarterly Report. Based upon such evaluation, our Chief Executive Officer and Chief Financial Officer have concluded that our disclosure controls and procedures were effective at the reasonable assurance level as of such date.</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period covered by this Quarterly Report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activities,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company and that may make it difficult for our stockholders to evaluate the success of our business to date and to assess our future viability.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Since our formation in 2015 and our initial funding in 2016, our operations to date have been limited primarily to organizing and staffing our company, business planning, raising capital, researching and developing our drug discovery technology, developing our pipeline, building our intellectual property portfolio, undertaking preclinical studies and conducting Phase 1 clinical trials of our product candidates. We have never generated any revenue from drug sales. We have not obtained regulatory approvals for any of our current product candidates. Any predictions we make about our future success or viability may not be as accurate as they could be if we had a longer operating history. In addition, as a business with a limited operating history, we may encounter unforeseen expenses, difficulties, complications, delays and other known and unknown factors, such as developments relating to macroeconomic conditions. We will need to transition from a company with a research and development focus to a company capable of supporting late-stage development and commercial activities. We may not be successful in such a transition.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anticipate that we will incur continued losses for the foreseeable future.</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To date, we have financed our operations primarily through the issuance and sale of our convertible preferred stock to outside investors, collaborators in private equity financings, upfront payments under our collaborations and sales of our common stock in our initial public offering, or IPO, and multiple public and private offerings of common stock and our at-the market sales program. As of June 30, 2025, our cash and cash equivalents and marketable securities were $963.1 million. In July 2025, we received approximately $37.6 million, before deducting underwriting discounts and commissions and estimated offering expenses, from the exercise of the underwriters’ option in our June 2025 public offering and an upfront payment of $40 million in connection with our Gilead Option and License Agreement. We have incurred net losses in each year since our inception, and we had an accumulated deficit of $896.8 million as of June 30, 2025. For the years ended December 31, 2024, 2023 and 2022, we reported net losses of $223.9 million, $147.0 million and $154.8 million, respectively. We reported net losses of $76.6 million and $142.2 million for the three and six months ended June 30, 2025 respectively, and $42.1 million and $90.6 million for the three and six months ended June 30, 2024, respectively. Substantially all of our operating losses have resulted from costs incurred in connection with our research and development programs and from general and administrative costs associated with our operations. We expect to continue to incur significant expenses and increasing operating losses over the next several years and for the foreseeable future. We expect our expenses to significantly increase in connection with our ongoing activities, as we:</w:t>
      </w:r>
    </w:p>
    <w:p>
      <w:pPr>
        <w:spacing w:after="0" w:line="82"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FDA, for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2" w:name="page43"/>
    <w:bookmarkEnd w:id="42"/>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drug discovery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22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addition, if we obtain marketing approval for our current or future product candidates, we will incur significant expenses relating to sales, marketing, product manufacturing and distribution. Because of the numerous risks and uncertainties associated with developing pharmaceutical drugs, we are unable to predict the extent of any future losses or when we will become profitable, if at all. Even if we do become profitable, we may not be able to sustain or increase our profitability on a quarterly or annual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Future Financial Condition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development of pharmaceutical drugs is capital-intensive. We expect our expenses to increase substantially in connection with our ongoing activities, particularly as we continue the research and development of, advance the preclinical and clinical activities of, and seek marketing approval for, our current or future product candidates. In addition, if we obtain marketing approval for any of our current or future product candidates, we expect to incur significant commercialization expenses related to sales, marketing, product manufacturing and distribution to the extent that we exercise our opt-in rights with collaborators or that such sales, marketing, product manufacturing and distribution are not the responsibility of our collaborators. We may also need to raise additional funds sooner if we choose to pursue additional indications and/or geographies for our current or future product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scale back or discontinue the development and commercialization of one or more of our product candidates, and may be unable to expand our operations or otherwise capitalize on our business opportunities, as desired, which could materially affect our business, financial condition and results of operations.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June 30, 2025 we had approximately $963.1 million of cash and cash equivalents and marketable securities. In July 2025, we received approximately $37.6 million, before deducting underwriting discounts and commissions and estimated offering expenses, from the exercise of the underwriters’ option in our June 2025 public offering and an upfront payment of $40.0 million in connection with our Gilead Option and License Agreement. We expect that the approximately $963.1 million of cash and cash equivalents and marketable securities as of June 30, 2025, plus net proceeds received from the exercise of the underwriters’ option in our June 2025 follow-on offering and our upfront payment from Gilead received in July, will be sufficient to fund our operations into the second half of 2028. We have based this estimate on assumptions that may prove to be wrong, and we could use our capital resources sooner than we currently expect. This estimate also assumes that we do not obtain any additional funding through collaborations or other strategic alliances. Our future capital requirements will depend on, and could increase significantly as a result of, many factors, including:</w:t>
      </w:r>
    </w:p>
    <w:p>
      <w:pPr>
        <w:spacing w:after="0" w:line="84" w:lineRule="exact"/>
        <w:rPr>
          <w:sz w:val="20"/>
          <w:szCs w:val="20"/>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current or future product candidates, including additional expenses attributable to adjusting our development plans (including any supply related matters);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existing or additional collaboration agreements we obtain;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current or future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clearances to market our current or future product candidates.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drug sales. In addition, our current or future product candidates, if approved, may not achieve commercial success. Our commercial revenues, if any, will be derived from sales of drugs that we do not expect to be commercially available for many years, if at all. Accordingly, we will need to continue to rely on additional funding to achieve our business objectives.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current or future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favorable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current or future product candidates or otherwise agree to terms unfavorable to us, any of which may have a material adverse effect on our business, operating results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and other expenses. We are subject to the reporting requirements of the Securities Exchange Act of 1934, as amended, or the Exchange Act, the Sarbanes-Oxley Act of 2002, as amended, or Sarbanes-Oxley Act, and the Dodd-Frank Wall Street Reform and Consumer Protection Act, or the Dodd-Frank Act. For example, the Exchange Act requires, among other things, that we file with the Securities and Exchange Commission, or the SEC, annual, quarterly and current reports with respect to our business and financial condition. These reporting requirements continue to evolve, which has created uncertainty for public companies like us and accommodating these evolving standards may require increased legal and financial compliance costs and make some activities more time-consuming and costly.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these requirements divert the attention of our management and personnel from other business concerns, they could have a material adverse effect on our business, financial condition and results of operations. It may be more difficult and more expensive for us to obtain director and officer liability insurance in the future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1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jc w:val="both"/>
        <w:spacing w:after="0" w:line="256" w:lineRule="auto"/>
        <w:rPr>
          <w:sz w:val="20"/>
          <w:szCs w:val="20"/>
          <w:color w:val="auto"/>
        </w:rPr>
      </w:pPr>
      <w:r>
        <w:rPr>
          <w:rFonts w:ascii="Times New Roman" w:cs="Times New Roman" w:eastAsia="Times New Roman" w:hAnsi="Times New Roman"/>
          <w:sz w:val="18"/>
          <w:szCs w:val="18"/>
          <w:color w:val="auto"/>
        </w:rPr>
        <w:t>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Since then, additional financial institutions have experienced similar failures and have been placed into receivership. If other banks and financial institutions enter receivership or become insolvent in the future in response to financial conditions affecting the banking system and financial markets, then our ability to access our cash, cash equivalents and marketable securities may be threatened, which could have a material adverse effect on our business and financial condition.</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whom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access to working capital sources and/or delays, inability or reductions in our ability to enter into new credit facilities or other working capital resources;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contractual obligations that require us to maintain letters of credit or other credit support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financial covenants in any credit agreements or credit arrangements;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cross-defaults in other credit agreements, credit arrangements or operating or financing agreements.</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 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supplier may determine that it will no longer deal with us as a customer. In addition, a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supplier bankruptcy or insolvency, or any breach or default by a supplier, or the loss of any significant supplier relationships, could result in material losses to us and may have a material adverse impact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Preclinical and Clinical Development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and our STAT6 program is in early clinical development with additional programs in preclinical development. If we are unable to advance our programs into and through the clinic for safety or efficacy reasons or commercialize our product candidates or experience significant delays in doing so, our business will be materially harmed.</w:t>
      </w:r>
    </w:p>
    <w:p>
      <w:pPr>
        <w:spacing w:after="0" w:line="1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while we have generated collaboration revenue, we have not generated any revenue from our product candidates, and we do not expect to generate any revenue from the sale of drugs in the near future. We do not expect to generate revenue from product sales unless and until we can advance and complete the development of, obtain marketing approval for, and begin to sell, one or more of our product candidates. We are also unable to predict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right="20"/>
        <w:spacing w:after="0" w:line="282" w:lineRule="auto"/>
        <w:rPr>
          <w:sz w:val="20"/>
          <w:szCs w:val="20"/>
          <w:color w:val="auto"/>
        </w:rPr>
      </w:pPr>
      <w:r>
        <w:rPr>
          <w:rFonts w:ascii="Times New Roman" w:cs="Times New Roman" w:eastAsia="Times New Roman" w:hAnsi="Times New Roman"/>
          <w:sz w:val="18"/>
          <w:szCs w:val="18"/>
          <w:color w:val="auto"/>
        </w:rPr>
        <w:t>when, if ever, we will be able to generate revenue from such product candidates due to the numerous risks and uncertainties associated with drug development, including the uncertainty of:</w:t>
      </w:r>
    </w:p>
    <w:p>
      <w:pPr>
        <w:spacing w:after="0" w:line="5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ongoing or planned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timing of IND clearances of current and future product candidates, and/or clinical trial costs for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 initiation, enrollment of and completion of clinical trials for current and future product candidates, including our ability to generate positive data from any such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successful completion of all safety studies required to obtain U.S. and foreign marketing approval for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we identify in-house or acquire through collaborations or other arrangements;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acceptance of our product candidates, if and when approved, by patients, the medical community and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collaborations as well as the terms and timing of any additional collaboration, license or other arrangement, including the terms and timing of any payments thereunder;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and defend intellectual property rights and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of our product candidates following approval.</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to incur significant sales and marketing costs as we prepare to commercialize our current or future product candidates. Even if we initiate and successfully complete pivotal or registration-enabling clinical trials of our current or future product candidates, and our current or future product candidates are approved for commercial sale, and despite expending these costs, our current or future product candidates may not be commercially successful. We may not achieve profitability soon after generating drug sales, if ever. If we are unable to generate revenue, we will not become profitable and may be unable to continue operations without continued funding.</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is novel and unproven, which makes it difficult to predict the time, cost of development and likelihood of successfully developing any products.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utilize a method known as targeted protein degradation, or TPD, to discover and develop product candidates. Our future success depends on the successful development of this novel therapeutic approach. No product candidate using a heterobifunctional degrader has been approved in the United States or Europe, and the data underlying the feasibility of developing such therapeutic products is both preliminary and limited. In addition, we have not yet succeeded and may not succeed in demonstrating the efficacy and safety of any of our product candidates in clinical trials or in obtaining marketing approval thereafter. In particular, our ability to successfully achieve TPD with a therapeutic result requires the successful development of heterobifunctional molecules that were intentionally designed with a rational drug development process and developing those molecules with the right combination of protein targets and E3 ligases. This is a complex process requiring a number of component parts or biological mechanisms to work in unison to achieve the desired effect. We cannot be certain that we will be able to discover degraders by matching the right target with the ideal E3 ligase and the right linker in a timely manner, or at all. All of our product candidates are in preclinical or early clinical development. As such, there may be adverse effects from treatment with any of our current or future product candidates that we cannot predict at this time.</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result of these factors, it is more difficult for us to predict the time and cost of product candidate development, and we cannot predict whether the application of our expertise in TPD will result in the development and marketing approval of any products. Any development problems we experience in the future related to any of our research programs may cause significant delays or unanticipated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costs or may prevent the development of a commercially viable product. Any of these factors may prevent us from completing our preclinical studies and clinical trials or commercializing any product candidates we may develop on a timely or profitable basis, if at all.</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key element of our strategy is to apply our expertise in TPD, and product pipeline to address a broad array of targets and new therapeutic areas. The therapeutic discovery activities that we are conducting may not be successful in identifying product candidates that are useful in treating oncology, inflammation, immunology or genetic diseases. Our research programs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a limited number of research programs and product candidates. We are currently focused on our immunology portfolio, consisting of our STAT6, IRF5 and IRAK4 programs, which target key signaling pathways implicated in multiple inflammatory and autoimmune diseases, as well our CDK2 program in oncology. In some instances, we may decide to discontinue our investment in programs. For example, in May 2025 we made the strategic decision to not advance KT-295 (TYK2) into further clinical development. Additionally, in June 2025, we announced our partner Sanofi’s decisions to discontinue the development of KT-474 (IRAK4) in order to prioritize the development of a second generation IRAK4 degrader, KT-485. As a result, we or our collaborators may forego or delay pursuit of opportunities with other current or future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current or future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22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successful development of our lead programs. We cannot be certain that we will be able to obtain regulatory approval for, or successfully commercialize, any of our current or future product candidates.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currently have no product candidates approved for sale and may never be able to develop marketable product candidates. Our business depends heavily on the successful development, regulatory approval and commercialization of our current or future product candidates. The preclinical studies and clinical trials of our current or future product candidates are, and the manufacturing and marketing of our current or future product candidates will be, subject to extensive and rigorous review and regulation by numerous government authorities, including in the U.S. and in other countries where we intend to test or, if approved, market any of our current or future product candidates. Before obtaining regulatory approvals for the commercial sale of any of our current or future product candidates, we must demonstrate through preclinical studies and clinical trials that each product candidate is safe and effective for use in each target indication. Drug development is a long, expensive and uncertain process, and delay or failure can occur at any stage of any of our preclinical studies and clinical trials. For example, the preclinical and manufacturing data we submit to obtain authorization to proceed into human clinical trials may not be accepted initially or at all by a government authority, which could result in a clinical hold on a product candidate. Clinical holds can delay clinical trial initiation and, even if successfully resolved, could occur at any time during clinical development as new data or information emerges. The drug development process can take many years and may include post-marketing studies and surveillance, which will require the expenditure of substantial resources. Of the large number of drugs in development in the U.S., only a small percentage will successfully complete the FDA regulatory approval process and will be commercialized, with similarly low rates of success for drugs in development in the European Union obtaining regulatory approval from the European Commission following scientific evaluation by the European Medicines Agency, or EMA. Accordingly, even if we are able to obtain the requisite financing to continue to fund our development and preclinical studies and clinical trials, we cannot assure you that any of our current or future product candidates will be successfully developed or commercialized.</w:t>
      </w:r>
    </w:p>
    <w:p>
      <w:pPr>
        <w:spacing w:after="0" w:line="19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not permitted to market our current or future product candidates in the U.S. until we receive approval of a New Drug Application, or an NDA, from the FDA, in the European Union, or EU, until we receive approval of a marketing authorization application, or an MAA, from the European Commission, or in any other foreign countries until we receive the requisite approval from such countries. Obtaining approval of an NDA or MAA is a complex, lengthy, expensive and uncertain process, and the FDA or EMA may delay, limit or deny approval of any of our current or future product candidates for many reasons, including, among others:</w:t>
      </w:r>
    </w:p>
    <w:p>
      <w:pPr>
        <w:spacing w:after="0" w:line="75" w:lineRule="exact"/>
        <w:rPr>
          <w:sz w:val="20"/>
          <w:szCs w:val="20"/>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our current or future product candidates are safe and effective in treating their target indications to the satisfaction of the FDA or applicable foreign regulatory agency;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and clinical trials may not meet the level of statistical or clinical significance required by the FDA or applicable foreign regulatory agency for marketing approval;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the number, design, size, conduct or implementation of our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require that we conduct additional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approve the formulation, labeling or specifications of any of our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or CROs, that we retain to conduct our preclinical studies and clinical trials may take actions outside of our control that materially adversely impact our preclinical studies and clinical trials;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find the data from preclinical studies and clinical trials insufficient to demonstrate that our current or future product candidates’ clinical and other benefits outweigh their safety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our interpretation of data from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accept data generated at our preclinical studies and clinical trial sites;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Risk Evaluation and Mitigation Strategy, or REMS, as a condition of approval or post-approval;</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determine that the manufacturing processes or facilities of third-party manufacturers with which we contract do not conform to applicable requirements, including current Good Manufacturing Practices, or cGMPs;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be delayed in its review processes due to staffing or other constraints;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successfully market our current or future product candidates. Any such setback in our pursuit of regulatory approval would have a material adverse effect on our business and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initiation or enrollment of patients in clinical trials, our receipt of necessary regulatory approvals could be delayed or prevented.</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may be delays in trial initiation, including due to clinical holds or site activation delays, and we may not be able to locate and enroll a sufficient number of eligible patients to participate in these trials as required by the FDA or similar regulatory authorities outside the U.S. Moreover, some of our competitors have ongoing clinical trials for current or future product candidates that treat the same patient populations as our current or future product candidates, and patients who would otherwise be eligible for our clinical trials may instead enroll in clinical trials of our competitors’ current or future product candidates.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participants to enroll in our clinical trials in our countries of interest;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screening test for the indications we are pursuing;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such as potential pandemics that may limit subjects, principal investigators or staff or clinical site availability.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There can be no assurance that the final topline data from our trials will be consistent with such results or otherwise viewed as positive.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including data from of our clinical trials, are subject to the risk that one or more of the clinical outcomes may materially change as patient enrollment continues and more patient data become available or as patients from our clinical trials continue other treatments for their diseases.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Positive results from our preclinical studies of our current or future product candidates, and any positive results we may obtain from our early clinical trials of our current or future product candidates, including the preclinical results to support an IND submission for KT-579 in 2025 and ongoing clinical trial of KT-621 and planned clinical trials of KT-485 and KT-579, may not necessarily be predictive of the results from required later preclinical studies and clinical trials. Similarly, even if we are able to complete our planned preclinical studies or clinical trials of our current or future product candidates according to our current development timeline, the positive results from such preclinical studies and/or clinical trials of our current or future product candidates, including KT-621 and KT-579, may not be replicated in subsequent preclinical studies or clinical trials. In particular, while we have conducted certain preclinical studies of KT-621 and KT-579, we do not know whether any of these product candidates will perform in our planned clinical trials as it has performed in these prior preclinical studies. For example, in preclinical studies KT-621 demonstrated full inhibition of IL-4/IL-13 pathway in all relevant human cell contexts with picomolar potency that was superior to dupilumab, and equivalent or superior activity to dupilumab. However, there is no guarantee these preclinical results will be replicated in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approval from the FDA or comparable foreign regulatory authority.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Additionally, our planned or future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precise incidence and prevalence for the indications being pursued by our current and future product candidates are currently unknown. Our projections of both the number of people who have these diseases, as well as the subset of people with these diseases who have the potential to benefit from treatment with our product candidates, are based on estimates. We are developing KT-621 for a broad set of immunology indications, with potential indications to include AD, asthma, COPD, CRSwNP, EoE, PN and others. We are developing KT-579 for immunology indications, with potential indications to include lupus, Sjögren's, IBD, RA and others. The total addressable market opportunity for our product candidates will ultimately depend upon, among other things, their proven safety and efficacy, the diagnosis criteria included in the final label for each, whether our product candidates are approved for sale for these indications, acceptance by the medical community and patient access, product pricing and reimbursement. The number of patients for our product candidates in the United States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may materially and adversely affect our business and our financial results and could cause a disruption to the development of our product candidates.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Infectious diseases may also affect research activities and employees of third-party CROs located in affected geographies that we rely upon to carry out our clinical trials. In addition, the patient populations that our lead and other core product candidates target may be particularly susceptible to infectious diseases or its variants, which may make it more difficult for us to identify patients able to enroll in our clinical trials and may impact the ability of enrolled patients to complete any such trials. Any negative impact that any future infectious disease spread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timely enrollment in clinical trials is dependent upon clinical trial sites which will be adversely affected by global health matters, such as pandemics. Some factors from any public health crisis that may delay or otherwise adversely affect enrollment in the clinical trials of our product candidates, as well as our business generally, include:</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clinical trials;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affect on the operations of our third-party manufacturers and the supply chain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global shipping affecting the transport of clinical trial materials, such as patient samples, investigational drug product and conditioning drugs and other supplies used in our current and prospective clinical trials;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cannot presently predict the scope and severity of additional planned and potential shutdowns or disruptions of businesses and government agencies, such as the SEC or FDA. Any of these factors, and other factors related to any such disruptions that are unforeseen, could have a material adverse effect on our business and our results of operations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 Other global health concerns could also result in social, economic, and labor instability in the countries in which we or the third parties with whom we engage operate.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All of our product candidates are in preclinical or early clinical development, and there may be adverse effects from treatment with any of our current or future product candidates that we cannot predict at this time. Undesirable side effects caused by our current or future product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many treatments for inflammatory and autoimmune diseases, cancer or other diseases, it is likely that there may be adverse side effects associated with the use of our product candidates. Additionally, 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using our degrader molecules in any of our current or future clinical studies. There is also the potential risk of delayed adverse events following treatment using any of our current or future product candidates.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side effects could arise due to off-target activity, allergic reactions in trial subjects, or unwanted on-target effects in the body. Results of our clinical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current or future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our current or future product candidates could cause undesirable side effects in clinical trials related to on-target toxicity. If on-target toxicity is observed, or if our current or future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for treating cancer or other diseases have later been found to cause side effects that prevented further development of the compound.</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current or future product candidates may only be uncovered with a significantly larger number of patients exposed to the product candidate. If our current or future product candidates receive marketing approval and we or others identify undesirable side effects caused by such current or future product candidates after such approval, a number of potentially significant negative consequences could result, including:</w:t>
      </w:r>
    </w:p>
    <w:p>
      <w:pPr>
        <w:spacing w:after="0" w:line="72"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current or future product candidates are distributed or administered, conduct additional clinical trials or change the labeling of the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current or future product candidates from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current or future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product candidates and could substantially increase the costs of commercializing our current or future product candidates, if approved, and significantly impact our ability to successfully commercialize our current or future product candidates and generate revenues.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Manufacturing our current or future product candidates is complex and we may encounter difficulties in production. If we encounter such difficulties, our ability to provide supply of our current or future product candidates for preclinical studies and clinical trials or for commercial purposes could be delayed or stopped.</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process of manufacturing our current or future product candidates is complex and highly regulated. We do not have our own manufacturing facilities or personnel and currently rely, and expect to continue to rely, on third parties for the manufacture of our current or future product candidates. These third-party contract manufacturing organizations, or CMOs, may not be able to provide adequate resources or capacity to meet our needs and may incorporate their own proprietary processes into our product candidate manufacturing processes. We have limited control and oversight of a third party’s proprietary process, and a third party may elect to modify its process without our consent or knowledge. These modifications, such as any impacting the product formulation, could negatively impact our manufacturing, including by resulting in product loss or failure that requires additional manufacturing runs or a change in manufacturer, either of which could significantly increase the cost of and significantly delay the manufacture of our current or future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Legislative proposals have previously been considered that, if enacted, would have negatively impacted U.S. companies and institutions that accept U.S. funding for projects that utilize biotechnology equipment and services produced or provided by certain biotechnology providers having relationships with foreign adversaries and which pose a threat to national security. This includes proposed legislation previously pending in the U.S. Senate and House of Representatives; and while similar proposals are not currently pending, there remains a continued policy interest in limiting U.S. companies’ relationships with biotechnology providers with relationships with foreign adversaries. The potential downstream adverse impacts on entities having only commercial relationships with any impacted biotechnology providers is unknown but may include supply chain disruptions or delays. Though we do not currently receive U.S. government funding, we regularly evaluate steps to mitigate any potential impact of any future stricter legislation towards foreign entities providing services to U.S. based companies. Depending on the terms of any final legislation that may be enacted, these steps could result in additional costs and potential delays in development timelines resulting from related transition efforts.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 there have been, and may continue to be, significant changes to U.S. trade policies, sanctions, legislation, treaties, and tariffs, including, but not limited to, trade policies and tariffs affecting products from outside of the U.S. The extent and duration of increased tariffs and the resulting impact on general economic conditions and on our business are not known and depend on various factors, such as negotiations between the U.S. and affected countries, their respective responses, potential exemptions or exclusions, and availability and cost of alternative sources of supply. Supply chain disruptions and delays could also negatively impact our cost of materials and production processes. If we are unable to obtain these materials in sufficient quantity and in a timely manner, the development, testing, and our clinical trials and any future product candidates may be delayed or infeasible, and regulatory approval or commercial launch may be delayed or not obtained, which could significantly harm our business.</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any CMO with whom we contract fails to perform its obligations, we may be forced to enter into an agreement with a different CMO, which we may not be able to do on reasonable terms, if at all. This could significantly delay our clinical trials supply as we establish alternative supply sources. In some cases, the technical skills required to manufacture our product candidates or products, if approved,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as our current or future product candidates progress through preclinical studies and clinical trials towards potential approval and commercialization, it is expected that various aspects of the manufacturing process will be altered in an effort to optimize processes and results. Such changes may require amendments to be made to regulatory applications which may further delay the time frames under which modified manufacturing processes can be used for any of our current or future product candidates and additional bridging studies or trials may be required between our prior clinical supply used in our clinical trials and that of any new manufacturer. We may be unsuccessful in demonstrating the comparability of clinical supplies which could require the conduct of additional clinical trials. Any such delay could have a material adverse impact on our business, results of operations and prospects.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Regulatory Approval</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current or future product candidates, we will not be able to commercialize, or will be delayed in commercializing, our current or future product candidates, and our ability to generate revenue will be materially impaired.</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current or future product candidates and the activities associated with their development and commercialization, including their design, testing, manufacture, safety, efficacy, record keeping, labeling, storage, approval, advertising, promotion, sale, distribution, import, and export, are subject to comprehensive regulation by the FDA and other regulatory agencies in the U.S. and by comparable authorities in other countries. Before we can commercialize any of our current and future product candidates, we must obtain marketing approval from the regulatory authorities in the relevant jurisdictions. We have not received approval to market any of our current product candidates from regulatory authorities in any jurisdiction, and it is possible that none of our current product candidates, nor any product candidates we may seek to develop in the future, will ever obtain regulatory approval. As a company,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drug manufacturing process to, and inspection of manufacturing facilities and often clinical sites by, the relevant regulatory authority. Our current or future product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or equivalent application type outside the U.S.,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The U.S. Supreme Court’s decision in July 2024 to overturn established case law giving deference to regulatory agencies’ interpretations of ambiguous statutory language has introduced uncertainty regarding the extent to which FDA’s regulations, policies and decisions may become subject to increasing legal challenges, delays or changes. Our current or future product candidates could be delayed in receiving, or fail to receive, regulatory approval for many reasons, including the following:</w:t>
      </w:r>
    </w:p>
    <w:p>
      <w:pPr>
        <w:spacing w:after="0" w:line="86"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current or future product candidates may not be sufficient to support the submission of an NDA or other submission or to obtain regulatory approval in the U.S. or elsewhere;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With the change in presidential administrations in 2025, there is substantial uncertainty as to how, if at all, the new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were to obtain approval, regulatory authorities may approve any of our current or future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current or future product candidates.</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current or future product candidates, the commercial prospects for our current or future product candidates may be harmed and our ability to generate revenues will be materially impaired.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and/or Fast Track Designation for any of our current or future product candidates. These designations, even if granted by the FDA, may not lead to a faster development, regulatory review or approval process, and such designations do not increase the likelihood that any of our product candidates will receive marketing approval in the United States.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jc w:val="both"/>
        <w:spacing w:after="0" w:line="254" w:lineRule="auto"/>
        <w:rPr>
          <w:sz w:val="20"/>
          <w:szCs w:val="20"/>
          <w:color w:val="auto"/>
        </w:rPr>
      </w:pPr>
      <w:r>
        <w:rPr>
          <w:rFonts w:ascii="Times New Roman" w:cs="Times New Roman" w:eastAsia="Times New Roman" w:hAnsi="Times New Roman"/>
          <w:sz w:val="18"/>
          <w:szCs w:val="18"/>
          <w:color w:val="auto"/>
        </w:rPr>
        <w:t>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current or future product candidates meets the criteria for designation as a breakthrough therapy, the FDA may disagree and instead determine not to make such designation. In any event, the receipt of a Breakthrough Therapy Designation for a current or future product candidate may not result in a faster development process, review or approval compared to therapies considered for approval under conventional FDA procedures and does not assure ultimate approval by the FDA. In addition, even if one or more of our current or future product candidates qualify as breakthrough therapies, the FDA may later decide that such product candidates no longer meet the conditions for qualification or decide that the time period for FDA review or approval will not be shortened.</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current or future product candidate is eligible for this designation, we cannot assure you that the FDA would decide to grant it. Even if we do receive Fast Track Designation for certain current or future product candidates,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our collaborators may seek approval of KT-621, KT-579 or any other future product candidate, where applicable, under the FDA’s accelerated approval pathway. This pathway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or our collaborators may seek accelerated approval of KT-621, KT-579, 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accelerated approval, the FDA likely would require that we perform adequate and well-controlled post-marketing clinical trials, and under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current or future product candidates, and we may be unsuccessful or may be unable to maintain the benefits associated with Orphan Drug Designation, including the potential for market exclusivity.</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certain indications of our other current or future product candidates, and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criteria for orphan designation in the European Union are similar in principle to the U.S. For more information, please see the section of our Annual Report on Form 10-K, filed with the SEC on February 27, 2025, titled “Business - Government Regulation - Government Regulation of Drugs Outside of the United States” In the European Union, orphan designation entitles a party to financial incentives such as reduction of fees or fee waivers.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U.S. and ten years in the European Union.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current or future product candidates, the manufacturing processes, labeling, packaging, distribution, tracking and tracing, adverse event reporting, storage, advertising, promotion and recordkeeping for the drug will be subject to extensive and ongoing regulatory requirements. These requirements include submissions of safety and other post-marketing information and reports, registration requirements, and continued compliance with cGMPs and Good Clinical Practices, or GCPs,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current or future product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8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withdrawal of the drug from the market, or voluntary drug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drug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to permit the import or export of drugs;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6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current or future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staffing and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Currently, federal agencies in the U.S. are operating under a continuing resolution that is set to expire on September 30, 2025. Without appropriation of additional funding to federal agencies, our business operations related to our product development activities for the U.S. market could be impacted. 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federal agencies, including substantial leadership departures, personnel cuts, and policy changes, may also slow the time necessary for new drugs to be reviewed and/or approved, which would harm our business. These changes have been reported by some within the pharmaceutical industry as creating instances of in delays in the FDA’s responsiveness or in its ability to review IND submissions or applications, issue regulations or guidance, or implement or enforce regulatory requirements in a timely fashion or at all.</w:t>
      </w:r>
    </w:p>
    <w:p>
      <w:pPr>
        <w:spacing w:after="0" w:line="180" w:lineRule="exact"/>
        <w:rPr>
          <w:sz w:val="20"/>
          <w:szCs w:val="20"/>
          <w:color w:val="auto"/>
        </w:rPr>
      </w:pPr>
    </w:p>
    <w:p>
      <w:pPr>
        <w:ind w:right="440" w:firstLine="554"/>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6" w:lineRule="exact"/>
        <w:rPr>
          <w:sz w:val="20"/>
          <w:szCs w:val="20"/>
          <w:color w:val="auto"/>
        </w:rPr>
      </w:pPr>
    </w:p>
    <w:p>
      <w:pPr>
        <w:jc w:val="both"/>
        <w:ind w:right="300" w:firstLine="509"/>
        <w:spacing w:after="0" w:line="261" w:lineRule="auto"/>
        <w:rPr>
          <w:sz w:val="20"/>
          <w:szCs w:val="20"/>
          <w:color w:val="auto"/>
        </w:rPr>
      </w:pPr>
      <w:r>
        <w:rPr>
          <w:rFonts w:ascii="Times New Roman" w:cs="Times New Roman" w:eastAsia="Times New Roman" w:hAnsi="Times New Roman"/>
          <w:sz w:val="18"/>
          <w:szCs w:val="18"/>
          <w:color w:val="auto"/>
        </w:rPr>
        <w:t>There is substantial uncertainty as to whether and how the new administration will seek to modify or revise the requirements and policies of the FDA and other regulatory agencies with jurisdiction over our product candidates and any products for which we obtain approval. Additionally, the new administration could also issue or promulgate executive orders, regulations, policies or guidance that adversely affect us or create a more challenging or costly environment to pursue the development of new therapeutic candidates.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Foreign Regulatory Approval and Foreign Markets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in the U.S., we may never receive regulatory approval to market our current or future product candidates outside of the U.S.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plan to seek regulatory approval of our current or future product candidates outside of the U.S. In order to market any product outside of the U.S.,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current or future product candidates in such foreign markets. Any such impairment would reduce the size of our potential market, which could have a material adverse impact on our business, results of operations and prospects.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 that could materially adversely affect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not permitted to market or promote any of our current or future product candidates before we receive regulatory approval from the applicable regulatory authority in that foreign market, and we may never receive such regulatory approval for any of our current or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current or future product candidates, and we cannot predict success in these jurisdictions. If we obtain approval of our current or future product candidates and ultimately commercialize our current or future product candidates in foreign markets, we would be subject to additional risks and uncertainties, including:</w:t>
      </w:r>
    </w:p>
    <w:p>
      <w:pPr>
        <w:spacing w:after="0" w:line="79" w:lineRule="exact"/>
        <w:rPr>
          <w:sz w:val="20"/>
          <w:szCs w:val="20"/>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such that obtaining regulatory approvals outside of the U.S. may take longer and be more costly than obtaining approval in the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current or future product candidates in foreign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Foreign sales of our current or future product candidates could also be adversely affected by the imposition of governmental controls, political and economic instability, trade restrictions and changes in tariffs (including tariffs that have been or may in the future be imposed by the United States or other countries).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current or future product candidates outside the U.S., and the FDA and comparable foreign regulatory authorities may not accept data from such trials.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in the future choose to conduct one or more clinical trials outside the U.S., including in Europe and other geographies.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Among other matters, U.S. and foreign anti-corruption, including the Foreign Corrupt Practices Act (FCPA), anti-money laundering, export control, sanctions, and other trade laws and regulations, which we collectively refer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Anti-corruption and anti-bribery laws have been enforced aggressively in recent years and are interpreted broadly. Violations of Trade Laws can result in substantial criminal fines and civil penalties, imprisonment, the loss of trade privileges, debarment, tax reassessments, breach of contract and fraud litigation, reputational harm, and other consequences. As we increase our activities outside the United States, which may include increased interactions with officials and employees of government agencies or state-owned or -affiliated entities,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 We have direct or indirect interactions with officials and employees of government agencies or government-affiliated hospitals, universities, and other organizations.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some countries,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products such as our product candidates, with an emphasis on private payors for access to commercial products. If reimbursement of our product candidates is unavailable or limited in scope or amount, or if pricing is set at unsatisfactory levels, our business could be materially harmed.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Compliance with Healthcare and Other Regulations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current or future product candidates, such drugs may become subject to unfavorable pricing regulations or third-party coverage and reimbursement policies, which would harm our business.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For more information, please see the section of our Annual Report on Form 10-K, filed with the SEC on February 27, 2025, entitled, “Business - Government Regulation - Other Healthcare Laws” and the section of our Annual Report entitled, “Business - Government Regulation - Current and Future Healthcare Reform Legislation”.</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79"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jc w:val="both"/>
        <w:spacing w:after="0" w:line="261" w:lineRule="auto"/>
        <w:rPr>
          <w:sz w:val="20"/>
          <w:szCs w:val="20"/>
          <w:color w:val="auto"/>
        </w:rPr>
      </w:pPr>
      <w:r>
        <w:rPr>
          <w:rFonts w:ascii="Times New Roman" w:cs="Times New Roman" w:eastAsia="Times New Roman" w:hAnsi="Times New Roman"/>
          <w:sz w:val="18"/>
          <w:szCs w:val="18"/>
          <w:color w:val="auto"/>
        </w:rPr>
        <w:t>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Finally, in some foreign countries, the proposed pricing for a product candidate must be approved before it may be lawfully marketed. The requirements governing product pricing vary widely from country to country. For example, in the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U.S. and prices generally tend to be significantly lower.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legislative reform measures may have a material adverse effect on our business and results of operations.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For more information, please see the section of our Annual Report on Form 10-K, filed with the SEC on February 27, 2025, entitled, “Business - Government Regulation - Current &amp; Future Healthcare Reform Legislation.”</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Most recently, the current Administration has issued several Executive Orders on drug pricing. On April 15, 2025, the administration published Executive Order 14273, “Lowering Drug Prices by Once Again Putting Americans First,” which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current Administration also published Executive Order 14297, “Delivering Most-Favored-Nation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The Executive Order also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18"/>
          <w:szCs w:val="18"/>
          <w:color w:val="auto"/>
        </w:rPr>
        <w:t>It also directs the government to take steps to ensure foreign countries are also not engaged in suppressing the price of drug products. Notably, a similar “Most Favored Nation” pricing rule enacted under a former Administration was subject to an injunction resulting from judicial challenges to the rule, which was formally rescinded by a former Administration in August 2021. FDA Commissioner Makary also announced in July 2025 that FDA is contemplating a fast-track priority review voucher for drugs whose manufacturers commit to setting a price in line with drug pricing offered in economically similarly situated countries around the world. The effects of these proposals and how these proposals will be implemented are not yet known.</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Further, the Inflation Reduction Act of 2022 was recently revised to broaden the exemption from the drug price negotiation program for drugs with orphan designations. Previously under the IRA, orphan drugs were exempted from the Medicare drug price negotiation program; but this exemption was restricted to drugs with only one orphan designation and for which the only approved indication is for that rare disease or condition. If a product were to receive multiple orphan designations or had multiple approved indications, it would not have qualified for the orphan drug exemption. Under the One Big Beautiful Bill Act of 2025, this restriction was eliminated; and effective for the 2028 initial price applicability year, all orphan drugs, regardless of the number of orphan designations or indications, are exempt from the Medicare drug price negotiation program.</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 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current or future product candidates for which we obtain marketing approval. Our business operations and any current or future arrangements with third-party payors and customers may expose us to broadly applicable federal and state laws relating to fraud and abuse, as well as other healthcare laws and regulations. 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These laws may impact, among other things, the business or financial arrangements and relationships through which we market, sell and distribute any current or future product candidates for which we obtain marketing approval. For more information, please see the section of our Annual Report on Form 10-K, filed with the SEC on February 27, 2025, entitled “Business - Government Regulation - Other Regulatory Matters - Other Healthcare Laws.”</w:t>
      </w:r>
    </w:p>
    <w:p>
      <w:pPr>
        <w:spacing w:after="0" w:line="19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imprisonment, exclusion from government funded healthcare programs, such as Medicare and Medicaid, and the curtailment or restructuring of our operations, as well as additional reporting obligations and oversight if we become subject to a corporate integrity agreement or similar settlement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 If any of the physicians or other healthcare providers or entities with whom we expect to do business is found to be not in compliance with applicable laws, they may be subject to similar actions, penalties, and sanctions.</w:t>
      </w:r>
    </w:p>
    <w:p>
      <w:pPr>
        <w:spacing w:after="0" w:line="19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also prohibited in the EU. The provision of benefits or advantages to physicians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jc w:val="both"/>
        <w:spacing w:after="0" w:line="256" w:lineRule="auto"/>
        <w:rPr>
          <w:sz w:val="20"/>
          <w:szCs w:val="20"/>
          <w:color w:val="auto"/>
        </w:rPr>
      </w:pPr>
      <w:r>
        <w:rPr>
          <w:rFonts w:ascii="Times New Roman" w:cs="Times New Roman" w:eastAsia="Times New Roman" w:hAnsi="Times New Roman"/>
          <w:sz w:val="18"/>
          <w:szCs w:val="18"/>
          <w:color w:val="auto"/>
        </w:rPr>
        <w:t>is governed by the national anti-bribery laws of EU Member States and the Bribery Act 2010 in the U.K..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22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 laws.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patient support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9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reputational harm, exclusion from participation in government funded healthcare programs, such as Medicare and Medicaid, additional reporting requirements and oversight if we become subject to a corporate integrity agreement or similar agreement to resolve allegations 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spacing w:after="0" w:line="282" w:lineRule="auto"/>
        <w:rPr>
          <w:sz w:val="20"/>
          <w:szCs w:val="20"/>
          <w:color w:val="auto"/>
        </w:rPr>
      </w:pPr>
      <w:r>
        <w:rPr>
          <w:rFonts w:ascii="Times New Roman" w:cs="Times New Roman" w:eastAsia="Times New Roman" w:hAnsi="Times New Roman"/>
          <w:sz w:val="18"/>
          <w:szCs w:val="18"/>
          <w:color w:val="auto"/>
        </w:rPr>
        <w:t>non-compliance with these laws and the curtailment or restructuring of our operations, any of which could adversely affect our ability to operate our business and our results of operations.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with other available medicines;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current or future product candidates by the FDA or other applicable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current or future product candidates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expected to be commercially launched in the near future;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current or future product candidates over current treatment options or alternative treatments, including future alternative treatments;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or treatment methods and of physicians to prescribe these therapies or methods;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dose such product candidates in combination with other therapeutic agents, and 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drugs before or more successfully than we do.</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and will continue to face competition from third parties that use protein degradation, antibody therapy, inhibitory nucleic acid, gene editing or gene therapy development platforms and from companies focused on more traditional therapeutic modalities, such as small molecule inhibitors.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Companies developing small molecule protein degraders therapies for patients, include, but are not limited to, Arvinas, Inc., C4 Therapeutics, Inc., Nurix Therapeutics, Inc., and Foghorn Therapeutics, Inc. Further, several large pharmaceutical companies have disclosed preclinical investments in this field. In particular, several pharmaceutical companies have announced partnerships around programs targeting STAT6, including Sanofi, Johnson &amp; Johnson and Gilead. Our competitors will also include companies that are or will be developing other targeted protein degradation methods as well as small molecule, antibody, or gene therapies for the same indications that we are targeting. In addition to the competitors we face in developing small molecule protein degraders, we will also face competition in the indications we expect to pursue with our IRAK4, STAT6, IRF5, and CDK2 programs. Many of these indications already have approved standards of care which may include more traditional therapeutic modalities. In order to compete effectively with these existing therapies, we will need to demonstrate that our protein degrader therapies are favorable to existing therapeutics.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of our current or future competitors have significantly greater financial resources and expertise in research and development, manufacturing, preclinical testing, conducting clinical trials, obtaining regulatory approvals and reimbursement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sales, marketing and management personnel and establishing clinical trial sites and patient registration for clinical trials, as well as in acquiring technologies complementary to, or necessary for, our programs.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current or future product candidates, if approved, are likely to be their efficacy, safety, convenience, price, the level of generic competition and the availability of reimbursement from government and other third-party payors.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current or future product candidates in human clinical trials and will face an even greater risk if we commercially sell any current or future product candidates that we may develop. If we cannot successfully defend ourselves against claims that our current or future product candidates caused injuries, we could incur substantial liabilities. Regardless of merit or eventual outcome, liability claims may result in:</w:t>
      </w:r>
    </w:p>
    <w:p>
      <w:pPr>
        <w:spacing w:after="0" w:line="72"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current or future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current or future product candidates that we may develop.</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we will need to increase our insurance coverage when we begin later stage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have a sales or marketing infrastructure and have no experience in the sales, marketing, patient support or distribution of drugs.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current or future product candidates on our own include:</w:t>
      </w:r>
    </w:p>
    <w:p>
      <w:pPr>
        <w:spacing w:after="0" w:line="117"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drugs;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ongoing and planned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utilize and depend upon independent investigators and collaborators, such as medical institutions, CROs, contract laboratories, contract manufacturing organizations and strategic partners to help conduct or otherwise support our preclinical studies and clinical trials for our current product candidates, and we expect to rely on such third parties for our future product candidates. We do not have the ability to independently conduct clinical trials. We rely heavily on external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preclinical studies or clinical trials, we could be subject to untitled and warning letters or enforcement action that may include civil penalties up to and including criminal prosecution.</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any third parties that we contract with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requirements through periodic inspections of clinical trial sponsors, principal investigators and trial sites. If we or the third parties we contract with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will comply with GCP. In addition, our clinical trials must be conducted with current or future product candidates produced under cGMP regulations. Our failure or the failure of third parties that we may contract with to comply with these regulations may require us to repeat some aspects of a specific, or an entire, clinical trial,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designed the Phase 1 trials of KT-621 and intend to design other clinical trials for our current or future product candidates, or be involved in the design when other parties sponsor the trials, we anticipate that third parties will conduct all of our clinical trials. As a result, many important aspects of our clinical development, including their conduct and timing will be outside of our direct control. Our reliance on third parties to conduct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our CROs do not perform clinical trials in a satisfactory manner, breach their obligations to us, fail to comply with regulatory requirements, or if they need to be replaced, any clinical trials such CROs are associated with may be extended, delayed or terminated, the development, marketing approval and commercialization of our current or future product candidates may be delayed, we may not be able to obtain marketing approval and commercialize our current or future product candidates, or our development programs may be materially and irreversibly harmed. If we are unable to rely on clinical data collected by our CROs, we could be required to repeat, extend the duration of, or increase the size of clinical trials we conduct and this could significantly delay commercialization and require significantly greater expenditures. If any of our relationships with these third-party CROs terminate, we may not be able to enter into arrangements with alternative CROs on commercially reasonable terms, or at all. If our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current or future product candidates. As a result, we believe that our financial results and the commercial prospects for our current or future product candidates in the subject indication would be harmed, our costs could increase and our ability to generate revenue could be delayed.</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API, drug product, and starting materials used in our product candidates are limited in number, and the loss of any of these suppliers could significantly harm our business.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drug substance and drug product in our product candidates are supplied to us from a small number of suppliers, and in some cases sole source suppliers. We rely on and expect to continue to rely on our suppliers to develop our current or future product candidates, and to ultimately supply our commercial drugs in quantities sufficient to meet the market demand. We do not currently have arrangements in place for a second-source supply of all drug product or drug substance. Any delays in the delivery of our drug substance, drug product or starting materials could have an adverse effect and potentially harm our business. For example, in February 2020, one of our vendors for API starting materials based in Wuhan, China ceased its operations for several weeks due to the COVID-19 pandemic, which caused a minor delay in the delivery of API starting materials to a separate vendor who manufactures API.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Regional or single-source dependencies may in some cases accentuate these risks. For example, the pharmaceutical industry generally and in some instances we or our collaborators or other third parties on which we rely on depend on China-based suppliers or services providers for certain raw materials, products and services and other activities. Our ability or the ability of our collaborators or such other third parties to continue to engage these China-based suppliers or service providers for certain preclinical research programs and clinical development programs could be restricted due to developments between the United States and China, including as a result of the escalation of tariffs or other trade restrictions.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Recently, there has been legislation proposed that, if enacted, could negatively impact U.S. companies and institutions that accept U.S. funding for projects that utilize biotechnology equipment and services produced or provided by certain biotechnology providers having relationships with foreign adversaries and which pose a threat to national security. The potential downstream adverse impacts on entities having only commercial relationships with any impacted biotechnology providers is unknown but may include supply chain disruptions or delays. Though we do not currently receive U.S. government funding, we are currently evaluating steps to mitigate any potential impact of any future stricter legislation towards foreign entities providing services to U.S. based companies. Depending on the terms of the final legislation enacted, these steps could result in additional costs and potential delays in development timelines resulting from related transition efforts For all of our current or future product candidates, we intend to identify and qualify additional manufacturers to provide such API, drug product and drug substance prior to submission of an NDA to the FDA and/or an MAA to the EMA. We are not certain, however, that our single-source and dual source suppliers will be able to meet our demand for their products. It may be difficult for us to assess their ability to timely meet our demand in the future based on past performance.</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Establishing additional or replacement suppliers for the drug product and drug substance used in our current or future product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drug product and drug substance used in our current or future product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our executive management team’s ability to successfully pursue business development, strategic partnerships and investment opportunities as our company matures. We may also form or seek strategic alliances or acquisitions or enter into additional collaboration and licensing arrangements in the future, and we may not realize the benefits of such collaborations, alliances, acquisitions or licensing arrangements.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a collaboration and licensing arrangement with Sanofi with respect to our IRAK4 program and Gilead with respect to our CDK2 program and we may in the future form or seek strategic alliances or acquisitions, create joint ventures, or enter into additional collaboration and licensing arrangements with third parties that we believe will complement or augment our development and commercialization efforts with respect to our current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acquisition or other alternative arrangements for our current or future product candidates because they may be deemed to be at too early of a stage of development for collaborative effort and third parties may not view our current or future product candidates as having the requisite potential to demonstrate safety, potency, purity and efficacy and obtain marketing approval.</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collaborations involving our technologies or current or future product candidates are subject to numerous risks, which may include the following:</w:t>
      </w:r>
    </w:p>
    <w:p>
      <w:pPr>
        <w:spacing w:after="0" w:line="54"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current or future product candidates or may elect not to continue or renew development or commercialization of our current or future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current or future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current or future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pay milestones and royalties due to the company in a timely manner.</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a result, we may not be able to realize the benefit of our existing collaboration and licensing arrangements or any future strategic partnerships or acquisitions, collaborations or license arrangements we may enter into if we are unable to successfully integrate them with our existing operations and company culture, which could delay our timelines or otherwise adversely affect our business. We also cannot be certain that, following a strategic transaction, license, collaboration or other business development partnership, we will achieve the revenue or specific net income that justifies such transaction. Any delays in entering into new collaborations or strategic partnership agreements related to our current or future product candidates could delay the development and commercialization of our current or future product candidates in certain geographies or for certain indications, which would harm our business prospects, financial condition and results of operations.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example, we granted our collaboration partner Gilead an exclusive option for an exclusive license with respect to our CDK2 program, and future payments under our licensing arrangement with Gilead are contingent upon Gilead’s exercise of this option. In addition, Sanofi has significant discretion in determining the efforts and resources that it will apply to advance clinical trials of KT-485. As a result of the factors noted above, we may not be able to realize the benefit of our existing collaboration and licensing arrangements or any future strategic partnerships or acquisitions, collaborations or license arrangements we may enter into, which could delay our timelines or otherwise adversely affect our business.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preclinical and clinical programs and suspension or withdrawal of any regulatory approvals.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current or future product candidates, including leading to significant delays in the availability of our product candidates for our clinical trials or the termination of or suspension of a clinical trial, or the delay or prevention of a filing or approval of marketing applications for our current or future product candidates. Significant non-compliance could also result in the imposition of sanctions, including warning or untitled letters, fines, injunctions, civil penalties, failure of regulatory authorities to grant marketing approvals for our current or future product candidates, delays, suspension or withdrawal of approvals, license revocation, seizures or recalls of products, operating restrictions and criminal prosecutions, any of which could damage our reputation and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jc w:val="both"/>
        <w:spacing w:after="0" w:line="258" w:lineRule="auto"/>
        <w:rPr>
          <w:sz w:val="20"/>
          <w:szCs w:val="20"/>
          <w:color w:val="auto"/>
        </w:rPr>
      </w:pPr>
      <w:r>
        <w:rPr>
          <w:rFonts w:ascii="Times New Roman" w:cs="Times New Roman" w:eastAsia="Times New Roman" w:hAnsi="Times New Roman"/>
          <w:sz w:val="18"/>
          <w:szCs w:val="18"/>
          <w:color w:val="auto"/>
        </w:rPr>
        <w:t>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or other intellectual property protection in the U.S. and other countries for our current or future product candidates and our core technologies, including our proprietary TPD expertise, and our STAT6, IRAK4, IRF5, and CDK2 programs, which are our most advanced development programs, as well as our proprietary compound library, and other know-how.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1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own patent applications and patents related to our TPD technology and our novel bifunctional degrader compounds, including claims to compositions of matter, pharmaceutical compositions, methods of use, methods of treatment, and other related methods.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 into issued patents will include claims with a scope sufficient to protect our TPD expertise and our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 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9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or technologies, prosecution has yet to commence. Patent prosecution is a lengthy process, during which the scope of the claims initially submitted for examination by the relevant patent office(s) may be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jc w:val="both"/>
        <w:spacing w:after="0" w:line="261" w:lineRule="auto"/>
        <w:rPr>
          <w:sz w:val="20"/>
          <w:szCs w:val="20"/>
          <w:color w:val="auto"/>
        </w:rPr>
      </w:pPr>
      <w:r>
        <w:rPr>
          <w:rFonts w:ascii="Times New Roman" w:cs="Times New Roman" w:eastAsia="Times New Roman" w:hAnsi="Times New Roman"/>
          <w:sz w:val="18"/>
          <w:szCs w:val="18"/>
          <w:color w:val="auto"/>
        </w:rPr>
        <w:t>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opposition, derivation, reexamination, inter partes review, or post-grant review proceedings challenging our patent rights or the patent rights of others from whom we may in the future obtain licenses to such rights, in the U.S. Patent and Trademark Office, or USPTO, the European Patent Office, or EPO, or in other countries. In addition, we may be subject to third-party submissions to the USPTO, the EPO, or elsewhere, that may reduce the scope or preclude the granting of claims from our pending patent applications. Competitors may challenge our issued patents or may file patent applications before we do. Competitors may also claim that we are infringing their patents and that we therefore cannot practice our technology as claimed under our patents or patent applications. Competitors may also contest our patents by showing an administrative patent authority or judge that the invention was not patent-eligible, was not novel, was obvious, and/or lacked inventive step, and/or that the patent application failed to meet relevant requirements relating to description, basis, enablement, and/or support; in litigation, a competitor could assert that our patents are not valid or are unenforceable for a number of reasons. If a court or administrative patent authority agrees, we would lose our protection of those challenged patents.</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 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will not obtain patent or other intellectual property protection for all current or future product candidates in all jurisdictions throughout the world, and we may not be able to adequately enforce our intellectual property rights even in the jurisdictions where we seek protection.</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our TPD expertise, or other technologies in all countries. Filing, prosecuting and defending patents on current or future product candidates, our TPD expertise, and other technologies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infringing on our inventions in all countries outside the U.S., or from selling or importing products made using our inventions in and into the U.S. or other jurisdictions. Competitors may use our technologies in jurisdictions where we have not obtained patent protection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jc w:val="both"/>
        <w:spacing w:after="0" w:line="252" w:lineRule="auto"/>
        <w:rPr>
          <w:sz w:val="20"/>
          <w:szCs w:val="20"/>
          <w:color w:val="auto"/>
        </w:rPr>
      </w:pPr>
      <w:r>
        <w:rPr>
          <w:rFonts w:ascii="Times New Roman" w:cs="Times New Roman" w:eastAsia="Times New Roman" w:hAnsi="Times New Roman"/>
          <w:sz w:val="18"/>
          <w:szCs w:val="18"/>
          <w:color w:val="auto"/>
        </w:rPr>
        <w:t>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not obtain or grant licenses or sublicenses to intellectual property rights in all markets on equally or sufficiently favorable terms with third parties.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current or any future agreements under which we may license intellectual property rights from third parties or otherwise experience disruptions to our business relationships with our licensors, we could lose license rights that are important to our business.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in-licensed from Sanofi and other collaborators. Our commercial success depends upon our ability to develop, manufacture, market and sell our current or future product candidates and use our and our licensors’ proprietary technologies without infringing the proprietary rights of third parties. Sanofi and other collaborators may have the right to terminate their respective license agreements in full in the event that we materially breach or default in the performance of any of the obligations under such license agreements. Any termination of these licenses, or if the underlying patents fail to provide the intended exclusivity, could result in the loss of significant rights and could harm our ability to commercialize our current or future product candidates, our TPD expertise,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also arise between us and our current or future licensors regarding intellectual property subject to a license agreement, including:</w:t>
      </w:r>
    </w:p>
    <w:p>
      <w:pPr>
        <w:spacing w:after="0" w:line="117" w:lineRule="exact"/>
        <w:rPr>
          <w:sz w:val="20"/>
          <w:szCs w:val="20"/>
          <w:color w:val="auto"/>
        </w:rPr>
      </w:pPr>
    </w:p>
    <w:p>
      <w:pPr>
        <w:ind w:left="5540" w:right="3440" w:hanging="5023"/>
        <w:spacing w:after="0" w:line="532" w:lineRule="auto"/>
        <w:tabs>
          <w:tab w:leader="none" w:pos="10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are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 us and our partners.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current or future licensing arrangements on acceptable terms, we may be unable to successfully develop and commercialize the affected current or future product candidates or technologies, which could have a material adverse effect on our business, financial conditions, results of operations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a patent application that we own or may in-license;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Patent Protection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including patent term, depends on compliance with various procedural, document submission, deadlines, fee payment and other requirements imposed by governmental patent agencies, and our patent protection could be reduced or eliminated if we miss a filing deadline for patent protection on these inventions or otherwise fail to comply with these requirements.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current or future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Different laws govern the extension of patents on approved pharmaceutical products in Europe and other jurisdictions. However, we may not be granted a patent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may not be granted an extension in the U.S. if all of our patents covering an approved product expire more than fourteen years from the date of NDA approval for a product covered by those patents.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are therefore costly, time consuming and inherently uncertain.</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auto"/>
        </w:rPr>
        <w:t>Risks Related to Our Trademarks, Trade Names and Trade Secrets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for our products or company name are not adequately protected in one or more countries where we intend to market our products, we may delay the launch of product brand names, use different or less effective trademarks or tradenames in different countries, or face other potentially adverse consequences or impediments to building our product brand recognition.</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trademarks or trade name may be challenged, infringed, diluted, circumvented, declared generic, or determined to be infringing on other marks. In such a circumstance, we may not be able to protect our rights to these marks or may be forced to stop using product names, which we need for name recognition by potential partners and customers in our markets of interest.</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during the trademark registration process, we may receive Office Actions from the USPTO or from comparable agencies in foreign jurisdictions refusing registration of our trademarks.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USPTO and in comparable agencies in many foreign jurisdictions, third parties are also given an opportunity to oppose pending trademark applications and/or to seek the cancellation of registered trademarks. For example, in November 2019, Novartis AG filed actions in the U.S. and European Union trademark offices opposing our applications to register KYMERA and KYMERA THERAPEUTICS for pharmaceuticals and drug development services on the basis of its claimed rights in the KYMRIAH mark. This dispute was amicably settled in October 2020 and the involved applications for KYMERA and KYMERA THERAPEUTICS are now registered or allowed in the United States and have proceeded to registration in the European Union.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case of employees, we enter into agreements providing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Intellectual Property Litigation and Infringement Claims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1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Competitors may infringe any intellectual property we may own or in-license, including our patents and trademarks. In addition, any intellectual property we may own or in-license also may become the subject of a dispute, including those based on inventorship,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4" w:name="page75"/>
    <w:bookmarkEnd w:id="74"/>
    <w:p>
      <w:pPr>
        <w:jc w:val="both"/>
        <w:spacing w:after="0" w:line="252" w:lineRule="auto"/>
        <w:rPr>
          <w:sz w:val="20"/>
          <w:szCs w:val="20"/>
          <w:color w:val="auto"/>
        </w:rPr>
      </w:pPr>
      <w:r>
        <w:rPr>
          <w:rFonts w:ascii="Times New Roman" w:cs="Times New Roman" w:eastAsia="Times New Roman" w:hAnsi="Times New Roman"/>
          <w:sz w:val="18"/>
          <w:szCs w:val="18"/>
          <w:color w:val="auto"/>
        </w:rPr>
        <w:t>priority, validity or unenforceability.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any intellectual property we may own or in-license is not valid or is unenforceable or that the other party’s use of our technology that may be patented falls under the safe harbor to patent infringement under 35 U.S.C.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or other intellectual property we may own or in-license at risk of being invalidated, held unenforceable, or interpreted narrowly and could put our own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9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not be able to detect infringement against any intellectual property we may own or in-license. Even if we detect infringement by a third party of any intellectual property we may own or in-license, we may choose not to pursue litigation against or settlement with the third party. If we later sue such third party for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or other intellectual property we may own or in-license against such third party.</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Intellectual property litigation and administrative office challenges in one or more countries could cause us to spend substantial resources and distract our personnel from their normal responsibilities. Even if resolved in our favor, litigation or other legal proceedings relating to intellectual property claims may cause us to incur significant expenses, and could distract our technical and management personnel from their normal responsibilities. In August 2021, we initiated a US patent office proceeding, a post-grant review, to challenge a third-party patent unrelated to our current product candidates. In response, the owner of the challenged third-party patent disclaimed that patent in full. We may challenge additional third-party patents in the future.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preclinical studies and future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such disputes could adversely impact our business reputation and/or protection of our proprietary technology.</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our TPD expertise,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our TPD expertise, or other technologies, are rightfully owned by their former or concurrent employer. Litigation may be necessary to defend against these claims.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certain activities related to development and preclinical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current or future product candidates, or from using our proprietary technologies, including our TPD expertise, unless the third-party licenses its product rights to us, which it is not required to do on commercially reasonable terms or at all;</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6" w:name="page77"/>
    <w:bookmarkEnd w:id="76"/>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83"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or TPD expertise may be impaired or delayed, which could in turn significantly harm our business. Even if we obtain a license, it may be nonexclusive, thereby giving our competitors access to the same technologies licensed to us.</w:t>
      </w:r>
    </w:p>
    <w:p>
      <w:pPr>
        <w:spacing w:after="0" w:line="20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or technologies, which could harm our business significantly.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9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or technologies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Risks Related to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Employee Matters and Managing Growth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and business development expertise of Nello Mainolfi, Ph.D., our President and Chief Executive Officer, Jared Gollob, M.D., our Chief Medical Officer, Bruce Jacobs, our Chief Financial Officer, Ellen Chiniara, our Chief Legal Officer, Jeremy Chadwick, our Chief Operating Officer and Noah Goodman, our Chief Business Officer, as well as the other principal members of our management, scientific and clinical teams.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continue to develop and expand our company, and we may encounter difficulties in managing this development and expansion, which could disrupt our operations.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June 30, 2025, we had 218 full-time employees, and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expansion of our operations may lead to significant costs and may divert management’s time and financial resources from other projects, such as the development of our current or future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current or future product candidates, if approved, and compete effectively will depend, in part, on our ability to effectively manage the future development and expansion of our company.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unforeseen global events, natural disasters, and our business continuity and disaster recovery plans may not adequately protect us from a serious disaster.</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Unforeseen global events, such as macroeconomic conditions, outbreaks of violence, or geopolitical instability could adversely impact our business. Such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Additionally,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product candidates or interruption of our business operations. Natural disasters or pandemics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sublease our former space in Watertown, Massachusetts for occupancy now that we have moved to our new facility. If we are unable to sublease our space on favorable terms or if our subtenants are unable to meet their obligations under any sublease, we may be responsible for unexpected costs, which could impact our financial performance.</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currently lease 34,522 square feet of research and development and office space in Watertown, Massachusetts, which lease expires on March 31, 2030. In December 2021, we entered into a lease for 100,624 square feet of office and laboratory space in Watertown, Massachusetts, which we began occupying in February 2024. We intend to sublease our original space and are actively marketing the space to third parties. In the event that we are unable to sublease our original space on favorable terms, or at all, or if we are able to sublease our space but our subtenants fail to make lease payments to us or otherwise default on their obligations to us, we could incur unanticipated payment obligations or further impairment.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auto"/>
        </w:rPr>
        <w:t>Risks Related to Data and Privacy</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CROs or other contractors or consultants, may fail or suffer security breaches, which could result in a material disruption of our current or future product candidates’ development programs.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data from preclinical studies or clinical trials for our current or future product candidates could result in delays in our regulatory approval efforts and significantly increase our costs to recover or reproduce the data. To the extent that any disruption or security breach results in a loss of or damage to our data or applications, other data or applications relating to our technology or current or future product candidates, or inappropriate disclosure of confidential or proprietary information, we could incur liabilities and the further development of our current or future product candidates could be delayed.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from cyberattacks, security incidents, or compromises, which could result in the disclosure of confidential or proprietary information, including personal data, damage our reputation, and subject us to significant financial and legal exposure.</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security incident, or compromise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EU General Data Protection Regulation, or GDPR) and may cause a material adverse impact to our reputation, affect our ability to use collected data, conduct new studies and potentially disrupt our business.</w:t>
      </w:r>
    </w:p>
    <w:p>
      <w:pPr>
        <w:spacing w:after="0" w:line="19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certain of our service providers have experienced and may in the future experience cyberattacks. We rely on our third-party providers to implement effective security measures and identify and correct for any such failures, deficiencies or breaches. We also rely on our employees and consultants to safeguard their security credentials and follow our policies and procedures regarding use and access of computers and other devices that may contain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our collaborators and our service providers may be subject to a variety of privacy and data protection laws, regulations and contractual obligations, which may require us to incur substantial compliance costs, and any failure or perceived failure by us to comply with them could expose us to fines or other penalties and otherwise harm our business and operations.</w:t>
      </w:r>
    </w:p>
    <w:p>
      <w:pPr>
        <w:spacing w:after="0" w:line="1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be subject to data privacy and protection laws and regulations that apply to the collection, transmission, storage and use of sensitive information and personally-identifying information, which among other things, imposes certain requirements relating to the privacy, security and transmission of certain individually identifiable information. In addition, numerous other federal and state laws, including state security breach notification laws, state health information privacy laws and federal and state consumer protection laws,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0" w:name="page81"/>
    <w:bookmarkEnd w:id="80"/>
    <w:p>
      <w:pPr>
        <w:jc w:val="both"/>
        <w:spacing w:after="0" w:line="282" w:lineRule="auto"/>
        <w:rPr>
          <w:sz w:val="20"/>
          <w:szCs w:val="20"/>
          <w:color w:val="auto"/>
        </w:rPr>
      </w:pPr>
      <w:r>
        <w:rPr>
          <w:rFonts w:ascii="Times New Roman" w:cs="Times New Roman" w:eastAsia="Times New Roman" w:hAnsi="Times New Roman"/>
          <w:sz w:val="18"/>
          <w:szCs w:val="18"/>
          <w:color w:val="auto"/>
        </w:rPr>
        <w:t>govern the collection, use, disclosure and security of personal information. These laws continue to change and evolve and are increasing in breadth and impact.</w:t>
      </w:r>
    </w:p>
    <w:p>
      <w:pPr>
        <w:spacing w:after="0" w:line="162"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For example, with respect to the collection and processing of personal data relating to the European Union (“EU”), European Economic Area (“EEA”) and United Kingdom (“UK”), we are subject to the EU General Data Protection Regulation (EU GDPR), the UK General Data Protection Regulation (UK GDPR), as well as applicable data protection laws in effect in the Member States of the EEA and in the UK (including the UK Data Protection Act 2018) which govern the processing of personal data in connection with (a) the offering of goods or services to/the monitoring of the behavior of individuals in the UK and EEA; or (b) the activities of our establishments in the UK and any EEA Member State. The UK’s data protection regime is independent from but aligned to the EU’s data protection regime. In this Form 10-Q, “GDPR” refers to both the EU GDPR and the UK GDPR, unless specified otherwise. The GDPR is wide-ranging in scope and imposes numerous requirements on companies that process personal data, including imposing special requirements in respect of the processing of health and other sensitive data, requiring that consent of individuals to whom the personal data relates is obtained in certain circumstances, requiring additional disclosures to individuals regarding data processing activities, requiring that safeguards are implemented to protect the security and confidentiality of personal data, limiting retention periods for personal data, creating mandatory data breach notification requirements in certain circumstances, and requiring that certain measures (including contractual requirements) are put in place when engaging third-party service providers. The GDPR also imposes strict rules on the transfer of personal data to countries outside of the UK and EEA that do not ensure an adequate level of protection, including the United States in certain circumstances, unless derogation exists or a valid GDPR transfer mechanism (for example, the European Commission approved Standard Contractual Clauses (SCCs) and the UK International Data Transfer Agreement or Addendum (UK IDTA)) have been put in place, and transfer impact assessments conducted. Any inability to transfer personal data from the UK or EEA to the United States in compliance with data protection laws may impede our operations and may adversely affect our business and financial position. Following the UK’s exit from the EU, or Brexit, there will be increasing scope for divergence in application, interpretation and enforcement of the data protection laws between these territories. For example, the UK has introduced the Data Reform Bill into the UK legislative process with the intention for this bill to reform the UK’s data protection regime following Brexit. If passed, the final version of the Data Reform Bill may have the effect of further altering the similarities between the UK and EEA data protection regimes and threaten the UK adequacy decision from the EU Commission allowing the free flow of personal data from the UK to the EEA, which may lead to additional compliance costs and could increase our overall risk. This lack of clarity on future UK laws and regulations and their interaction with those of the EEA could add legal risk, uncertainty, complexity, and cost to our handling of European personal data and our privacy and security compliance programs, and could require us to implement different compliance measures for the UK and EEA. Failure to comply with the requirements of the GDPR and the related national data protection laws of the EEA Member States and the UK may result in fines up to €20 million (17.5 million for the UK GDPR) or 4% of a company’s global annual revenues for the preceding financial year, whichever is higher. The GDPR also confers a private right of action on data subjects and consumer associations to lodge complaints with supervisory authorities, seek judicial remedies, and obtain compensation for damages resulting from violations of the GDPR. Complying with these European data protection laws may impose significant costs or otherwise require us to divert resources or implement changes to our business processes, and any actual or perceived non-compliance could result in significant penalties, claims and reputational damage.</w:t>
      </w:r>
    </w:p>
    <w:p>
      <w:pPr>
        <w:spacing w:after="0" w:line="20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several layers of federal and state data protection laws and regulations may apply to our business, including HIPAA, the Federal Trade Commission (FTC) Act and state consumer privacy and health data privacy laws. For example, the California Consumer Privacy Act (CCPA) is a comprehensive privacy law that creates individual privacy rights and increased privacy and security obligations on businesses handling the personal data of California residents. The CCPA requires covered businesses to provide certain disclosures to consumers about data collection, use and sharing practices, to allow California residents to opt out of certain sales and disclosures of personal information, and to opt out of certain uses of sensitive personal information, including health information. The law also created a regulatory agency in California, and that agency’s finalized and proposed regulations are continuing to change the standard of privacy protection we may be required to meet. Numerous other states have passed similar consumer privacy laws that are or will be implemented and enforced by various state regulators. Like the CCPA, these laws grant consumers rights in relation to their personal information and impose new obligations on regulated businesses, including, in some instances, broader data security requirements.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federal and state legislators and regulators are imposing new and heightened protections for health and other sensitive information that could impact our business. For example, the Federal Trade Commission (FTC) has imposed stringent requirements on the collection and disclosure of sensitive categories of personal information, including health information, and has expanded the application of its Health Breach Notification Rule. Through executive and legislative action, the federal government has also taken steps to restrict data transactions involving certain sensitive data categories</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including health data, genetic data, and biospecimens – with persons affiliated with China, Russia, and other countries of concern. Washington’s My Health My Data Act, which went into effect in March 2024, requires regulated entities to obtain consent to collect health information, grants consumers certain rights, including to request deletion, and provides for robust enforcement mechanisms, including enforcement by the state attorney-general and by litigants through a private right of action for consumer claims. These current and future data privacy laws and regulations may require us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jc w:val="both"/>
        <w:spacing w:after="0" w:line="282" w:lineRule="auto"/>
        <w:rPr>
          <w:sz w:val="20"/>
          <w:szCs w:val="20"/>
          <w:color w:val="auto"/>
        </w:rPr>
      </w:pPr>
      <w:r>
        <w:rPr>
          <w:rFonts w:ascii="Times New Roman" w:cs="Times New Roman" w:eastAsia="Times New Roman" w:hAnsi="Times New Roman"/>
          <w:sz w:val="18"/>
          <w:szCs w:val="18"/>
          <w:color w:val="auto"/>
        </w:rPr>
        <w:t>modify our data collection or processing practices and policies, incur substantial costs and expenses in an effort to comply and increase our potential exposure to regulatory enforcement, reputational damage, and/or litigation.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Issues relating to the use of artificial intelligence and machine learning could adversely affect our business and operating results.</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our ongoing efforts to innovate and develop product candidates, we have integrated artificial intelligence (AI) and machine learning into virtual screening, hit validation and optimization technologies. While AI and machine learning presents opportunities for enhanced productivity and innovation, it also introduces inherent risks, including legal and regulatory, that could adversely impact our business and reputation. Proper use of AI and machine learning can lead to improved decision-making, cost reduction, and competitive advantage. However, improper use, including algorithmic biases, ethical considerations, data privacy issues, and potential regulatory non-compliance, could result in reputational damage, legal liabilities, and financial losses. The rapidly evolving regulatory landscape surrounding AI also poses a risk, as new laws and regulations could impose additional compliance burdens, resulting in increased operational costs to comply with U.S. and non-U.S. laws concerning the use of AI, the nature of which cannot be determined at this time. In addition, the European Union recently passed the Artificial Intelligence Act, whose regulations will be developed over the coming year and, in the U.S., the recent Executive Order concerning artificial intelligence may result in extensive new federal rule-making. We are committed to implementing governance and control mechanisms to mitigate these risks, but there can be no assurance that such measures will adequately prevent or mitigate the adverse effects that the integration and use of AI may have on our business, financial condition, and results of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volatile and fluctuate substantially, and investors may lose all or part of their investment.</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stock price has been volatile and may continue to be subject to wide fluctuations in response to various factors. The stock market in general and the market for biopharmaceutical companies in particular have experienced extreme volatility that has often been unrelated to the operating performance of particular companies, including in connection with conflicts in various regions of the world, increasing inflation rates, and interest rate changes, which have resulted in decreased stock prices for many companies notwithstanding the lack of a fundamental change in their underlying business models or prospects. As a result of this volatility, you may lose all or part of your investment. The market price for our common stock may be influenced by many factors, including:</w:t>
      </w:r>
    </w:p>
    <w:p>
      <w:pPr>
        <w:spacing w:after="0" w:line="79"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current or future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current or future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current or future product candidates or drugs;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our collaboration agreements, including announcements regarding our collaboration agreement with Sanofi and Gilead;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shares of our common stock to fluctuate substantially, regardless of our actual operating performance, which may limit or prevent investors from selling their shares at or above the price paid for the shares and may otherwise negatively affect the liquidity of our common stock. The realization of any of the above risks or any of a broad range of other risks, including those described in this section, could have a significant and material adverse impact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the market price of our common stock. The price of our common stock may be disproportionately affected as investors may favor traditional profit-making industries and companies during the times of market uncertainty and instability.</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global economic and geopolitical conditions may have serious adverse consequences on our business, financial condition, stock price and results of operations.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potential for significant changes in U.S policies or regulatory environment given the new administration, military conflict, including the ongoing conflicts between Russia and Ukraine, and in the Middle East, terrorism, or other geopolitical events. Sanctions imposed by the United States and other countries in response to such conflicts, including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 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9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Changes in U.S. federal policy that affect the geopolitical landscape could give rise to circumstances outside our control that could have negative impacts on our business operations. In 2025, the United States imposed significant tariffs on imports from other countries, including a baseline tariff of 10% on imports into the United States and higher tariffs on multiple designated countries (including the EU Member States, China, Canada, and Mexico), such as "reciprocal" tariffs at varying rates. Such tariffs have prompted retaliatory measures from several countries, which may further escalate. On April 9, 2025, the U.S. announced a temporary pause on its tariffs applicable to many countries, while increasing the tariffs applicable to imports from China. In addition, the current U.S. administration has expressed an intent to impose tariffs on pharmaceutical imports, with the stated policy objective of reshoring pharmaceutical manufacturing to the United States. Among other means, such tariffs may be imposed by the United States under Section 232 of the Trade Expansion Act of 1962, as amended, pursuant to which the U.S. Department of Commerce recently initiated an investigation to determine the effects of importing pharmaceuticals and pharmaceutical ingredients on national security. The new U.S. administration has threatened to continue to broadly impose tariffs, which could lead to corresponding punitive actions by the countries with which the U.S. trades. Historically, tariffs have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We are continuing to monitor global capital markets and assessing the potential impact of these factors on our business.</w:t>
      </w:r>
    </w:p>
    <w:p>
      <w:pPr>
        <w:spacing w:after="0" w:line="1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have control over these analysts. Although we have obtained research coverage from certain analysts, there can be no assurance that analysts will continue to cover us or provide favorable coverage. If one or more of the analysts covering our business downgrade their evaluations of our stock, the price of our stock could decline. In addition, if one or more of these analysts cease to cover our stock, we could lose visibility in the market for our stock, which in turn could cause our stock price to decline.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June 30, 2025, the existing holdings of our executive officers, directors, principal stockholders and their affiliates represent beneficial ownership, in the aggregate, of approximately 25%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This may prevent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3" w:name="page84"/>
    <w:bookmarkEnd w:id="83"/>
    <w:p>
      <w:pPr>
        <w:jc w:val="both"/>
        <w:spacing w:after="0" w:line="254" w:lineRule="auto"/>
        <w:rPr>
          <w:sz w:val="20"/>
          <w:szCs w:val="20"/>
          <w:color w:val="auto"/>
        </w:rPr>
      </w:pPr>
      <w:r>
        <w:rPr>
          <w:rFonts w:ascii="Times New Roman" w:cs="Times New Roman" w:eastAsia="Times New Roman" w:hAnsi="Times New Roman"/>
          <w:sz w:val="18"/>
          <w:szCs w:val="18"/>
          <w:color w:val="auto"/>
        </w:rPr>
        <w:t>discourage unsolicited acquisition proposals or offers for our common stock that you may feel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 Additionally, from time to time, any of our non-affiliated shareholders may accumulate or acquire significant positions in our common stock and may similarly be able to influence our business or matters submitted to our stockholders for approval. The concentration of voting power among these stockholders may also have an adverse effect on the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issued a substantial number of warrants and equity awards from our equity plans which are exercisable into shares of our common stock which could result in substantial dilution to the ownership interests of our existing stockholders.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June 30, 2025, approximately 15,815,253 shares of our common stock were reserved for issuance upon exercise of pre-funded warrants. Additionally, 12,229,982 shares of our common stock were reserved for issuance upon exercise of outstanding stock options and vested restricted stock units. The exercise or conversion of these securities will result in a significant increase in the number of outstanding shares and substantially dilute the ownership interests of our existing stockholders. The shares underlying the equity awards from our equity plans are registered on a Form S-8 registration statement. As a result, upon vesting these shares can be freely exercised and sold in the public market upon issuance, subject to volume limitations applicable to affiliates. The exercise of options and the subsequent sale of the underlying common stock could cause a decline in our stock price.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Persons who were our stockholders prior to our initial public offering continue to hold a substantial number of shares of our common stock that many of them are now able to sell in the public market. Significant portions of these shares are held by a relatively small number of stockholders, none of whom have entered into agreements restricting their ability to sell their shares. Sales by our stockholders of a substantial number of shares or distributions of their holdings to their respective limited partners and other equity holders, or the expectation that such sales or distributions, or the expectation that such sales may occur, could significantly reduce the market price of our common stock.</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Shares issued upon the exercise of stock options outstanding or settlement of restricted stock units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Certain holders of our common stock have rights, subject to conditions, to require us to file registration statements covering their shares or to include their shares in registration statements that we may file for ourselves or other stockholders. We have also filed registration statements on Form S-8 registering the issuance of shares of common stock issued or reserved for future issuance under our equity compensation plans. Shares registered under this registration statement on Form S-8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our prior sales agreement, or Cowen Sales Agreement, with Cowen and Company, LLC, or Cowen, we had the ability to offer and sell up to an aggregate amount of $250.0 million of our common stock from time to time in “at-the-market” offerings, subject to the limitations thereof. From October 1, 2021 through the date of its termination in October 2024, we sold 1,519,453 shares of common stock through the Cowen Sales Agreement for an aggregate of approximately $50 million.</w:t>
      </w:r>
    </w:p>
    <w:p>
      <w:pPr>
        <w:spacing w:after="0" w:line="187"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On October 31, 2024,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or the Jefferies Sales Agreement, with Jefferies LLC pursuant to which we may offer and sell our common stock, subject to certain limitations in the sales agreement and compliance with applicable law, at any time throughout the term of the Jefferies Sales Agreement. The number of shares that are sold by Jefferies after delivering a placement notice will fluctuate based on the market price of the common stock during the sales period and limits we set with Jefferies. Because the price per share of each share sold will fluctuate based on the market price of our common stock during the sales period, it is not possible at this stage to predict the number of shares that will be ultimately issued. Sales to, or through, Jefferies by us could result in substantial dilution to the interests of other holders of our common stock. Additionally, the sale of a substantial number of shares of our common stock, or the anticipation of such sales, could make it more difficult for us to sell equity or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jc w:val="both"/>
        <w:spacing w:after="0" w:line="282" w:lineRule="auto"/>
        <w:rPr>
          <w:sz w:val="20"/>
          <w:szCs w:val="20"/>
          <w:color w:val="auto"/>
        </w:rPr>
      </w:pPr>
      <w:r>
        <w:rPr>
          <w:rFonts w:ascii="Times New Roman" w:cs="Times New Roman" w:eastAsia="Times New Roman" w:hAnsi="Times New Roman"/>
          <w:sz w:val="18"/>
          <w:szCs w:val="18"/>
          <w:color w:val="auto"/>
        </w:rPr>
        <w:t>equity-related securities in the future at a time and at a price that we might otherwise wish to effect sales. There have not yet been any sales made pursuant to the Jefferies Sales Agreement.</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investors’ sole source of gain.</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investors’ sole source of gain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an increased risk of securities class action litigation.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 Additionally,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rules dealing with U.S. federal, state and local and non-U.S. taxation are constantly under review by persons involved in the legislative process and by the Internal Revenue Service, or IRS, the U.S. Treasury Department and other taxing authorities. Changes to tax laws (which changes may have retroactive application) could adversely affect us or holders of our common stock. These changes could subject us to additional income-based taxes and non-income taxes (such as payroll, sales, use, value-added,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In recent years, many such changes have been made and changes are likely to continue to occur in the future.</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we expand the scale of our business activities, any changes in the U.S. and non-U.S. taxation of such activities may increase our effective tax rate and harm our business, financial condition and results of operations. You are urged to consult your tax advisor regarding the implications of potential changes in tax laws on an investment in our common stock.</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to offset future taxable income may be subject to certain limitations, and, as a result, unavailable to reduce our future tax liability.</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2024, we had federal and state net operating loss carryforwards of $221.3 million and $238.3 million, respectively, which begin to expire in various amounts in 2037 (other than federal net operating loss carryforwards arising in taxable years beginning after December 31, 2017, which are not subject to expiration but the deductibility of such federal NOLs may be limited to 80% of our taxable income annually for tax years beginning after December 31, 2020). As of December 31, 2024, we also had federal and state research and development tax credit carryforwards of $33.1 million and $12.0 million, respectively, which begin to expire in 2032. These net operating loss and tax credit carryforwards could expire unused and be unavailable to offset future income tax liabilities.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where the aggregate stock ownership of one or more stockholders or groups of stockholders who own at least 5% of a corporation’s stock increases by more than 50 percentage points over the lowest ownership percentage of such stockholders or groups of stockholders within a specified testing period. Our existing NOLs or credits may be subject to limitations arising from previous ownership changes. In addition, future changes in our stock ownership, many of which are outside of our control, could result in an ownership change under Sections 382 and 383 of the Code and limit our ability to utilize NOLs or credit. Our NOLs or credits may also be impaired under state law. Accordingly, we may not be able to utilize a material portion of our NOLs or credits. Furthermore, our ability to utilize our NOLs or credits is conditioned upon our attaining profitability and generating U.S. federal and state taxable income. As described above under “Risk Factors-Risks Related to our Financial Position and Need for Additional Capital,” we have incurred significant net losses since our inception and anticipate that we will continue to incur significant losses for the foreseeable future; and therefore, we do not know whether or when we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jc w:val="both"/>
        <w:spacing w:after="0" w:line="282" w:lineRule="auto"/>
        <w:rPr>
          <w:sz w:val="20"/>
          <w:szCs w:val="20"/>
          <w:color w:val="auto"/>
        </w:rPr>
      </w:pPr>
      <w:r>
        <w:rPr>
          <w:rFonts w:ascii="Times New Roman" w:cs="Times New Roman" w:eastAsia="Times New Roman" w:hAnsi="Times New Roman"/>
          <w:sz w:val="18"/>
          <w:szCs w:val="18"/>
          <w:color w:val="auto"/>
        </w:rPr>
        <w:t>will generate the U.S. federal or state taxable income necessary to utilize our NOLs or credit carryforwards that are subject to limitation by Sections 382 and 383 of the Code.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Controls and Reporting Requirements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operating results and our ability to operate our business could be harmed.</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internal control over financial reporting is a process designed to provide reasonable assurance regarding the reliability of financial reporting and the preparation of financial statements in accordance with generally accepted accounting principles. Pursuant to Section 404 of the Sarbanes-Oxley Act of 2002, or Section 404, we are required to furnish a report by our management on our internal control over financial reporting, including an attestation report on internal control over financial reporting issued by our independent registered public accounting firm.</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achieve compliance with Section 404, we have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investors’ perceptions that our internal controls are inadequate or that we are unable to produce accurate financial statements on a timely basis may harm our stock price and make it more difficult for us to effectively market and sell any of our present or future product candidates that may receive regulatory approval.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Charter and Bylaws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fourth amended and restated certificate of incorporation and our second amended and restated bylaws contain provisions that could delay or prevent a change of control of our company or changes in our board of directors that our stockholders might consider favorable. Some of these provisions include:</w:t>
      </w:r>
    </w:p>
    <w:p>
      <w:pPr>
        <w:spacing w:after="0" w:line="68" w:lineRule="exact"/>
        <w:rPr>
          <w:sz w:val="20"/>
          <w:szCs w:val="20"/>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6" w:name="page87"/>
    <w:bookmarkEnd w:id="86"/>
    <w:p>
      <w:pPr>
        <w:jc w:val="both"/>
        <w:ind w:left="1020" w:right="2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or DGCL,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based on a breach of a fiduciary duty owed by any director, officer or other employee of ours to us or our stockholders; (3) any action asserting a claim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as applicable.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and other state courts have upheld the validity of, that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Congress or the current administration may make substantial changes to fiscal, tax, and other federal policies that may adversely affect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the start of the current administration in 2025, there have been significant changes to U.S. trade, healthcare, immigration and government regulatory policy and additional changes are likely. For example, the U.S. government has also imposed substantial tariffs on most countries throughout the world and has further threatened to continue to broadly impose tariffs, which could lead to corresponding punitive actions by the countries with which the U.S. trades. Changes to U.S. policy implemented by the U.S. Congress, the current administration or any new future administration have impacted and may in the future impact, among other things, the U.S. and global economy, international trade relations, unemployment, immigration, healthcare, taxation, the U.S. regulatory environment,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7" w:name="page88"/>
    <w:bookmarkEnd w:id="87"/>
    <w:p>
      <w:pPr>
        <w:jc w:val="both"/>
        <w:spacing w:after="0" w:line="261" w:lineRule="auto"/>
        <w:rPr>
          <w:sz w:val="20"/>
          <w:szCs w:val="20"/>
          <w:color w:val="auto"/>
        </w:rPr>
      </w:pPr>
      <w:r>
        <w:rPr>
          <w:rFonts w:ascii="Times New Roman" w:cs="Times New Roman" w:eastAsia="Times New Roman" w:hAnsi="Times New Roman"/>
          <w:sz w:val="18"/>
          <w:szCs w:val="18"/>
          <w:color w:val="auto"/>
        </w:rPr>
        <w:t>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quarter ended June 30, 2025, we did not have any sales of unregistered securities.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discloses any officer (as defined in Rule 16a-1(f) under the Securities Exchange Act of 1934, as amended) or director who adopted a Rule 10b5-1 trading arrangement or non-Rule 10b5-1 trading arrangement (as such terms are defined in Item 408 of Regulation S-K) during the three months ended June 30, 2025:</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2360" w:type="dxa"/>
            <w:vAlign w:val="bottom"/>
            <w:tcBorders>
              <w:top w:val="single" w:sz="8" w:color="auto"/>
              <w:left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 Trading</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Action Taken</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Duration or End</w:t>
            </w:r>
          </w:p>
        </w:tc>
        <w:tc>
          <w:tcPr>
            <w:tcW w:w="2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Number of</w:t>
            </w:r>
          </w:p>
        </w:tc>
        <w:tc>
          <w:tcPr>
            <w:tcW w:w="222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Description of Trading</w:t>
            </w:r>
          </w:p>
        </w:tc>
      </w:tr>
      <w:tr>
        <w:trPr>
          <w:trHeight w:val="265"/>
        </w:trPr>
        <w:tc>
          <w:tcPr>
            <w:tcW w:w="2360" w:type="dxa"/>
            <w:vAlign w:val="bottom"/>
            <w:tcBorders>
              <w:left w:val="single" w:sz="8" w:color="auto"/>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Arrangement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Action)</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Sold</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r>
      <w:tr>
        <w:trPr>
          <w:trHeight w:val="189"/>
        </w:trPr>
        <w:tc>
          <w:tcPr>
            <w:tcW w:w="2360" w:type="dxa"/>
            <w:vAlign w:val="bottom"/>
            <w:tcBorders>
              <w:left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color w:val="auto"/>
              </w:rPr>
              <w:t>Jared Gollob</w:t>
            </w:r>
          </w:p>
        </w:tc>
        <w:tc>
          <w:tcPr>
            <w:tcW w:w="17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Trading plan intended</w:t>
            </w:r>
          </w:p>
        </w:tc>
        <w:tc>
          <w:tcPr>
            <w:tcW w:w="13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Adoption (June</w:t>
            </w:r>
          </w:p>
        </w:tc>
        <w:tc>
          <w:tcPr>
            <w:tcW w:w="14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December 31,</w:t>
            </w:r>
          </w:p>
        </w:tc>
        <w:tc>
          <w:tcPr>
            <w:tcW w:w="22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111,997</w:t>
            </w:r>
          </w:p>
        </w:tc>
        <w:tc>
          <w:tcPr>
            <w:tcW w:w="22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Exercises of vested stock</w:t>
            </w:r>
          </w:p>
        </w:tc>
      </w:tr>
      <w:tr>
        <w:trPr>
          <w:trHeight w:val="218"/>
        </w:trPr>
        <w:tc>
          <w:tcPr>
            <w:tcW w:w="2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 satisfy the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2, 2025)</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22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options and sales of shares of</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affirmative defense</w:t>
            </w:r>
          </w:p>
        </w:tc>
        <w:tc>
          <w:tcPr>
            <w:tcW w:w="13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the Company’s common</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conditions of</w:t>
            </w:r>
          </w:p>
        </w:tc>
        <w:tc>
          <w:tcPr>
            <w:tcW w:w="13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pursuant to the terms of</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Securities Exchange</w:t>
            </w:r>
          </w:p>
        </w:tc>
        <w:tc>
          <w:tcPr>
            <w:tcW w:w="13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trading plan</w:t>
            </w: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Act Rule 10b5- 1(c)</w:t>
            </w:r>
          </w:p>
        </w:tc>
        <w:tc>
          <w:tcPr>
            <w:tcW w:w="13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r>
      <w:tr>
        <w:trPr>
          <w:trHeight w:val="24"/>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bl>
    <w:p>
      <w:pPr>
        <w:spacing w:after="0" w:line="2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as disclosed above, no other officer or director adopted, modified or terminated a Rule 10b5-1 trading arrangement or non-Rule 10b5-1 trading arrangement (as such terms are defined in Item 408 of Regulation S-K) during the three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6020" w:type="dxa"/>
            <w:vAlign w:val="bottom"/>
            <w:gridSpan w:val="9"/>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tcPr>
          <w:p>
            <w:pPr>
              <w:spacing w:after="0"/>
              <w:rPr>
                <w:sz w:val="15"/>
                <w:szCs w:val="15"/>
                <w:color w:val="auto"/>
              </w:rPr>
            </w:pPr>
          </w:p>
        </w:tc>
        <w:tc>
          <w:tcPr>
            <w:tcW w:w="602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4"/>
                <w:szCs w:val="24"/>
                <w:color w:val="auto"/>
              </w:rPr>
            </w:pPr>
          </w:p>
        </w:tc>
        <w:tc>
          <w:tcPr>
            <w:tcW w:w="10120" w:type="dxa"/>
            <w:vAlign w:val="bottom"/>
            <w:gridSpan w:val="12"/>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Form of Pre-Funded Warrant (incorporated by reference to Exhibit 4.1 to the Company’s Current Report on Form 8-K filed with the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2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Securities and Exchange Commission on June 27, 2025).</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20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10120" w:type="dxa"/>
            <w:vAlign w:val="bottom"/>
            <w:gridSpan w:val="12"/>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Registration Rights Agreement among Kymera Therapeutics, Inc. and certain of its stockholders, dated June 26, 2025 (incorporated by</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reference to Exhibit 10.1 to the Company’s Current Report on Form 8-K filed with the Securities and Exchange Commission on June 27,</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2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2025).</w:t>
              </w:r>
            </w:hyperlink>
          </w:p>
        </w:tc>
        <w:tc>
          <w:tcPr>
            <w:tcW w:w="3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101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Letter between the Registrant and Genzyme Corporation, dated as of April 10, 2025.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4"/>
                <w:szCs w:val="24"/>
                <w:color w:val="auto"/>
              </w:rPr>
            </w:pPr>
          </w:p>
        </w:tc>
        <w:tc>
          <w:tcPr>
            <w:tcW w:w="101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Amended and Restated Non-Employee Director Compensation Policy dated June 25, 2025.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1620" w:type="dxa"/>
            <w:vAlign w:val="bottom"/>
            <w:tcBorders>
              <w:right w:val="single" w:sz="8" w:color="0000EE"/>
            </w:tcBorders>
            <w:gridSpan w:val="2"/>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101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464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101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8700" w:type="dxa"/>
            <w:vAlign w:val="bottom"/>
            <w:gridSpan w:val="6"/>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101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9120" w:type="dxa"/>
            <w:vAlign w:val="bottom"/>
            <w:gridSpan w:val="9"/>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912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101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20" w:type="dxa"/>
            <w:vAlign w:val="bottom"/>
            <w:gridSpan w:val="11"/>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92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10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4"/>
                <w:szCs w:val="24"/>
                <w:color w:val="auto"/>
              </w:rPr>
            </w:pPr>
          </w:p>
        </w:tc>
        <w:tc>
          <w:tcPr>
            <w:tcW w:w="10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10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jc w:val="both"/>
        <w:ind w:firstLine="8"/>
        <w:spacing w:after="0" w:line="266" w:lineRule="auto"/>
        <w:tabs>
          <w:tab w:leader="none" w:pos="14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any compensatory plan, contract or arrangement.</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(indicated by asterisks) were omitted in accordance with the rules of the Securities and Exchange Commission.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Kymera Therapeutics,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24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Nello Mainolfi, Ph.D.</w:t>
            </w:r>
          </w:p>
        </w:tc>
      </w:tr>
      <w:tr>
        <w:trPr>
          <w:trHeight w:val="187"/>
        </w:trPr>
        <w:tc>
          <w:tcPr>
            <w:tcW w:w="35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Nello Mainolfi, Ph.D</w:t>
            </w:r>
            <w:r>
              <w:rPr>
                <w:rFonts w:ascii="Times New Roman" w:cs="Times New Roman" w:eastAsia="Times New Roman" w:hAnsi="Times New Roman"/>
                <w:sz w:val="18"/>
                <w:szCs w:val="18"/>
                <w:color w:val="auto"/>
              </w:rPr>
              <w:t>.</w:t>
            </w:r>
          </w:p>
        </w:tc>
      </w:tr>
      <w:tr>
        <w:trPr>
          <w:trHeight w:val="238"/>
        </w:trPr>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24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Bruce Jacobs, CFA, MBA</w:t>
            </w:r>
          </w:p>
        </w:tc>
      </w:tr>
      <w:tr>
        <w:trPr>
          <w:trHeight w:val="187"/>
        </w:trPr>
        <w:tc>
          <w:tcPr>
            <w:tcW w:w="35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Bruce Jacobs, CFA, MBA</w:t>
            </w:r>
          </w:p>
        </w:tc>
      </w:tr>
      <w:tr>
        <w:trPr>
          <w:trHeight w:val="238"/>
        </w:trPr>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648"/>
        </w:trPr>
        <w:tc>
          <w:tcPr>
            <w:tcW w:w="3580" w:type="dxa"/>
            <w:vAlign w:val="bottom"/>
          </w:tcPr>
          <w:p>
            <w:pPr>
              <w:spacing w:after="0"/>
              <w:rPr>
                <w:sz w:val="24"/>
                <w:szCs w:val="24"/>
                <w:color w:val="auto"/>
              </w:rPr>
            </w:pPr>
          </w:p>
        </w:tc>
        <w:tc>
          <w:tcPr>
            <w:tcW w:w="2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86</w:t>
            </w:r>
          </w:p>
        </w:tc>
        <w:tc>
          <w:tcPr>
            <w:tcW w:w="5220" w:type="dxa"/>
            <w:vAlign w:val="bottom"/>
          </w:tcPr>
          <w:p>
            <w:pPr>
              <w:spacing w:after="0"/>
              <w:rPr>
                <w:sz w:val="24"/>
                <w:szCs w:val="24"/>
                <w:color w:val="auto"/>
              </w:rPr>
            </w:pPr>
          </w:p>
        </w:tc>
      </w:tr>
      <w:tr>
        <w:trPr>
          <w:trHeight w:val="763"/>
        </w:trPr>
        <w:tc>
          <w:tcPr>
            <w:tcW w:w="35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p>
      <w:pPr>
        <w:ind w:left="240" w:right="140" w:hanging="131"/>
        <w:spacing w:after="0" w:line="295" w:lineRule="auto"/>
        <w:rPr>
          <w:sz w:val="20"/>
          <w:szCs w:val="20"/>
          <w:color w:val="auto"/>
        </w:rPr>
      </w:pPr>
      <w:r>
        <w:rPr>
          <w:rFonts w:ascii="Times New Roman" w:cs="Times New Roman" w:eastAsia="Times New Roman" w:hAnsi="Times New Roman"/>
          <w:sz w:val="19"/>
          <w:szCs w:val="19"/>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Kymera Therapeutics,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500 North Beacon Street, 4th Floor</w:t>
      </w:r>
    </w:p>
    <w:p>
      <w:pPr>
        <w:spacing w:after="0"/>
        <w:rPr>
          <w:sz w:val="20"/>
          <w:szCs w:val="20"/>
          <w:color w:val="auto"/>
        </w:rPr>
      </w:pPr>
      <w:r>
        <w:rPr>
          <w:rFonts w:ascii="Times New Roman" w:cs="Times New Roman" w:eastAsia="Times New Roman" w:hAnsi="Times New Roman"/>
          <w:sz w:val="20"/>
          <w:szCs w:val="20"/>
          <w:color w:val="auto"/>
        </w:rPr>
        <w:t>Watertown, MA 02472</w:t>
      </w:r>
    </w:p>
    <w:p>
      <w:pPr>
        <w:spacing w:after="0"/>
        <w:rPr>
          <w:sz w:val="20"/>
          <w:szCs w:val="20"/>
          <w:color w:val="auto"/>
        </w:rPr>
      </w:pPr>
      <w:r>
        <w:rPr>
          <w:rFonts w:ascii="Times New Roman" w:cs="Times New Roman" w:eastAsia="Times New Roman" w:hAnsi="Times New Roman"/>
          <w:sz w:val="20"/>
          <w:szCs w:val="20"/>
          <w:color w:val="auto"/>
        </w:rPr>
        <w:t>Attn: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(which will not constitute notice)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Goodwin Procter LLP</w:t>
      </w:r>
    </w:p>
    <w:p>
      <w:pPr>
        <w:spacing w:after="0"/>
        <w:rPr>
          <w:sz w:val="20"/>
          <w:szCs w:val="20"/>
          <w:color w:val="auto"/>
        </w:rPr>
      </w:pPr>
      <w:r>
        <w:rPr>
          <w:rFonts w:ascii="Times New Roman" w:cs="Times New Roman" w:eastAsia="Times New Roman" w:hAnsi="Times New Roman"/>
          <w:sz w:val="20"/>
          <w:szCs w:val="20"/>
          <w:color w:val="auto"/>
        </w:rPr>
        <w:t>Attn: Sarah Solomon</w:t>
      </w:r>
    </w:p>
    <w:p>
      <w:pPr>
        <w:spacing w:after="0"/>
        <w:rPr>
          <w:sz w:val="20"/>
          <w:szCs w:val="20"/>
          <w:color w:val="auto"/>
        </w:rPr>
      </w:pPr>
      <w:r>
        <w:rPr>
          <w:rFonts w:ascii="Times New Roman" w:cs="Times New Roman" w:eastAsia="Times New Roman" w:hAnsi="Times New Roman"/>
          <w:sz w:val="20"/>
          <w:szCs w:val="20"/>
          <w:color w:val="auto"/>
        </w:rPr>
        <w:t>100 Northern Avenue</w:t>
      </w:r>
    </w:p>
    <w:p>
      <w:pPr>
        <w:spacing w:after="0"/>
        <w:rPr>
          <w:sz w:val="20"/>
          <w:szCs w:val="20"/>
          <w:color w:val="auto"/>
        </w:rPr>
      </w:pPr>
      <w:r>
        <w:rPr>
          <w:rFonts w:ascii="Times New Roman" w:cs="Times New Roman" w:eastAsia="Times New Roman" w:hAnsi="Times New Roman"/>
          <w:sz w:val="20"/>
          <w:szCs w:val="20"/>
          <w:color w:val="auto"/>
        </w:rPr>
        <w:t>Boston, MA 02210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Email and FedEx</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April 10,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Amended and Restated Collaboration and License Agreement, dated November 15, 2022 – [***]</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Ladies and Gentlemen,</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Reference is hereby made to the Amended and Restated Collaboration and License Agreement, entered into as of November 15, 2022, by and between Kymera Therapeutics, Inc., a corporation organized under the laws of the State of Delaware (“</w:t>
      </w:r>
      <w:r>
        <w:rPr>
          <w:rFonts w:ascii="Times New Roman" w:cs="Times New Roman" w:eastAsia="Times New Roman" w:hAnsi="Times New Roman"/>
          <w:sz w:val="20"/>
          <w:szCs w:val="20"/>
          <w:b w:val="1"/>
          <w:bCs w:val="1"/>
          <w:color w:val="auto"/>
        </w:rPr>
        <w:t>Kymera</w:t>
      </w:r>
      <w:r>
        <w:rPr>
          <w:rFonts w:ascii="Times New Roman" w:cs="Times New Roman" w:eastAsia="Times New Roman" w:hAnsi="Times New Roman"/>
          <w:sz w:val="20"/>
          <w:szCs w:val="20"/>
          <w:color w:val="auto"/>
        </w:rPr>
        <w:t>”), and Genzyme Corporation, a corporation organized under the laws of the Commonwealth of Massachusetts (“</w:t>
      </w:r>
      <w:r>
        <w:rPr>
          <w:rFonts w:ascii="Times New Roman" w:cs="Times New Roman" w:eastAsia="Times New Roman" w:hAnsi="Times New Roman"/>
          <w:sz w:val="20"/>
          <w:szCs w:val="20"/>
          <w:b w:val="1"/>
          <w:bCs w:val="1"/>
          <w:color w:val="auto"/>
        </w:rPr>
        <w:t>Sanofi</w:t>
      </w:r>
      <w:r>
        <w:rPr>
          <w:rFonts w:ascii="Times New Roman" w:cs="Times New Roman" w:eastAsia="Times New Roman" w:hAnsi="Times New Roman"/>
          <w:sz w:val="20"/>
          <w:szCs w:val="20"/>
          <w:color w:val="auto"/>
        </w:rPr>
        <w:t>”), as amended by that certain Letter, entered into as of November 14, 2023, by and between Kymera and Sanofi, and that certain Letter, entered into as of July 31, 2024, by and between Kymera and Sanofi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Kymera and Sanofi are referred to in this Letter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Capitalized terms used but not defined herein will have the meanings ascribed to such terms in the Agreement.</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Parties desire to collaborate on certain [***] and pursuant to Section 18.5 of the Agreement, the Parties desire to amend the Agreement in accordance with the terms and conditions set forth herein.</w:t>
      </w:r>
    </w:p>
    <w:p>
      <w:pPr>
        <w:spacing w:after="0" w:line="14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consideration of the foregoing premises and the mutual covenants herein contained, the Parties hereby agree that a new Section 3.2.4 of the Agreement is hereby added as follows:</w:t>
      </w:r>
    </w:p>
    <w:p>
      <w:pPr>
        <w:spacing w:after="0" w:line="142"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3.2.4 Sanofi may propose amendments to the Early Development Plan during the Research Term to include [***] in each case that are (a) mutually agreed upon by the Parties and (b) conducted by or on behalf of Sanofi [***]. Sanofi will promptly provide any such proposed amendment to the Early Development Plan to the JRDC for review and discussion. No update or material amendment to the Early Development Plan will be effective unless and until approved by the JRDC in accordance with </w:t>
      </w:r>
      <w:r>
        <w:rPr>
          <w:rFonts w:ascii="Times New Roman" w:cs="Times New Roman" w:eastAsia="Times New Roman" w:hAnsi="Times New Roman"/>
          <w:sz w:val="20"/>
          <w:szCs w:val="20"/>
          <w:b w:val="1"/>
          <w:bCs w:val="1"/>
          <w:u w:val="single" w:color="auto"/>
          <w:color w:val="auto"/>
        </w:rPr>
        <w:t>Section 9.2.2(b)</w:t>
      </w:r>
      <w:r>
        <w:rPr>
          <w:rFonts w:ascii="Times New Roman" w:cs="Times New Roman" w:eastAsia="Times New Roman" w:hAnsi="Times New Roman"/>
          <w:sz w:val="20"/>
          <w:szCs w:val="20"/>
          <w:b w:val="1"/>
          <w:bCs w:val="1"/>
          <w:color w:val="auto"/>
        </w:rPr>
        <w:t>; provided that, Sanofi shall have final decision-making authority in the event that such [***].</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color w:val="auto"/>
        </w:rPr>
        <w:t>The Parties hereby further agree that Section 9.9.2(b)(i) of the Agreement is hereby amended and restated in its entirety as follows:</w:t>
      </w:r>
    </w:p>
    <w:p>
      <w:pPr>
        <w:spacing w:after="0" w:line="202" w:lineRule="exact"/>
        <w:rPr>
          <w:sz w:val="20"/>
          <w:szCs w:val="20"/>
          <w:color w:val="auto"/>
        </w:rPr>
      </w:pPr>
    </w:p>
    <w:p>
      <w:pPr>
        <w:jc w:val="both"/>
        <w:ind w:left="760"/>
        <w:spacing w:after="0" w:line="247" w:lineRule="auto"/>
        <w:rPr>
          <w:sz w:val="20"/>
          <w:szCs w:val="20"/>
          <w:color w:val="auto"/>
        </w:rPr>
      </w:pPr>
      <w:r>
        <w:rPr>
          <w:rFonts w:ascii="Times New Roman" w:cs="Times New Roman" w:eastAsia="Times New Roman" w:hAnsi="Times New Roman"/>
          <w:sz w:val="20"/>
          <w:szCs w:val="20"/>
          <w:b w:val="1"/>
          <w:bCs w:val="1"/>
          <w:color w:val="auto"/>
        </w:rPr>
        <w:t>On a Collaboration Target-by-Collaboration Target basis, prior to the Sanofi Participation Election Effective Date (if any), except as set forth in Article 12, (A) Kymera will have final decision-making authority on all matters, except as to the following matters [***] (B) subject to the terms and obligations set forth in Article 8, each Party will have final decision-making authority with respect to matters concerning [***] and (C) Sanofi shall have final decision making authority on [***].</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b w:val="1"/>
          <w:bCs w:val="1"/>
          <w:color w:val="auto"/>
        </w:rPr>
        <w:t>Except as specifically set forth in this Amendment, the Agreement will continue in full force and effect without change. This Amendment (together with all schedules and exhibits attached hereto) constitutes and contains the complete, final and exclusive understanding and agreement of the Parties and cancels and supersedes all prior negotiations, correspondence, understandings and agreements, whether oral or written, between the Parties respecting the subject matter hereof. No amendment, modification or supplement of any provision of this Amendment will be valid or effective unless made in writing and signed by a duly authorized officer of each of Sanofi and Kymera. No provision of this Amendment will be waived by any act, omission or knowledge of a Party or its agents or employees except by an instrument in writing expressly waiving such provision and signed by a duly authorized officer of the waiving Party. The waiver by either Party of any breach of any provision hereof by the other Party will not be construed to be a waiver of any succeeding breach of such provision or a waiver of the provision itself.</w:t>
      </w:r>
    </w:p>
    <w:p>
      <w:pPr>
        <w:spacing w:after="0" w:line="17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This Amendment, and all claims arising under or in connection therewith, will be governed by and interpreted in accordance with the substantive laws of the State of New York, without regard to conflict of law principles thereof.</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Yours Sincerely,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On behalf of Genzyme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By: /s/ Alyssa Johnsen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-8255</wp:posOffset>
            </wp:positionV>
            <wp:extent cx="153860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153860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Name: Alyssa Johnsen</w:t>
      </w:r>
    </w:p>
    <w:p>
      <w:pPr>
        <w:spacing w:after="0"/>
        <w:rPr>
          <w:sz w:val="20"/>
          <w:szCs w:val="20"/>
          <w:color w:val="auto"/>
        </w:rPr>
      </w:pPr>
      <w:r>
        <w:rPr>
          <w:rFonts w:ascii="Times New Roman" w:cs="Times New Roman" w:eastAsia="Times New Roman" w:hAnsi="Times New Roman"/>
          <w:sz w:val="20"/>
          <w:szCs w:val="20"/>
          <w:b w:val="1"/>
          <w:bCs w:val="1"/>
          <w:color w:val="auto"/>
        </w:rPr>
        <w:t>Title: Global Therapeutic Area Head, Immunology and Oncology Department</w:t>
      </w:r>
    </w:p>
    <w:p>
      <w:pPr>
        <w:spacing w:after="0" w:line="19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Acknowledged and Agreed:</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On behalf of Kymera Therapeutics,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By: /s/ Nello Mainolfi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3154680</wp:posOffset>
            </wp:positionH>
            <wp:positionV relativeFrom="paragraph">
              <wp:posOffset>-8255</wp:posOffset>
            </wp:positionV>
            <wp:extent cx="179006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1790065" cy="8890"/>
                    </a:xfrm>
                    <a:prstGeom prst="rect">
                      <a:avLst/>
                    </a:prstGeom>
                    <a:noFill/>
                  </pic:spPr>
                </pic:pic>
              </a:graphicData>
            </a:graphic>
          </wp:anchor>
        </w:drawing>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Name: Nello Mainolfi Title: CEO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3" w:name="page94"/>
    <w:bookmarkEnd w:id="93"/>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purpose of this Non-Employee Director Compensation Policy (the “Policy”) of Kymera Therapeutics, Inc. (the “Company”) is to provide a total compensation package that enables the Company to attract and retain, on a long-term basis, high-caliber directors who are not employees or officers of the Company or its subsidiary (“Outside Directors”). In furtherance of the purpose stated above, all Outside Directors shall be paid compensation for services provided to the Company as set forth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Retainers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Annual Retainer for Board Membership</w:t>
      </w:r>
      <w:r>
        <w:rPr>
          <w:rFonts w:ascii="Times New Roman" w:cs="Times New Roman" w:eastAsia="Times New Roman" w:hAnsi="Times New Roman"/>
          <w:sz w:val="18"/>
          <w:szCs w:val="18"/>
          <w:color w:val="auto"/>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Annual Retainer for Chairperson of the Board:</w:t>
            </w:r>
          </w:p>
        </w:tc>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5"/>
              </w:rPr>
              <w:t>$30,000</w:t>
            </w:r>
          </w:p>
        </w:tc>
      </w:tr>
      <w:tr>
        <w:trPr>
          <w:trHeight w:val="20"/>
        </w:trPr>
        <w:tc>
          <w:tcPr>
            <w:tcW w:w="41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26"/>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Annual Retainer for Lead Independent Director of the Board:</w:t>
            </w:r>
          </w:p>
        </w:tc>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5"/>
              </w:rPr>
              <w:t>$20,000</w:t>
            </w:r>
          </w:p>
        </w:tc>
      </w:tr>
      <w:tr>
        <w:trPr>
          <w:trHeight w:val="412"/>
        </w:trPr>
        <w:tc>
          <w:tcPr>
            <w:tcW w:w="5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Additional Annual Retainers for Committee Membership:</w:t>
            </w:r>
          </w:p>
        </w:tc>
        <w:tc>
          <w:tcPr>
            <w:tcW w:w="24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45"/>
        </w:trPr>
        <w:tc>
          <w:tcPr>
            <w:tcW w:w="4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3520" w:type="dxa"/>
            <w:vAlign w:val="bottom"/>
            <w:gridSpan w:val="2"/>
          </w:tcPr>
          <w:p>
            <w:pPr>
              <w:spacing w:after="0"/>
              <w:rPr>
                <w:sz w:val="24"/>
                <w:szCs w:val="24"/>
                <w:color w:val="auto"/>
              </w:rPr>
            </w:pPr>
          </w:p>
        </w:tc>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5"/>
              </w:rPr>
              <w:t>$20,000</w:t>
            </w:r>
          </w:p>
        </w:tc>
      </w:tr>
      <w:tr>
        <w:trPr>
          <w:trHeight w:val="324"/>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5"/>
              </w:rPr>
              <w:t>$10,000</w:t>
            </w:r>
          </w:p>
        </w:tc>
      </w:tr>
      <w:tr>
        <w:trPr>
          <w:trHeight w:val="324"/>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5"/>
              </w:rPr>
              <w:t>$15,000</w:t>
            </w:r>
          </w:p>
        </w:tc>
      </w:tr>
      <w:tr>
        <w:trPr>
          <w:trHeight w:val="324"/>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$7,500</w:t>
            </w:r>
          </w:p>
        </w:tc>
      </w:tr>
      <w:tr>
        <w:trPr>
          <w:trHeight w:val="324"/>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5"/>
              </w:rPr>
              <w:t>$10,000</w:t>
            </w:r>
          </w:p>
        </w:tc>
      </w:tr>
      <w:tr>
        <w:trPr>
          <w:trHeight w:val="324"/>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9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Chair and committee member retainers are in addition to retainers for members of the Board of Directors. No additional compensation will be paid for attending individual committee meetings of the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Retainers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u w:val="single" w:color="auto"/>
          <w:color w:val="auto"/>
        </w:rPr>
        <w:t>Initial Award</w:t>
      </w:r>
      <w:r>
        <w:rPr>
          <w:rFonts w:ascii="Times New Roman" w:cs="Times New Roman" w:eastAsia="Times New Roman" w:hAnsi="Times New Roman"/>
          <w:sz w:val="18"/>
          <w:szCs w:val="18"/>
          <w:color w:val="auto"/>
        </w:rPr>
        <w:t>: An initial, one-time stock option award (the “Initial Award”) to purchase 28,000 shares will be granted to each new Outside Director upon his or her election to the Board of Directors, which shall vest in 36 equal monthly installments over three years from the date of grant, provided, however, that all vesting shall cease if the director resigns from the Board of Directors or otherwise ceases to serve as a director of the Company. The Initial Award shall expire ten years from the date of grant, and shall have a per share exercise price equal to the Fair Market Value (as defined in the Company’s 2020 Stock Option and Incentive Plan) of the Company’s common stock on the date of grant.</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t>Annual Award</w:t>
      </w:r>
      <w:r>
        <w:rPr>
          <w:rFonts w:ascii="Times New Roman" w:cs="Times New Roman" w:eastAsia="Times New Roman" w:hAnsi="Times New Roman"/>
          <w:sz w:val="18"/>
          <w:szCs w:val="18"/>
          <w:color w:val="auto"/>
        </w:rPr>
        <w:t>: On each date of each Annual Meeting of Stockholders of the Company (the “Annual Meeting”), each continuing Outside Director, other than a director who has received an Initial Award in the same calendar year of the Annual Meeting for a particular year, will receive an annual stock option award (the “Annual Award”) to purchase 16,000 shares, which shall vest in full upon the earlier of (i) the first anniversary of the date of grant or (ii) the date of the next Annual Meeting; provided, however, that all vesting shall cease if the director resigns from the Board of Directors or otherwise ceases to serve as a director, unless the Board of Directors determines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4" w:name="page95"/>
    <w:bookmarkEnd w:id="94"/>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circumstances warrant continuation of vesting. Such Annual Award shall expire ten years from the date of grant, and shall have a per share exercise price equal to the Fair Market Value (as defined in the Company’s 2020 Stock Option and Incentive Plan) of the Company’s common stock on the date of grant.</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u w:val="single" w:color="auto"/>
          <w:color w:val="auto"/>
        </w:rPr>
        <w:t>Value</w:t>
      </w:r>
      <w:r>
        <w:rPr>
          <w:rFonts w:ascii="Times New Roman" w:cs="Times New Roman" w:eastAsia="Times New Roman" w:hAnsi="Times New Roman"/>
          <w:sz w:val="18"/>
          <w:szCs w:val="18"/>
          <w:color w:val="auto"/>
        </w:rPr>
        <w:t>: For purposes of this Policy, “Value” means with respect to (i) any stock option award, the grant date fair value of the option (i.e., Black-Scholes Value) determined in accordance with the reasonable assumptions and methodologies employed by the Company for calculating the fair value of options under Financial Accounting Standard Board (“FASB”) Accounting Standards Codification (“ASC”) Topic 718; and (ii) any award of restricted stock or restricted stock units the product of (A) the average closing market price on Nasdaq Global Market (or such other market on which the Company’s common stock is then principally listed) of one share of the Company’s common stock over the trailing 30-day period ending on the last day of the month immediately prior to the month of the grant date, and (B) the aggregate number of shares of common stock underlying such award.</w:t>
      </w:r>
    </w:p>
    <w:p>
      <w:pPr>
        <w:spacing w:after="0" w:line="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t>Sale Event Acceleration</w:t>
      </w:r>
      <w:r>
        <w:rPr>
          <w:rFonts w:ascii="Times New Roman" w:cs="Times New Roman" w:eastAsia="Times New Roman" w:hAnsi="Times New Roman"/>
          <w:sz w:val="18"/>
          <w:szCs w:val="18"/>
          <w:color w:val="auto"/>
        </w:rPr>
        <w:t>: All outstanding Initial Awards and Annual Awards held by an Outside Director shall become fully vested and exercisable upon a Sale Event (as defined in the Company’s 2020 Stock Option and Incentive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will reimburse all reasonable out-of-pocket expenses incurred by non-employee directors in attending meetings of the Board of Directors or any committee thereof.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Maximum Annual Compensation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aggregate amount of compensation, including both equity compensation and cash compensation, paid by the Company to any Outside Director in a calendar year for services as an Outside Director period shall not exceed $750,000; provided, however, that such amount shall be $1,000,000 for the calendar year in which the applicable Outside Director is initially elected or appointed to the Board of Directors; (or such other limits as may be set forth in Section 3(b) of the Company’s 2020 Stock Option and Incentive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August 11, 2020, subject to the effectiveness of the Company’s Registration Statement on Form S-1.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on January 17,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on March 27,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on June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Nello Mainolfi, Ph.D., certify that:</w:t>
      </w:r>
    </w:p>
    <w:p>
      <w:pPr>
        <w:spacing w:after="0" w:line="225"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2025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Nello Mainolfi, Ph.D.</w:t>
            </w:r>
          </w:p>
        </w:tc>
      </w:tr>
      <w:tr>
        <w:trPr>
          <w:trHeight w:val="187"/>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Nello Mainolfi, Ph.D</w:t>
            </w:r>
            <w:r>
              <w:rPr>
                <w:rFonts w:ascii="Times New Roman" w:cs="Times New Roman" w:eastAsia="Times New Roman" w:hAnsi="Times New Roman"/>
                <w:sz w:val="18"/>
                <w:szCs w:val="18"/>
                <w:color w:val="auto"/>
                <w:w w:val="99"/>
              </w:rPr>
              <w:t>.</w:t>
            </w:r>
          </w:p>
        </w:tc>
      </w:tr>
      <w:tr>
        <w:trPr>
          <w:trHeight w:val="216"/>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1411"/>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Jacobs, CFA, MBA, certify that:</w:t>
      </w:r>
    </w:p>
    <w:p>
      <w:pPr>
        <w:spacing w:after="0" w:line="225"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2025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Bruce Jacobs, CFO, MBA</w:t>
            </w:r>
          </w:p>
        </w:tc>
      </w:tr>
      <w:tr>
        <w:trPr>
          <w:trHeight w:val="187"/>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Bruce Jacobs, CFO, MBA</w:t>
            </w:r>
          </w:p>
        </w:tc>
      </w:tr>
      <w:tr>
        <w:trPr>
          <w:trHeight w:val="216"/>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r>
        <w:trPr>
          <w:trHeight w:val="1195"/>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Kymera Therapeutics, Inc. (the “Company”) on Form 10-Q for the period ending June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22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Nello Mainolfi, Ph.D.</w:t>
            </w:r>
          </w:p>
        </w:tc>
      </w:tr>
      <w:tr>
        <w:trPr>
          <w:trHeight w:val="187"/>
        </w:trPr>
        <w:tc>
          <w:tcPr>
            <w:tcW w:w="36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Nello Mainolfi, Ph.D</w:t>
            </w:r>
            <w:r>
              <w:rPr>
                <w:rFonts w:ascii="Times New Roman" w:cs="Times New Roman" w:eastAsia="Times New Roman" w:hAnsi="Times New Roman"/>
                <w:sz w:val="18"/>
                <w:szCs w:val="18"/>
                <w:color w:val="auto"/>
                <w:w w:val="99"/>
              </w:rPr>
              <w:t>.</w:t>
            </w:r>
          </w:p>
        </w:tc>
      </w:tr>
      <w:tr>
        <w:trPr>
          <w:trHeight w:val="216"/>
        </w:trPr>
        <w:tc>
          <w:tcPr>
            <w:tcW w:w="3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36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1195"/>
        </w:trPr>
        <w:tc>
          <w:tcPr>
            <w:tcW w:w="36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Kymera Therapeutics, Inc. (the “Company”) on Form 10-Q for the period ending June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22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Bruce Jacobs, CFA, MBA</w:t>
            </w:r>
          </w:p>
        </w:tc>
      </w:tr>
      <w:tr>
        <w:trPr>
          <w:trHeight w:val="187"/>
        </w:trPr>
        <w:tc>
          <w:tcPr>
            <w:tcW w:w="36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Bruce Jacobs, CFA, MBA</w:t>
            </w:r>
          </w:p>
        </w:tc>
      </w:tr>
      <w:tr>
        <w:trPr>
          <w:trHeight w:val="216"/>
        </w:trPr>
        <w:tc>
          <w:tcPr>
            <w:tcW w:w="3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6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r>
        <w:trPr>
          <w:trHeight w:val="1195"/>
        </w:trPr>
        <w:tc>
          <w:tcPr>
            <w:tcW w:w="36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9" w:name="page100"/>
    <w:bookmarkEnd w:id="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9"/>
    </w:lvl>
  </w:abstractNum>
  <w:abstractNum w:abstractNumId="7">
    <w:nsid w:val="6CEAF087"/>
    <w:multiLevelType w:val="hybridMultilevel"/>
    <w:lvl w:ilvl="0">
      <w:lvlJc w:val="left"/>
      <w:lvlText w:val="%1."/>
      <w:numFmt w:val="decimal"/>
      <w:start w:val="13"/>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endash "/>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296" Type="http://schemas.openxmlformats.org/officeDocument/2006/relationships/hyperlink" Target="https://www.sec.gov/Archives/edgar/data/1815442/000119312525151393/d85382dex41.htm" TargetMode="External"/><Relationship Id="rId297" Type="http://schemas.openxmlformats.org/officeDocument/2006/relationships/hyperlink" Target="https://www.sec.gov/Archives/edgar/data/1815442/000119312525151393/d8538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2025-08-11T06:23:01Z</dcterms:created>
  <dcterms:modified xsi:type="dcterms:W3CDTF">2025-08-11T06:23:01Z</dcterms:modified>
</cp:coreProperties>
</file>