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sectPr>
      </w:pPr>
    </w:p>
    <w:p>
      <w:pPr>
        <w:spacing w:after="0" w:line="28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001-39460</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12" w:lineRule="exact"/>
        <w:rPr>
          <w:sz w:val="24"/>
          <w:szCs w:val="24"/>
          <w:color w:val="auto"/>
        </w:rPr>
      </w:pPr>
    </w:p>
    <w:p>
      <w:pPr>
        <w:sectPr>
          <w:pgSz w:w="11900" w:h="16838" w:orient="portrait"/>
          <w:cols w:equalWidth="0" w:num="3">
            <w:col w:w="4640" w:space="720"/>
            <w:col w:w="2920" w:space="720"/>
            <w:col w:w="2100"/>
          </w:cols>
          <w:pgMar w:left="320" w:top="1159" w:right="47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820" w:space="720"/>
            <w:col w:w="2220"/>
          </w:cols>
          <w:pgMar w:left="320" w:top="1159" w:right="47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(857) 285-5300</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type w:val="continuous"/>
        </w:sectPr>
      </w:pPr>
    </w:p>
    <w:p>
      <w:pPr>
        <w:spacing w:after="0" w:line="19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600" w:firstLine="8"/>
        <w:spacing w:after="0" w:line="409"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820" w:type="dxa"/>
            <w:vAlign w:val="bottom"/>
            <w:gridSpan w:val="2"/>
          </w:tcPr>
          <w:p>
            <w:pPr>
              <w:jc w:val="center"/>
              <w:ind w:right="1640"/>
              <w:spacing w:after="0" w:line="177" w:lineRule="exact"/>
              <w:rPr>
                <w:sz w:val="20"/>
                <w:szCs w:val="20"/>
                <w:color w:val="auto"/>
              </w:rPr>
            </w:pPr>
            <w:r>
              <w:rPr>
                <w:rFonts w:ascii="Times New Roman" w:cs="Times New Roman" w:eastAsia="Times New Roman" w:hAnsi="Times New Roman"/>
                <w:sz w:val="16"/>
                <w:szCs w:val="16"/>
                <w:color w:val="auto"/>
              </w:rPr>
              <w:t>Title of each class</w:t>
            </w:r>
          </w:p>
        </w:tc>
        <w:tc>
          <w:tcPr>
            <w:tcW w:w="2400" w:type="dxa"/>
            <w:vAlign w:val="bottom"/>
            <w:gridSpan w:val="3"/>
          </w:tcPr>
          <w:p>
            <w:pPr>
              <w:jc w:val="center"/>
              <w:ind w:right="100"/>
              <w:spacing w:after="0" w:line="177" w:lineRule="exact"/>
              <w:rPr>
                <w:sz w:val="20"/>
                <w:szCs w:val="20"/>
                <w:color w:val="auto"/>
              </w:rPr>
            </w:pPr>
            <w:r>
              <w:rPr>
                <w:rFonts w:ascii="Times New Roman" w:cs="Times New Roman" w:eastAsia="Times New Roman" w:hAnsi="Times New Roman"/>
                <w:sz w:val="16"/>
                <w:szCs w:val="16"/>
                <w:color w:val="auto"/>
              </w:rPr>
              <w:t>Trade Symbol(s)</w:t>
            </w:r>
          </w:p>
        </w:tc>
        <w:tc>
          <w:tcPr>
            <w:tcW w:w="3560" w:type="dxa"/>
            <w:vAlign w:val="bottom"/>
            <w:gridSpan w:val="2"/>
          </w:tcPr>
          <w:p>
            <w:pPr>
              <w:jc w:val="center"/>
              <w:ind w:left="599"/>
              <w:spacing w:after="0" w:line="177"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91"/>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0" w:type="dxa"/>
            <w:vAlign w:val="bottom"/>
          </w:tcPr>
          <w:p>
            <w:pPr>
              <w:spacing w:after="0"/>
              <w:rPr>
                <w:sz w:val="24"/>
                <w:szCs w:val="24"/>
                <w:color w:val="auto"/>
              </w:rPr>
            </w:pPr>
          </w:p>
        </w:tc>
        <w:tc>
          <w:tcPr>
            <w:tcW w:w="18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KYMR</w:t>
            </w:r>
          </w:p>
        </w:tc>
        <w:tc>
          <w:tcPr>
            <w:tcW w:w="6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2026, Kymera Therapeutics, Inc. announced its financial results for the quarter ended September 30, 2026. A copy of the press release is being furnished as Exhibit 99.1 to this Report on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21" w:lineRule="exact"/>
        <w:rPr>
          <w:sz w:val="20"/>
          <w:szCs w:val="20"/>
          <w:color w:val="auto"/>
        </w:rPr>
      </w:pPr>
    </w:p>
    <w:p>
      <w:pPr>
        <w:ind w:left="1020"/>
        <w:spacing w:after="0"/>
        <w:tabs>
          <w:tab w:leader="none" w:pos="1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Kymera Therapeutics, Inc. on October 29, 2026,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-7620</wp:posOffset>
            </wp:positionV>
            <wp:extent cx="420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3700" cy="8255"/>
                    </a:xfrm>
                    <a:prstGeom prst="rect">
                      <a:avLst/>
                    </a:prstGeom>
                    <a:noFill/>
                  </pic:spPr>
                </pic:pic>
              </a:graphicData>
            </a:graphic>
          </wp:anchor>
        </w:drawing>
      </w:r>
    </w:p>
    <w:p>
      <w:pPr>
        <w:spacing w:after="0" w:line="23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52" w:lineRule="exact"/>
        <w:rPr>
          <w:sz w:val="20"/>
          <w:szCs w:val="20"/>
          <w:color w:val="auto"/>
        </w:rPr>
      </w:pPr>
    </w:p>
    <w:p>
      <w:pPr>
        <w:spacing w:after="0"/>
        <w:tabs>
          <w:tab w:leader="none" w:pos="5460" w:val="left"/>
          <w:tab w:leader="none" w:pos="796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Nello Mainolfi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right"/>
        <w:ind w:right="2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1005205</wp:posOffset>
            </wp:positionH>
            <wp:positionV relativeFrom="page">
              <wp:posOffset>389255</wp:posOffset>
            </wp:positionV>
            <wp:extent cx="210883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95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00" w:right="379"/>
        <w:spacing w:after="0" w:line="273" w:lineRule="auto"/>
        <w:rPr>
          <w:sz w:val="20"/>
          <w:szCs w:val="20"/>
          <w:color w:val="auto"/>
        </w:rPr>
      </w:pPr>
      <w:r>
        <w:rPr>
          <w:rFonts w:ascii="Arial" w:cs="Arial" w:eastAsia="Arial" w:hAnsi="Arial"/>
          <w:sz w:val="25"/>
          <w:szCs w:val="25"/>
          <w:b w:val="1"/>
          <w:bCs w:val="1"/>
          <w:color w:val="auto"/>
        </w:rPr>
        <w:t>Kymera Therapeutics Announces Third Quarter 2026 Financial Results and Reports Positive Results from the KT-579 Phase 1 Healthy Volunteer Trial</w:t>
      </w:r>
    </w:p>
    <w:p>
      <w:pPr>
        <w:spacing w:after="0" w:line="129" w:lineRule="exact"/>
        <w:rPr>
          <w:sz w:val="20"/>
          <w:szCs w:val="20"/>
          <w:color w:val="auto"/>
        </w:rPr>
      </w:pPr>
    </w:p>
    <w:p>
      <w:pPr>
        <w:jc w:val="center"/>
        <w:ind w:left="300" w:right="319"/>
        <w:spacing w:after="0" w:line="257" w:lineRule="auto"/>
        <w:rPr>
          <w:sz w:val="20"/>
          <w:szCs w:val="20"/>
          <w:color w:val="auto"/>
        </w:rPr>
      </w:pPr>
      <w:r>
        <w:rPr>
          <w:rFonts w:ascii="Arial" w:cs="Arial" w:eastAsia="Arial" w:hAnsi="Arial"/>
          <w:sz w:val="20"/>
          <w:szCs w:val="20"/>
          <w:i w:val="1"/>
          <w:iCs w:val="1"/>
          <w:color w:val="auto"/>
        </w:rPr>
        <w:t>KT-579 (IRF5) Phase 1 healthy volunteer data demonstrated deep, sustained IRF5 degradation, robust modulation of disease-relevant biomarkers and a favorable safety profile</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20"/>
          <w:szCs w:val="20"/>
          <w:i w:val="1"/>
          <w:iCs w:val="1"/>
          <w:color w:val="auto"/>
        </w:rPr>
        <w:t>KT-579 LUMORA Phase 1b trial in lupus patients planned to start by early 2027</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Last patient completed last visit in KT-621 (STAT6) BROADEN2 Phase 2b AD trial, with topline</w:t>
      </w:r>
    </w:p>
    <w:p>
      <w:pPr>
        <w:spacing w:after="0" w:line="4" w:lineRule="exact"/>
        <w:rPr>
          <w:sz w:val="20"/>
          <w:szCs w:val="20"/>
          <w:color w:val="auto"/>
        </w:rPr>
      </w:pPr>
    </w:p>
    <w:p>
      <w:pPr>
        <w:ind w:left="2880"/>
        <w:spacing w:after="0"/>
        <w:rPr>
          <w:sz w:val="20"/>
          <w:szCs w:val="20"/>
          <w:color w:val="auto"/>
        </w:rPr>
      </w:pPr>
      <w:r>
        <w:rPr>
          <w:rFonts w:ascii="Arial" w:cs="Arial" w:eastAsia="Arial" w:hAnsi="Arial"/>
          <w:sz w:val="20"/>
          <w:szCs w:val="20"/>
          <w:i w:val="1"/>
          <w:iCs w:val="1"/>
          <w:color w:val="auto"/>
        </w:rPr>
        <w:t>data to be reported by year-end 2026</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KT-621 BREADTH Phase 2b asthma trial ongoing, with topline data expected to be reported 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late 2027</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Well-capitalized with $1.6 billion in cash as of September 30, 2026, and runway into 2029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hold video conference call and webcast today at 8:30 a.m. ET</w:t>
      </w:r>
    </w:p>
    <w:p>
      <w:pPr>
        <w:spacing w:after="0" w:line="200" w:lineRule="exact"/>
        <w:rPr>
          <w:sz w:val="20"/>
          <w:szCs w:val="20"/>
          <w:color w:val="auto"/>
        </w:rPr>
      </w:pPr>
    </w:p>
    <w:p>
      <w:pPr>
        <w:ind w:left="300" w:right="679"/>
        <w:spacing w:after="0" w:line="235" w:lineRule="auto"/>
        <w:rPr>
          <w:sz w:val="20"/>
          <w:szCs w:val="20"/>
          <w:color w:val="auto"/>
        </w:rPr>
      </w:pPr>
      <w:r>
        <w:rPr>
          <w:rFonts w:ascii="Arial" w:cs="Arial" w:eastAsia="Arial" w:hAnsi="Arial"/>
          <w:sz w:val="20"/>
          <w:szCs w:val="20"/>
          <w:b w:val="1"/>
          <w:bCs w:val="1"/>
          <w:color w:val="auto"/>
        </w:rPr>
        <w:t xml:space="preserve">Watertown, Mass. (October 29, 2026) – </w:t>
      </w:r>
      <w:r>
        <w:rPr>
          <w:rFonts w:ascii="Arial" w:cs="Arial" w:eastAsia="Arial" w:hAnsi="Arial"/>
          <w:sz w:val="20"/>
          <w:szCs w:val="20"/>
          <w:u w:val="single" w:color="auto"/>
          <w:color w:val="467886"/>
        </w:rPr>
        <w:t>Kymera Therapeutics, Inc.</w:t>
      </w:r>
      <w:r>
        <w:rPr>
          <w:rFonts w:ascii="Arial" w:cs="Arial" w:eastAsia="Arial" w:hAnsi="Arial"/>
          <w:sz w:val="20"/>
          <w:szCs w:val="20"/>
          <w:color w:val="auto"/>
        </w:rPr>
        <w:t>(NASDAQ: KYMR),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advancing a new class of oral small molecule degrader medicines for immunological diseases, today reported financial results for the third quarter ended September 30, 2026, and provided business highlights and updates on its pipeline.</w:t>
      </w:r>
    </w:p>
    <w:p>
      <w:pPr>
        <w:spacing w:after="0" w:line="172" w:lineRule="exact"/>
        <w:rPr>
          <w:sz w:val="20"/>
          <w:szCs w:val="20"/>
          <w:color w:val="auto"/>
        </w:rPr>
      </w:pPr>
    </w:p>
    <w:p>
      <w:pPr>
        <w:ind w:left="300" w:right="339"/>
        <w:spacing w:after="0" w:line="230" w:lineRule="auto"/>
        <w:rPr>
          <w:sz w:val="20"/>
          <w:szCs w:val="20"/>
          <w:color w:val="auto"/>
        </w:rPr>
      </w:pPr>
      <w:r>
        <w:rPr>
          <w:rFonts w:ascii="Arial" w:cs="Arial" w:eastAsia="Arial" w:hAnsi="Arial"/>
          <w:sz w:val="20"/>
          <w:szCs w:val="20"/>
          <w:color w:val="auto"/>
        </w:rPr>
        <w:t>“Kymera’s recent progress reinforces the opportunity across our portfolio and our ability to help shape a new era of differentiated oral medicines in immunology,” said Nello Mainolfi, PhD, Founder, President and CEO, Kymera Therapeutics. “With KT-621 and KT-579, we are advancing complementary immunoregulatory mechanisms that target distinct drivers of disease, with significant potential to address unmet needs across the current treatment landscape. The last patient has now completed their week 16 visit in our KT-621 BROADEN2 Phase 2b atopic dermatitis trial, and we plan to report topline data by year-end 2026. We also are planning to initiate our first Phase 3 AD trial by mid-2027, and report data from our BREADTH Phase 2b asthma trial in late 2027.”</w:t>
      </w:r>
    </w:p>
    <w:p>
      <w:pPr>
        <w:spacing w:after="0" w:line="176" w:lineRule="exact"/>
        <w:rPr>
          <w:sz w:val="20"/>
          <w:szCs w:val="20"/>
          <w:color w:val="auto"/>
        </w:rPr>
      </w:pPr>
    </w:p>
    <w:p>
      <w:pPr>
        <w:ind w:left="300" w:right="399"/>
        <w:spacing w:after="0" w:line="224" w:lineRule="auto"/>
        <w:rPr>
          <w:sz w:val="20"/>
          <w:szCs w:val="20"/>
          <w:color w:val="auto"/>
        </w:rPr>
      </w:pPr>
      <w:r>
        <w:rPr>
          <w:rFonts w:ascii="Arial" w:cs="Arial" w:eastAsia="Arial" w:hAnsi="Arial"/>
          <w:sz w:val="20"/>
          <w:szCs w:val="20"/>
          <w:color w:val="auto"/>
        </w:rPr>
        <w:t>Dr. Mainolfi continued, “The positive results from the Phase 1 healthy volunteer trial of KT-579, which we reported today, demonstrate strong translation of its preclinical pharmacology into humans and highlight its potential to modulate multiple core inflammatory pathways through a single oral mechanism. These findings exceed our expectations in terms of depth of degradation, safety and pathway suppression measured by downstream cytokines and gene transcripts. The results provide an important foundation as we advance KT-579, our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degrader to enter the clinic, toward a study in lupus patients and explore the opportunity for targeting IRF5 in additional autoimmune diseases. Beyond these clinical programs, our research engine remains focused on unlocking novel biology and pursuing high value targets to build the next wave of oral medicines for patients who need effective, safe and convenient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1615440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4"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526415</wp:posOffset>
            </wp:positionV>
            <wp:extent cx="210883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31" w:lineRule="exact"/>
        <w:rPr>
          <w:sz w:val="20"/>
          <w:szCs w:val="20"/>
          <w:color w:val="auto"/>
        </w:rPr>
      </w:pPr>
    </w:p>
    <w:p>
      <w:pPr>
        <w:ind w:left="300" w:right="2139"/>
        <w:spacing w:after="0" w:line="313" w:lineRule="auto"/>
        <w:rPr>
          <w:sz w:val="20"/>
          <w:szCs w:val="20"/>
          <w:color w:val="auto"/>
        </w:rPr>
      </w:pPr>
      <w:r>
        <w:rPr>
          <w:rFonts w:ascii="Arial" w:cs="Arial" w:eastAsia="Arial" w:hAnsi="Arial"/>
          <w:sz w:val="20"/>
          <w:szCs w:val="20"/>
          <w:b w:val="1"/>
          <w:bCs w:val="1"/>
          <w:u w:val="single" w:color="auto"/>
          <w:color w:val="auto"/>
        </w:rPr>
        <w:t xml:space="preserve">Business Highlights, Recent Developments and Upcoming Milestones </w:t>
      </w:r>
      <w:r>
        <w:rPr>
          <w:rFonts w:ascii="Arial" w:cs="Arial" w:eastAsia="Arial" w:hAnsi="Arial"/>
          <w:sz w:val="20"/>
          <w:szCs w:val="20"/>
          <w:b w:val="1"/>
          <w:bCs w:val="1"/>
          <w:color w:val="auto"/>
        </w:rPr>
        <w:t>STAT6 Degrader Program</w:t>
      </w:r>
    </w:p>
    <w:p>
      <w:pPr>
        <w:spacing w:after="0" w:line="1" w:lineRule="exact"/>
        <w:rPr>
          <w:sz w:val="20"/>
          <w:szCs w:val="20"/>
          <w:color w:val="auto"/>
        </w:rPr>
      </w:pPr>
    </w:p>
    <w:p>
      <w:pPr>
        <w:ind w:left="300" w:right="359"/>
        <w:spacing w:after="0" w:line="228" w:lineRule="auto"/>
        <w:rPr>
          <w:sz w:val="20"/>
          <w:szCs w:val="20"/>
          <w:color w:val="auto"/>
        </w:rPr>
      </w:pPr>
      <w:r>
        <w:rPr>
          <w:rFonts w:ascii="Arial" w:cs="Arial" w:eastAsia="Arial" w:hAnsi="Arial"/>
          <w:sz w:val="20"/>
          <w:szCs w:val="20"/>
          <w:color w:val="auto"/>
        </w:rPr>
        <w:t xml:space="preserve">KT-621 is an investigational, first-in-class, once daily, oral degrader of STAT6, the specific transcription factor responsible for IL-4/IL-13 signaling and the central driver of Type 2 inflammation. KT-621 is currently in Phase 2 clinical development in </w:t>
      </w:r>
      <w:r>
        <w:rPr>
          <w:rFonts w:ascii="Arial" w:cs="Arial" w:eastAsia="Arial" w:hAnsi="Arial"/>
          <w:sz w:val="20"/>
          <w:szCs w:val="20"/>
          <w:u w:val="single" w:color="auto"/>
          <w:color w:val="467886"/>
        </w:rPr>
        <w:t>atopic dermatitis (AD) and</w:t>
      </w:r>
      <w:r>
        <w:rPr>
          <w:rFonts w:ascii="Arial" w:cs="Arial" w:eastAsia="Arial" w:hAnsi="Arial"/>
          <w:sz w:val="20"/>
          <w:szCs w:val="20"/>
          <w:color w:val="auto"/>
        </w:rPr>
        <w:t xml:space="preserve"> </w:t>
      </w:r>
      <w:r>
        <w:rPr>
          <w:rFonts w:ascii="Arial" w:cs="Arial" w:eastAsia="Arial" w:hAnsi="Arial"/>
          <w:sz w:val="20"/>
          <w:szCs w:val="20"/>
          <w:u w:val="single" w:color="auto"/>
          <w:color w:val="467886"/>
        </w:rPr>
        <w:t>asthma</w:t>
      </w:r>
      <w:r>
        <w:rPr>
          <w:rFonts w:ascii="Arial" w:cs="Arial" w:eastAsia="Arial" w:hAnsi="Arial"/>
          <w:sz w:val="20"/>
          <w:szCs w:val="20"/>
          <w:color w:val="000000"/>
        </w:rPr>
        <w:t>. KT-621 has the potential to transform treatment paradigms by offering a safe, effective,</w:t>
      </w:r>
      <w:r>
        <w:rPr>
          <w:rFonts w:ascii="Arial" w:cs="Arial" w:eastAsia="Arial" w:hAnsi="Arial"/>
          <w:sz w:val="20"/>
          <w:szCs w:val="20"/>
          <w:color w:val="467886"/>
        </w:rPr>
        <w:t xml:space="preserve"> </w:t>
      </w:r>
      <w:r>
        <w:rPr>
          <w:rFonts w:ascii="Arial" w:cs="Arial" w:eastAsia="Arial" w:hAnsi="Arial"/>
          <w:sz w:val="20"/>
          <w:szCs w:val="20"/>
          <w:color w:val="000000"/>
        </w:rPr>
        <w:t>oral option for the more than 140 million patients worldwide living with Type 2 diseases, such as AD, asthma, chronic obstructive pulmonary disease (COPD), eosinophilic esophagitis (EoE), chronic rhinosinusitis with nasal polyps (CRSwNP), chronic spontaneous urticaria (CSU), prurigo nodularis (PN), and bullous pemphigoid (BP), among others.</w:t>
      </w:r>
    </w:p>
    <w:p>
      <w:pPr>
        <w:spacing w:after="0" w:line="178" w:lineRule="exact"/>
        <w:rPr>
          <w:sz w:val="20"/>
          <w:szCs w:val="20"/>
          <w:color w:val="auto"/>
        </w:rPr>
      </w:pPr>
    </w:p>
    <w:p>
      <w:pPr>
        <w:ind w:left="620" w:right="359" w:hanging="328"/>
        <w:spacing w:after="0" w:line="236" w:lineRule="auto"/>
        <w:tabs>
          <w:tab w:leader="none" w:pos="6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In October 2026, the last patient received their final dose and completed the week 16 visit in the </w:t>
      </w:r>
      <w:r>
        <w:rPr>
          <w:rFonts w:ascii="Arial" w:cs="Arial" w:eastAsia="Arial" w:hAnsi="Arial"/>
          <w:sz w:val="20"/>
          <w:szCs w:val="20"/>
          <w:u w:val="single" w:color="auto"/>
          <w:color w:val="467886"/>
        </w:rPr>
        <w:t>KT-621 BROADEN2 Phase 2b clinical trial</w:t>
      </w:r>
      <w:r>
        <w:rPr>
          <w:rFonts w:ascii="Arial" w:cs="Arial" w:eastAsia="Arial" w:hAnsi="Arial"/>
          <w:sz w:val="20"/>
          <w:szCs w:val="20"/>
          <w:color w:val="auto"/>
        </w:rPr>
        <w:t xml:space="preserve"> in patients with moderate to severe AD. The Company plans to report topline data by year-end 2026. Subject to discussions with regulators, the Company expects to initiate the first Phase 3 trial in AD by mid-2027.</w:t>
      </w:r>
    </w:p>
    <w:p>
      <w:pPr>
        <w:spacing w:after="0" w:line="174" w:lineRule="exact"/>
        <w:rPr>
          <w:rFonts w:ascii="Times New Roman" w:cs="Times New Roman" w:eastAsia="Times New Roman" w:hAnsi="Times New Roman"/>
          <w:sz w:val="20"/>
          <w:szCs w:val="20"/>
          <w:color w:val="auto"/>
        </w:rPr>
      </w:pPr>
    </w:p>
    <w:p>
      <w:pPr>
        <w:ind w:left="620" w:right="639" w:hanging="328"/>
        <w:spacing w:after="0" w:line="241" w:lineRule="auto"/>
        <w:tabs>
          <w:tab w:leader="none" w:pos="6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Enrollment is ongoing in the </w:t>
      </w:r>
      <w:r>
        <w:rPr>
          <w:rFonts w:ascii="Arial" w:cs="Arial" w:eastAsia="Arial" w:hAnsi="Arial"/>
          <w:sz w:val="20"/>
          <w:szCs w:val="20"/>
          <w:u w:val="single" w:color="auto"/>
          <w:color w:val="467886"/>
        </w:rPr>
        <w:t>KT-621 BREADTH Phase 2b clinical trial</w:t>
      </w:r>
      <w:r>
        <w:rPr>
          <w:rFonts w:ascii="Arial" w:cs="Arial" w:eastAsia="Arial" w:hAnsi="Arial"/>
          <w:sz w:val="20"/>
          <w:szCs w:val="20"/>
          <w:color w:val="auto"/>
        </w:rPr>
        <w:t xml:space="preserve"> in patients with moderate to severe eosinophilic asthma, with topline data expected to be reported in late 2027.</w:t>
      </w:r>
    </w:p>
    <w:p>
      <w:pPr>
        <w:spacing w:after="0" w:line="170" w:lineRule="exact"/>
        <w:rPr>
          <w:rFonts w:ascii="Times New Roman" w:cs="Times New Roman" w:eastAsia="Times New Roman" w:hAnsi="Times New Roman"/>
          <w:sz w:val="20"/>
          <w:szCs w:val="20"/>
          <w:color w:val="auto"/>
        </w:rPr>
      </w:pPr>
    </w:p>
    <w:p>
      <w:pPr>
        <w:ind w:left="620" w:right="579" w:hanging="328"/>
        <w:spacing w:after="0" w:line="236" w:lineRule="auto"/>
        <w:tabs>
          <w:tab w:leader="none" w:pos="6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 September 2026, the Company presented data from the KT-621 BroADen Phase 1b clinical trial in AD across leading dermatology and respiratory forums, including posters at the European Academy of Dermatology and Venereology (EADV) and European Respiratory Society (ERS) Congresses.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IRF5 Degrader Program</w:t>
      </w:r>
    </w:p>
    <w:p>
      <w:pPr>
        <w:spacing w:after="0" w:line="6" w:lineRule="exact"/>
        <w:rPr>
          <w:sz w:val="20"/>
          <w:szCs w:val="20"/>
          <w:color w:val="auto"/>
        </w:rPr>
      </w:pPr>
    </w:p>
    <w:p>
      <w:pPr>
        <w:ind w:left="300" w:right="419"/>
        <w:spacing w:after="0" w:line="230" w:lineRule="auto"/>
        <w:rPr>
          <w:sz w:val="20"/>
          <w:szCs w:val="20"/>
          <w:color w:val="auto"/>
        </w:rPr>
      </w:pPr>
      <w:r>
        <w:rPr>
          <w:rFonts w:ascii="Arial" w:cs="Arial" w:eastAsia="Arial" w:hAnsi="Arial"/>
          <w:sz w:val="20"/>
          <w:szCs w:val="20"/>
          <w:color w:val="auto"/>
        </w:rPr>
        <w:t>KT-579 is an investigational, first-in-class, oral degrader of IRF5, a genetically validated transcription factor and master regulator of immunity. KT-579 has the potential to modulate multiple core inflammatory pathways through a single oral mechanism, offering a differentiated approach to serious autoimmune diseases where effective and well-tolerated oral therapies are needed, such as lupus, inflammatory bowel disease (IBD), Sjögren's, rheumatoid arthritis (RA) and others.</w:t>
      </w:r>
    </w:p>
    <w:p>
      <w:pPr>
        <w:spacing w:after="0" w:line="172" w:lineRule="exact"/>
        <w:rPr>
          <w:sz w:val="20"/>
          <w:szCs w:val="20"/>
          <w:color w:val="auto"/>
        </w:rPr>
      </w:pPr>
    </w:p>
    <w:p>
      <w:pPr>
        <w:ind w:left="620" w:right="499" w:hanging="328"/>
        <w:spacing w:after="0" w:line="241" w:lineRule="auto"/>
        <w:tabs>
          <w:tab w:leader="none" w:pos="6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today announced positive results from the completed first-in-human KT-579 Phase 1 healthy volunteer trial. The results met or exceeded study objectives and established strong proof of mechanism:</w:t>
      </w:r>
    </w:p>
    <w:p>
      <w:pPr>
        <w:spacing w:after="0" w:line="168" w:lineRule="exact"/>
        <w:rPr>
          <w:rFonts w:ascii="Times New Roman" w:cs="Times New Roman" w:eastAsia="Times New Roman" w:hAnsi="Times New Roman"/>
          <w:sz w:val="20"/>
          <w:szCs w:val="20"/>
          <w:color w:val="auto"/>
        </w:rPr>
      </w:pPr>
    </w:p>
    <w:p>
      <w:pPr>
        <w:ind w:left="1580" w:right="359" w:hanging="316"/>
        <w:spacing w:after="0" w:line="230" w:lineRule="auto"/>
        <w:tabs>
          <w:tab w:leader="none" w:pos="158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Pharmacokinetics and pharmacodynamics: </w:t>
      </w:r>
      <w:r>
        <w:rPr>
          <w:rFonts w:ascii="Arial" w:cs="Arial" w:eastAsia="Arial" w:hAnsi="Arial"/>
          <w:sz w:val="20"/>
          <w:szCs w:val="20"/>
          <w:color w:val="auto"/>
        </w:rPr>
        <w:t>KT-579 demonstrated a favorable</w:t>
      </w:r>
      <w:r>
        <w:rPr>
          <w:rFonts w:ascii="Arial" w:cs="Arial" w:eastAsia="Arial" w:hAnsi="Arial"/>
          <w:sz w:val="20"/>
          <w:szCs w:val="20"/>
          <w:b w:val="1"/>
          <w:bCs w:val="1"/>
          <w:color w:val="auto"/>
        </w:rPr>
        <w:t xml:space="preserve"> </w:t>
      </w:r>
      <w:r>
        <w:rPr>
          <w:rFonts w:ascii="Arial" w:cs="Arial" w:eastAsia="Arial" w:hAnsi="Arial"/>
          <w:sz w:val="20"/>
          <w:szCs w:val="20"/>
          <w:color w:val="auto"/>
        </w:rPr>
        <w:t>plasma pharmacokinetic profile. Exposure increased with dose following single and multiple doses. Robust, sustained IRF5 degradation was observed following a single oral dose in the single ascending dose (SAD) portion of the trial. In the multiple ascending dose portion (MAD), KT-579 demonstrated deep, sustained IRF5 degradation in blood, with ≥90% median degradation across multiple dose levels with saturation of degradation by dose level 3. Similar reductions in IRF5 levels were also observed in skin, demonstrating target degradation in tissue as well as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1579880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525780</wp:posOffset>
            </wp:positionV>
            <wp:extent cx="210883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ind w:left="1580" w:right="339" w:hanging="316"/>
        <w:spacing w:after="0" w:line="230" w:lineRule="auto"/>
        <w:tabs>
          <w:tab w:leader="none" w:pos="158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Ex vivo-stimulated IRF5-dependent biomarkers: </w:t>
      </w:r>
      <w:r>
        <w:rPr>
          <w:rFonts w:ascii="Arial" w:cs="Arial" w:eastAsia="Arial" w:hAnsi="Arial"/>
          <w:sz w:val="20"/>
          <w:szCs w:val="20"/>
          <w:color w:val="auto"/>
        </w:rPr>
        <w:t>KT-579 showed robust</w:t>
      </w:r>
      <w:r>
        <w:rPr>
          <w:rFonts w:ascii="Arial" w:cs="Arial" w:eastAsia="Arial" w:hAnsi="Arial"/>
          <w:sz w:val="20"/>
          <w:szCs w:val="20"/>
          <w:b w:val="1"/>
          <w:bCs w:val="1"/>
          <w:color w:val="auto"/>
        </w:rPr>
        <w:t xml:space="preserve"> </w:t>
      </w:r>
      <w:r>
        <w:rPr>
          <w:rFonts w:ascii="Arial" w:cs="Arial" w:eastAsia="Arial" w:hAnsi="Arial"/>
          <w:sz w:val="20"/>
          <w:szCs w:val="20"/>
          <w:color w:val="auto"/>
        </w:rPr>
        <w:t>suppression of disease-relevant blood biomarkers and significant downregulation of pathway gene transcripts, reflecting pharmacodynamic effects on the three immune pathways modulated by IRF5 including inflammatory cytokines, interferon (IFN) response, and B-cell biology. The inflammatory cytokine and IFN analysis using the median of all MAD dose cohorts showed inhibition of 88% of TNFα, 87% of IL-12/23p40, 94% of IL-1β, and 98% of IFNβ at Day 14. Gene-expression analyses also showed broad downregulation of inflammatory cytokine, interferon and B-cell associated genes, supporting the functional cytokine findings.</w:t>
      </w:r>
    </w:p>
    <w:p>
      <w:pPr>
        <w:spacing w:after="0" w:line="171" w:lineRule="exact"/>
        <w:rPr>
          <w:rFonts w:ascii="Times New Roman" w:cs="Times New Roman" w:eastAsia="Times New Roman" w:hAnsi="Times New Roman"/>
          <w:sz w:val="20"/>
          <w:szCs w:val="20"/>
          <w:color w:val="auto"/>
        </w:rPr>
      </w:pPr>
    </w:p>
    <w:p>
      <w:pPr>
        <w:ind w:left="1580" w:right="599" w:hanging="316"/>
        <w:spacing w:after="0" w:line="249" w:lineRule="auto"/>
        <w:tabs>
          <w:tab w:leader="none" w:pos="158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Safety and tolerability: </w:t>
      </w:r>
      <w:r>
        <w:rPr>
          <w:rFonts w:ascii="Arial" w:cs="Arial" w:eastAsia="Arial" w:hAnsi="Arial"/>
          <w:sz w:val="19"/>
          <w:szCs w:val="19"/>
          <w:color w:val="auto"/>
        </w:rPr>
        <w:t>The safety profile of KT-579 was comparable to</w:t>
      </w:r>
      <w:r>
        <w:rPr>
          <w:rFonts w:ascii="Arial" w:cs="Arial" w:eastAsia="Arial" w:hAnsi="Arial"/>
          <w:sz w:val="19"/>
          <w:szCs w:val="19"/>
          <w:b w:val="1"/>
          <w:bCs w:val="1"/>
          <w:color w:val="auto"/>
        </w:rPr>
        <w:t xml:space="preserve"> </w:t>
      </w:r>
      <w:r>
        <w:rPr>
          <w:rFonts w:ascii="Arial" w:cs="Arial" w:eastAsia="Arial" w:hAnsi="Arial"/>
          <w:sz w:val="19"/>
          <w:szCs w:val="19"/>
          <w:color w:val="auto"/>
        </w:rPr>
        <w:t>placebo. There were no serious or severe adverse events (AEs) and no AEs leading to discontinuation. Very few mild treatment-related AEs were reported, and there was no dose-dependent pattern in treatment-emergent AEs. There were no clinically relevant changes in vital signs, laboratory tests or ECGs.</w:t>
      </w:r>
    </w:p>
    <w:p>
      <w:pPr>
        <w:spacing w:after="0" w:line="163" w:lineRule="exact"/>
        <w:rPr>
          <w:rFonts w:ascii="Times New Roman" w:cs="Times New Roman" w:eastAsia="Times New Roman" w:hAnsi="Times New Roman"/>
          <w:sz w:val="19"/>
          <w:szCs w:val="19"/>
          <w:color w:val="auto"/>
        </w:rPr>
      </w:pPr>
    </w:p>
    <w:p>
      <w:pPr>
        <w:ind w:left="620" w:right="399" w:hanging="328"/>
        <w:spacing w:after="0" w:line="233" w:lineRule="auto"/>
        <w:tabs>
          <w:tab w:leader="none" w:pos="6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KT-579 LUMORA Phase 1b trial in lupus patients is planned to start by early 2027. LUMORA is a randomized, double-blind, placebo-controlled trial testing KT-579 in approximately 30 adult patients with systemic lupus erythematosus dosed over 16 weeks. The key aim of this biomarker study is to demonstrate that KT-579 can modulate underlying disease biology with a favorable safety and tolerability profile while exploring potential clinical benefits.</w:t>
      </w:r>
    </w:p>
    <w:p>
      <w:pPr>
        <w:spacing w:after="0" w:line="171" w:lineRule="exact"/>
        <w:rPr>
          <w:rFonts w:ascii="Times New Roman" w:cs="Times New Roman" w:eastAsia="Times New Roman" w:hAnsi="Times New Roman"/>
          <w:sz w:val="20"/>
          <w:szCs w:val="20"/>
          <w:color w:val="auto"/>
        </w:rPr>
      </w:pPr>
    </w:p>
    <w:p>
      <w:pPr>
        <w:ind w:left="620" w:right="559" w:hanging="328"/>
        <w:spacing w:after="0" w:line="234" w:lineRule="auto"/>
        <w:tabs>
          <w:tab w:leader="none" w:pos="6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will present new preclinical data on KT-579 in an oral presentation at the American College of Rheumatology (ACR) Convergence conference, taking place November 6-11, 2026, in Orlando, FL. The presentation will highlight KT-579’s compelling profile, including significant activity both as a monotherapy and in combination with background therapies in preclinical lupus models.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Partnered Programs &amp; Research</w:t>
      </w:r>
    </w:p>
    <w:p>
      <w:pPr>
        <w:spacing w:after="0" w:line="204" w:lineRule="exact"/>
        <w:rPr>
          <w:sz w:val="20"/>
          <w:szCs w:val="20"/>
          <w:color w:val="auto"/>
        </w:rPr>
      </w:pPr>
    </w:p>
    <w:p>
      <w:pPr>
        <w:ind w:left="620" w:right="419" w:hanging="328"/>
        <w:spacing w:after="0" w:line="234" w:lineRule="auto"/>
        <w:tabs>
          <w:tab w:leader="none" w:pos="6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first-in-human Phase 1 clinical trial evaluating KT-485 (SAR447971) in healthy volunteers and hidradenitis suppurativa patients is ongoing. Under the collaboration, Sanofi is leading development, regulatory and commercial efforts for the program. KT-485 is a potent, selective, oral second-generation IRAK4 degrader with the potential to offer a novel approach for a range of chronic immuno-inflammatory diseases.</w:t>
      </w:r>
    </w:p>
    <w:p>
      <w:pPr>
        <w:spacing w:after="0" w:line="174" w:lineRule="exact"/>
        <w:rPr>
          <w:rFonts w:ascii="Times New Roman" w:cs="Times New Roman" w:eastAsia="Times New Roman" w:hAnsi="Times New Roman"/>
          <w:sz w:val="20"/>
          <w:szCs w:val="20"/>
          <w:color w:val="auto"/>
        </w:rPr>
      </w:pPr>
    </w:p>
    <w:p>
      <w:pPr>
        <w:ind w:left="620" w:right="339" w:hanging="328"/>
        <w:spacing w:after="0" w:line="234" w:lineRule="auto"/>
        <w:tabs>
          <w:tab w:leader="none" w:pos="6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Gilead Sciences is advancing KT-200 in IND-enabling studies to support an IND filing in 2027. KT-200 is a first-in-class, oral CDK2 molecular glue degrader development candidate discovered and characterized by Kymera and exclusively licensed to Gilead. KT-200 has the potential to improve the standard of care for patients with breast cancer and other solid tumors.</w:t>
      </w:r>
    </w:p>
    <w:p>
      <w:pPr>
        <w:spacing w:after="0" w:line="174" w:lineRule="exact"/>
        <w:rPr>
          <w:rFonts w:ascii="Times New Roman" w:cs="Times New Roman" w:eastAsia="Times New Roman" w:hAnsi="Times New Roman"/>
          <w:sz w:val="20"/>
          <w:szCs w:val="20"/>
          <w:color w:val="auto"/>
        </w:rPr>
      </w:pPr>
    </w:p>
    <w:p>
      <w:pPr>
        <w:ind w:left="620" w:right="299" w:hanging="328"/>
        <w:spacing w:after="0" w:line="260" w:lineRule="auto"/>
        <w:tabs>
          <w:tab w:leader="none" w:pos="6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Leveraging its unique target selection strategy, proven small molecule discovery capabilities, and deep development expertise, the Company continues to advance an early pipeline of novel oral programs with a goal to deliver at least one new development candidate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1658620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525780</wp:posOffset>
            </wp:positionV>
            <wp:extent cx="210883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b w:val="1"/>
          <w:bCs w:val="1"/>
          <w:color w:val="auto"/>
        </w:rPr>
        <w:t>Corporate</w:t>
      </w:r>
    </w:p>
    <w:p>
      <w:pPr>
        <w:spacing w:after="0" w:line="204" w:lineRule="exact"/>
        <w:rPr>
          <w:sz w:val="20"/>
          <w:szCs w:val="20"/>
          <w:color w:val="auto"/>
        </w:rPr>
      </w:pPr>
    </w:p>
    <w:p>
      <w:pPr>
        <w:ind w:left="620" w:right="599" w:hanging="328"/>
        <w:spacing w:after="0" w:line="236" w:lineRule="auto"/>
        <w:tabs>
          <w:tab w:leader="none" w:pos="6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 July 2026, the Company appointed Terence Rooney, MD, as Chief Medical Officer and Elizabeth Laws, PhD, as Senior Vice President, Global STAT6 Development Program Leader, strengthening its clinical development leadership to support the continued advancement of Kymera’s oral immunology portfolio.</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auto"/>
        </w:rPr>
        <w:t>Financial Results</w:t>
      </w:r>
    </w:p>
    <w:p>
      <w:pPr>
        <w:spacing w:after="0" w:line="202" w:lineRule="exact"/>
        <w:rPr>
          <w:sz w:val="20"/>
          <w:szCs w:val="20"/>
          <w:color w:val="auto"/>
        </w:rPr>
      </w:pPr>
    </w:p>
    <w:p>
      <w:pPr>
        <w:ind w:left="300" w:right="419"/>
        <w:spacing w:after="0" w:line="237" w:lineRule="auto"/>
        <w:rPr>
          <w:sz w:val="20"/>
          <w:szCs w:val="20"/>
          <w:color w:val="auto"/>
        </w:rPr>
      </w:pPr>
      <w:r>
        <w:rPr>
          <w:rFonts w:ascii="Arial" w:cs="Arial" w:eastAsia="Arial" w:hAnsi="Arial"/>
          <w:sz w:val="20"/>
          <w:szCs w:val="20"/>
          <w:b w:val="1"/>
          <w:bCs w:val="1"/>
          <w:color w:val="auto"/>
        </w:rPr>
        <w:t xml:space="preserve">Collaboration Revenues: </w:t>
      </w:r>
      <w:r>
        <w:rPr>
          <w:rFonts w:ascii="Arial" w:cs="Arial" w:eastAsia="Arial" w:hAnsi="Arial"/>
          <w:sz w:val="20"/>
          <w:szCs w:val="20"/>
          <w:color w:val="auto"/>
        </w:rPr>
        <w:t>There were no collaboration revenues for the third quarter of 2026</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$2.8 million for the third quarter of 2025. Collaboration revenues recognized in the third quarter of 2025 were all attributable to the Company’s collaboration with Gilead. The Company does not expect to recognize additional collaboration revenue in 2026.</w:t>
      </w:r>
    </w:p>
    <w:p>
      <w:pPr>
        <w:spacing w:after="0" w:line="172" w:lineRule="exact"/>
        <w:rPr>
          <w:sz w:val="20"/>
          <w:szCs w:val="20"/>
          <w:color w:val="auto"/>
        </w:rPr>
      </w:pPr>
    </w:p>
    <w:p>
      <w:pPr>
        <w:ind w:left="300" w:right="319"/>
        <w:spacing w:after="0" w:line="247" w:lineRule="auto"/>
        <w:rPr>
          <w:sz w:val="20"/>
          <w:szCs w:val="20"/>
          <w:color w:val="auto"/>
        </w:rPr>
      </w:pPr>
      <w:r>
        <w:rPr>
          <w:rFonts w:ascii="Arial" w:cs="Arial" w:eastAsia="Arial" w:hAnsi="Arial"/>
          <w:sz w:val="19"/>
          <w:szCs w:val="19"/>
          <w:b w:val="1"/>
          <w:bCs w:val="1"/>
          <w:color w:val="auto"/>
        </w:rPr>
        <w:t xml:space="preserve">Research and Development Expenses: </w:t>
      </w:r>
      <w:r>
        <w:rPr>
          <w:rFonts w:ascii="Arial" w:cs="Arial" w:eastAsia="Arial" w:hAnsi="Arial"/>
          <w:sz w:val="19"/>
          <w:szCs w:val="19"/>
          <w:color w:val="auto"/>
        </w:rPr>
        <w:t>Research and development expenses were $128.5</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for the third quarter of 2026 compared to $74.1 million for the third quarter of 2025. This increase was primarily due to increased expenses related to the investment in the Company’s STAT6 program, platform and discovery programs, as well as costs related to continued growth in the research and development organization. Stock based compensation expenses included in R&amp;D were $10.9 million and $8.4 million for the third quarters of 2026 and 2025, respectively.</w:t>
      </w:r>
    </w:p>
    <w:p>
      <w:pPr>
        <w:spacing w:after="0" w:line="163" w:lineRule="exact"/>
        <w:rPr>
          <w:sz w:val="20"/>
          <w:szCs w:val="20"/>
          <w:color w:val="auto"/>
        </w:rPr>
      </w:pPr>
    </w:p>
    <w:p>
      <w:pPr>
        <w:ind w:left="300" w:right="319"/>
        <w:spacing w:after="0" w:line="233"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were $18.7</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third quarter of 2026 compared to $ 17.3 million for the third quarter of 2025. The increase was primarily due to an increase in legal and professional service fees in support of the Company’s growth and an increase in personnel, facility, occupancy, and other expenses to support growth as a public company. Stock based compensation expenses included in G&amp;A were $7.9 million and $7.4 million for the third quarters of 2026 and 2025, respectively.</w:t>
      </w:r>
    </w:p>
    <w:p>
      <w:pPr>
        <w:spacing w:after="0" w:line="172" w:lineRule="exact"/>
        <w:rPr>
          <w:sz w:val="20"/>
          <w:szCs w:val="20"/>
          <w:color w:val="auto"/>
        </w:rPr>
      </w:pPr>
    </w:p>
    <w:p>
      <w:pPr>
        <w:ind w:left="300" w:right="319"/>
        <w:spacing w:after="0" w:line="259"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$132.0 million for the third quarter of 2026 compared to $82.2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third quarter of 2025.</w:t>
      </w:r>
    </w:p>
    <w:p>
      <w:pPr>
        <w:spacing w:after="0" w:line="152" w:lineRule="exact"/>
        <w:rPr>
          <w:sz w:val="20"/>
          <w:szCs w:val="20"/>
          <w:color w:val="auto"/>
        </w:rPr>
      </w:pPr>
    </w:p>
    <w:p>
      <w:pPr>
        <w:ind w:left="300" w:right="319"/>
        <w:spacing w:after="0" w:line="242" w:lineRule="auto"/>
        <w:rPr>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As of September 30, 2026, Kymera had $1.6 billion in cash, cash</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equivalents and investments. Kymera expects that its cash balance will provide the Company with a cash runway into 2029 beyond multiple clinical inflection points in its pipeline.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auto"/>
        </w:rPr>
        <w:t>Event Details</w:t>
      </w:r>
    </w:p>
    <w:p>
      <w:pPr>
        <w:spacing w:after="0" w:line="204" w:lineRule="exact"/>
        <w:rPr>
          <w:sz w:val="20"/>
          <w:szCs w:val="20"/>
          <w:color w:val="auto"/>
        </w:rPr>
      </w:pPr>
    </w:p>
    <w:p>
      <w:pPr>
        <w:ind w:left="300" w:right="519"/>
        <w:spacing w:after="0" w:line="237" w:lineRule="auto"/>
        <w:rPr>
          <w:sz w:val="20"/>
          <w:szCs w:val="20"/>
          <w:color w:val="auto"/>
        </w:rPr>
      </w:pPr>
      <w:r>
        <w:rPr>
          <w:rFonts w:ascii="Arial" w:cs="Arial" w:eastAsia="Arial" w:hAnsi="Arial"/>
          <w:sz w:val="20"/>
          <w:szCs w:val="20"/>
          <w:color w:val="auto"/>
        </w:rPr>
        <w:t xml:space="preserve">Kymera will host a video conference call today, October 29, 2026, at 8:30 a.m. ET. To join the call please use </w:t>
      </w:r>
      <w:r>
        <w:rPr>
          <w:rFonts w:ascii="Arial" w:cs="Arial" w:eastAsia="Arial" w:hAnsi="Arial"/>
          <w:sz w:val="20"/>
          <w:szCs w:val="20"/>
          <w:b w:val="1"/>
          <w:bCs w:val="1"/>
          <w:u w:val="single" w:color="auto"/>
          <w:color w:val="467886"/>
        </w:rPr>
        <w:t>this link</w:t>
      </w:r>
      <w:r>
        <w:rPr>
          <w:rFonts w:ascii="Arial" w:cs="Arial" w:eastAsia="Arial" w:hAnsi="Arial"/>
          <w:sz w:val="20"/>
          <w:szCs w:val="20"/>
          <w:color w:val="auto"/>
        </w:rPr>
        <w:t xml:space="preserve"> to register. A live webcast of the event will be available under </w:t>
      </w:r>
      <w:r>
        <w:rPr>
          <w:rFonts w:ascii="Arial" w:cs="Arial" w:eastAsia="Arial" w:hAnsi="Arial"/>
          <w:sz w:val="20"/>
          <w:szCs w:val="20"/>
          <w:u w:val="single" w:color="auto"/>
          <w:color w:val="467886"/>
        </w:rPr>
        <w:t>News</w:t>
      </w:r>
      <w:r>
        <w:rPr>
          <w:rFonts w:ascii="Arial" w:cs="Arial" w:eastAsia="Arial" w:hAnsi="Arial"/>
          <w:sz w:val="20"/>
          <w:szCs w:val="20"/>
          <w:color w:val="auto"/>
        </w:rPr>
        <w:t xml:space="preserve"> </w:t>
      </w:r>
      <w:r>
        <w:rPr>
          <w:rFonts w:ascii="Arial" w:cs="Arial" w:eastAsia="Arial" w:hAnsi="Arial"/>
          <w:sz w:val="20"/>
          <w:szCs w:val="20"/>
          <w:u w:val="single" w:color="auto"/>
          <w:color w:val="467886"/>
        </w:rPr>
        <w:t>and Events</w:t>
      </w:r>
      <w:r>
        <w:rPr>
          <w:rFonts w:ascii="Arial" w:cs="Arial" w:eastAsia="Arial" w:hAnsi="Arial"/>
          <w:sz w:val="20"/>
          <w:szCs w:val="20"/>
          <w:color w:val="467886"/>
        </w:rPr>
        <w:t xml:space="preserve"> </w:t>
      </w:r>
      <w:r>
        <w:rPr>
          <w:rFonts w:ascii="Arial" w:cs="Arial" w:eastAsia="Arial" w:hAnsi="Arial"/>
          <w:sz w:val="20"/>
          <w:szCs w:val="20"/>
          <w:color w:val="000000"/>
        </w:rPr>
        <w:t>in the Investors section of the Company’s website at</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www.kymeratx.com</w:t>
      </w:r>
      <w:r>
        <w:rPr>
          <w:rFonts w:ascii="Arial" w:cs="Arial" w:eastAsia="Arial" w:hAnsi="Arial"/>
          <w:sz w:val="20"/>
          <w:szCs w:val="20"/>
          <w:color w:val="000000"/>
        </w:rPr>
        <w:t>. A replay</w:t>
      </w:r>
      <w:r>
        <w:rPr>
          <w:rFonts w:ascii="Arial" w:cs="Arial" w:eastAsia="Arial" w:hAnsi="Arial"/>
          <w:sz w:val="20"/>
          <w:szCs w:val="20"/>
          <w:color w:val="467886"/>
        </w:rPr>
        <w:t xml:space="preserve"> </w:t>
      </w:r>
      <w:r>
        <w:rPr>
          <w:rFonts w:ascii="Arial" w:cs="Arial" w:eastAsia="Arial" w:hAnsi="Arial"/>
          <w:sz w:val="20"/>
          <w:szCs w:val="20"/>
          <w:color w:val="000000"/>
        </w:rPr>
        <w:t>of the webcast will be archived and available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2493010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525780</wp:posOffset>
            </wp:positionV>
            <wp:extent cx="2108835"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b w:val="1"/>
          <w:bCs w:val="1"/>
          <w:color w:val="auto"/>
        </w:rPr>
        <w:t>About Kymera Therapeutics</w:t>
      </w:r>
    </w:p>
    <w:p>
      <w:pPr>
        <w:spacing w:after="0" w:line="6" w:lineRule="exact"/>
        <w:rPr>
          <w:sz w:val="20"/>
          <w:szCs w:val="20"/>
          <w:color w:val="auto"/>
        </w:rPr>
      </w:pPr>
    </w:p>
    <w:p>
      <w:pPr>
        <w:ind w:left="300" w:right="359"/>
        <w:spacing w:after="0" w:line="228" w:lineRule="auto"/>
        <w:rPr>
          <w:sz w:val="20"/>
          <w:szCs w:val="20"/>
          <w:color w:val="auto"/>
        </w:rPr>
      </w:pPr>
      <w:r>
        <w:rPr>
          <w:rFonts w:ascii="Arial" w:cs="Arial" w:eastAsia="Arial" w:hAnsi="Arial"/>
          <w:sz w:val="20"/>
          <w:szCs w:val="20"/>
          <w:color w:val="auto"/>
        </w:rPr>
        <w:t xml:space="preserve">Kymera is a clinical-stage biotechnology company pioneering the field of targeted protein degradation (TPD) to develop medicines that address critical health problems and have the potential to dramatically improve patients’ lives. Kymera is deploying TPD to address disease targets and pathways inaccessible with conventional therapeutics. Having advanced the first degrader into the clinic for immunological diseases, Kymera is focused on building an industry-leading pipeline of oral small molecule degraders to provide a new generation of convenient, highly effective therapies for patients with these conditions. Founded in 2016, Kymera has been recognized as one of Boston’s top workplaces for the past several years. For more information about our science, pipeline and people, please visit </w:t>
      </w:r>
      <w:r>
        <w:rPr>
          <w:rFonts w:ascii="Arial" w:cs="Arial" w:eastAsia="Arial" w:hAnsi="Arial"/>
          <w:sz w:val="20"/>
          <w:szCs w:val="20"/>
          <w:u w:val="single" w:color="auto"/>
          <w:color w:val="467886"/>
        </w:rPr>
        <w:t>www.kymeratx.com</w:t>
      </w:r>
      <w:r>
        <w:rPr>
          <w:rFonts w:ascii="Arial" w:cs="Arial" w:eastAsia="Arial" w:hAnsi="Arial"/>
          <w:sz w:val="20"/>
          <w:szCs w:val="20"/>
          <w:color w:val="auto"/>
        </w:rPr>
        <w:t xml:space="preserve"> or follow us on </w:t>
      </w:r>
      <w:r>
        <w:rPr>
          <w:rFonts w:ascii="Arial" w:cs="Arial" w:eastAsia="Arial" w:hAnsi="Arial"/>
          <w:sz w:val="20"/>
          <w:szCs w:val="20"/>
          <w:u w:val="single" w:color="auto"/>
          <w:color w:val="467886"/>
        </w:rPr>
        <w:t>X</w:t>
      </w:r>
      <w:r>
        <w:rPr>
          <w:rFonts w:ascii="Arial" w:cs="Arial" w:eastAsia="Arial" w:hAnsi="Arial"/>
          <w:sz w:val="20"/>
          <w:szCs w:val="20"/>
          <w:color w:val="auto"/>
        </w:rPr>
        <w:t xml:space="preserve"> or </w:t>
      </w:r>
      <w:r>
        <w:rPr>
          <w:rFonts w:ascii="Arial" w:cs="Arial" w:eastAsia="Arial" w:hAnsi="Arial"/>
          <w:sz w:val="20"/>
          <w:szCs w:val="20"/>
          <w:u w:val="single" w:color="auto"/>
          <w:color w:val="467886"/>
        </w:rPr>
        <w:t>LinkedIn</w:t>
      </w:r>
      <w:r>
        <w:rPr>
          <w:rFonts w:ascii="Arial" w:cs="Arial" w:eastAsia="Arial" w:hAnsi="Arial"/>
          <w:sz w:val="20"/>
          <w:szCs w:val="20"/>
          <w:color w:val="000000"/>
        </w:rPr>
        <w: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6" w:lineRule="exact"/>
        <w:rPr>
          <w:sz w:val="20"/>
          <w:szCs w:val="20"/>
          <w:color w:val="auto"/>
        </w:rPr>
      </w:pPr>
    </w:p>
    <w:p>
      <w:pPr>
        <w:ind w:left="300" w:right="319"/>
        <w:spacing w:after="0"/>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implied and express statements about our expectations regarding strategy, business plans and objectives on the development of our clinical and preclinical pipeline, including the therapeutic potential, clinical benefits and safety thereof, the KT-485/SAR447971 and KT-200 programs, and Kymera’s financial condition and expected cash runway into 2029. The words "may," "might," "will," "could," "would," "should," "expect," "plan," "anticipate," "intend," "believe," "estimate," "seek," "predict," "future," "project," "potential," "continue," "target," “upcoming”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any forward-looking statements contained in this press release, including, without limitation, risks associated with: the risk that preclinical and clinical data, including the results from the Phase 1 trials of KT-621 and KT-579, are not predictive of, may be inconsistent with, or more favorable than, data generated from future or ongoing clinical trials of the same product candidate, uncertainties inherent in the initiation, timing and design of future clinical trials, the availability and timing of data from ongoing and future clinical trials and the results of such trials, the ability to successfully demonstrate the safety and efficacy of drug candidates, the timing and outcome of planned interactions with and submissions to regulatory authorities, the availability of funding sufficient for our operating expenses and capital expenditure requirements, the unexpected emergence of adverse events or other undesirable side effects during preclinical and clinical development, and other factors. These risks and uncertainties are described in greater detail in the section entitled "Risk Factors" in the most recent Quarterly Report on Form 10-Q and in subsequent filings with the SEC. In addition, any forward-looking statements represent our views only as of today and should not be relied upon as representing our views as of any subsequent date. We explicitly disclaim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2465705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525780</wp:posOffset>
            </wp:positionV>
            <wp:extent cx="2108835"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jc w:val="center"/>
        <w:ind w:right="920"/>
        <w:spacing w:after="0"/>
        <w:rPr>
          <w:sz w:val="20"/>
          <w:szCs w:val="20"/>
          <w:color w:val="auto"/>
        </w:rPr>
      </w:pPr>
      <w:r>
        <w:rPr>
          <w:rFonts w:ascii="Arial" w:cs="Arial" w:eastAsia="Arial" w:hAnsi="Arial"/>
          <w:sz w:val="20"/>
          <w:szCs w:val="20"/>
          <w:b w:val="1"/>
          <w:bCs w:val="1"/>
          <w:color w:val="auto"/>
        </w:rPr>
        <w:t>KYMERA THERAPEUTICS, INC.</w:t>
      </w:r>
    </w:p>
    <w:p>
      <w:pPr>
        <w:spacing w:after="0" w:line="43" w:lineRule="exact"/>
        <w:rPr>
          <w:sz w:val="20"/>
          <w:szCs w:val="20"/>
          <w:color w:val="auto"/>
        </w:rPr>
      </w:pPr>
    </w:p>
    <w:p>
      <w:pPr>
        <w:jc w:val="center"/>
        <w:ind w:right="920"/>
        <w:spacing w:after="0"/>
        <w:rPr>
          <w:sz w:val="20"/>
          <w:szCs w:val="20"/>
          <w:color w:val="auto"/>
        </w:rPr>
      </w:pPr>
      <w:r>
        <w:rPr>
          <w:rFonts w:ascii="Arial" w:cs="Arial" w:eastAsia="Arial" w:hAnsi="Arial"/>
          <w:sz w:val="20"/>
          <w:szCs w:val="20"/>
          <w:b w:val="1"/>
          <w:bCs w:val="1"/>
          <w:color w:val="auto"/>
        </w:rPr>
        <w:t>Consolidated Balance Sheets</w:t>
      </w:r>
    </w:p>
    <w:p>
      <w:pPr>
        <w:spacing w:after="0" w:line="40" w:lineRule="exact"/>
        <w:rPr>
          <w:sz w:val="20"/>
          <w:szCs w:val="20"/>
          <w:color w:val="auto"/>
        </w:rPr>
      </w:pPr>
    </w:p>
    <w:p>
      <w:pPr>
        <w:jc w:val="center"/>
        <w:ind w:right="920"/>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40" w:lineRule="exact"/>
        <w:rPr>
          <w:sz w:val="20"/>
          <w:szCs w:val="20"/>
          <w:color w:val="auto"/>
        </w:rPr>
      </w:pPr>
    </w:p>
    <w:p>
      <w:pPr>
        <w:jc w:val="center"/>
        <w:ind w:right="920"/>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7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76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cash equivalents and marketable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1,645,883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1,619,434</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38,242</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43,175</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Right-of-use assets, operating lease</w:t>
            </w:r>
          </w:p>
        </w:tc>
        <w:tc>
          <w:tcPr>
            <w:tcW w:w="7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40,444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42,351</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42,700</w:t>
            </w:r>
          </w:p>
        </w:tc>
        <w:tc>
          <w:tcPr>
            <w:tcW w:w="2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37,852</w:t>
            </w:r>
          </w:p>
        </w:tc>
        <w:tc>
          <w:tcPr>
            <w:tcW w:w="0" w:type="dxa"/>
            <w:vAlign w:val="bottom"/>
          </w:tcPr>
          <w:p>
            <w:pPr>
              <w:spacing w:after="0"/>
              <w:rPr>
                <w:sz w:val="1"/>
                <w:szCs w:val="1"/>
                <w:color w:val="auto"/>
              </w:rPr>
            </w:pPr>
          </w:p>
        </w:tc>
      </w:tr>
      <w:tr>
        <w:trPr>
          <w:trHeight w:val="209"/>
        </w:trPr>
        <w:tc>
          <w:tcPr>
            <w:tcW w:w="3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1,767,269</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1,742,812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63,315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42,274</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74,626</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78,975</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14,801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41,899</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152,742</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163,148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1,614,527</w:t>
            </w:r>
          </w:p>
        </w:tc>
        <w:tc>
          <w:tcPr>
            <w:tcW w:w="2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1,579,664</w:t>
            </w:r>
          </w:p>
        </w:tc>
        <w:tc>
          <w:tcPr>
            <w:tcW w:w="0" w:type="dxa"/>
            <w:vAlign w:val="bottom"/>
          </w:tcPr>
          <w:p>
            <w:pPr>
              <w:spacing w:after="0"/>
              <w:rPr>
                <w:sz w:val="1"/>
                <w:szCs w:val="1"/>
                <w:color w:val="auto"/>
              </w:rPr>
            </w:pPr>
          </w:p>
        </w:tc>
      </w:tr>
      <w:tr>
        <w:trPr>
          <w:trHeight w:val="106"/>
        </w:trPr>
        <w:tc>
          <w:tcPr>
            <w:tcW w:w="3740" w:type="dxa"/>
            <w:vAlign w:val="bottom"/>
            <w:shd w:val="clear" w:color="auto" w:fill="CFF0FC"/>
          </w:tcPr>
          <w:p>
            <w:pPr>
              <w:ind w:left="380"/>
              <w:spacing w:after="0" w:line="106" w:lineRule="exact"/>
              <w:rPr>
                <w:sz w:val="20"/>
                <w:szCs w:val="20"/>
                <w:color w:val="auto"/>
              </w:rPr>
            </w:pPr>
            <w:r>
              <w:rPr>
                <w:rFonts w:ascii="Times New Roman" w:cs="Times New Roman" w:eastAsia="Times New Roman" w:hAnsi="Times New Roman"/>
                <w:sz w:val="12"/>
                <w:szCs w:val="12"/>
                <w:color w:val="auto"/>
              </w:rPr>
              <w:t>Total liabilities, preferred stock and stockholders’</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1,767,269</w:t>
            </w:r>
          </w:p>
        </w:tc>
        <w:tc>
          <w:tcPr>
            <w:tcW w:w="2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1,742,812</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CFF0FC"/>
            </w:tcBorders>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equity</w:t>
            </w: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-24765</wp:posOffset>
            </wp:positionV>
            <wp:extent cx="1625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-7620</wp:posOffset>
            </wp:positionV>
            <wp:extent cx="162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-187960</wp:posOffset>
            </wp:positionV>
            <wp:extent cx="162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KYMERA THERAPEUTICS,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ectPr>
          <w:pgSz w:w="11900" w:h="16838" w:orient="portrait"/>
          <w:cols w:equalWidth="0" w:num="1">
            <w:col w:w="11040"/>
          </w:cols>
          <w:pgMar w:left="4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4"/>
          <w:szCs w:val="14"/>
          <w:color w:val="auto"/>
        </w:rPr>
        <w:t>Collaboration Revenue</w:t>
      </w:r>
    </w:p>
    <w:p>
      <w:pPr>
        <w:spacing w:after="0" w:line="2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Impairment of long-lived assets</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6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Interest and other income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0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0"/>
        </w:trPr>
        <w:tc>
          <w:tcPr>
            <w:tcW w:w="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2,764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99,365</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36,341</w:t>
            </w:r>
          </w:p>
        </w:tc>
      </w:tr>
      <w:tr>
        <w:trPr>
          <w:trHeight w:val="688"/>
        </w:trPr>
        <w:tc>
          <w:tcPr>
            <w:tcW w:w="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128,509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74,094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346,152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232,737</w:t>
            </w:r>
          </w:p>
        </w:tc>
      </w:tr>
      <w:tr>
        <w:trPr>
          <w:trHeight w:val="230"/>
        </w:trPr>
        <w:tc>
          <w:tcPr>
            <w:tcW w:w="360" w:type="dxa"/>
            <w:vAlign w:val="bottom"/>
          </w:tcPr>
          <w:p>
            <w:pPr>
              <w:spacing w:after="0"/>
              <w:rPr>
                <w:sz w:val="19"/>
                <w:szCs w:val="19"/>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18,723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17,336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60,207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51,252</w:t>
            </w:r>
          </w:p>
        </w:tc>
      </w:tr>
      <w:tr>
        <w:trPr>
          <w:trHeight w:val="212"/>
        </w:trPr>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3,855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3,855</w:t>
            </w:r>
          </w:p>
        </w:tc>
      </w:tr>
      <w:tr>
        <w:trPr>
          <w:trHeight w:val="210"/>
        </w:trPr>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147,232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95,285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406,359</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287,844</w:t>
            </w:r>
          </w:p>
        </w:tc>
      </w:tr>
      <w:tr>
        <w:trPr>
          <w:trHeight w:val="240"/>
        </w:trPr>
        <w:tc>
          <w:tcPr>
            <w:tcW w:w="36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(147,232)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(92,521)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(306,994)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(251,503)</w:t>
            </w:r>
          </w:p>
        </w:tc>
      </w:tr>
      <w:tr>
        <w:trPr>
          <w:trHeight w:val="435"/>
        </w:trPr>
        <w:tc>
          <w:tcPr>
            <w:tcW w:w="36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15,295</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10,444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44,753</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-1807845</wp:posOffset>
            </wp:positionH>
            <wp:positionV relativeFrom="paragraph">
              <wp:posOffset>-1461135</wp:posOffset>
            </wp:positionV>
            <wp:extent cx="53492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4605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-1169670</wp:posOffset>
            </wp:positionV>
            <wp:extent cx="53492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4605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-878205</wp:posOffset>
            </wp:positionV>
            <wp:extent cx="534924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4605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-286385</wp:posOffset>
            </wp:positionV>
            <wp:extent cx="53492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4605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-599440</wp:posOffset>
            </wp:positionV>
            <wp:extent cx="534924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720"/>
            <w:col w:w="6880"/>
          </w:cols>
          <w:pgMar w:left="420" w:top="1440" w:right="4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and other expense</w:t>
            </w: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2840" w:type="dxa"/>
            <w:vAlign w:val="bottom"/>
            <w:tcBorders>
              <w:top w:val="single" w:sz="8" w:color="CFF0FC"/>
            </w:tcBorders>
          </w:tcPr>
          <w:p>
            <w:pPr>
              <w:ind w:left="680"/>
              <w:spacing w:after="0"/>
              <w:rPr>
                <w:sz w:val="20"/>
                <w:szCs w:val="20"/>
                <w:color w:val="auto"/>
              </w:rPr>
            </w:pPr>
            <w:r>
              <w:rPr>
                <w:rFonts w:ascii="Times New Roman" w:cs="Times New Roman" w:eastAsia="Times New Roman" w:hAnsi="Times New Roman"/>
                <w:sz w:val="14"/>
                <w:szCs w:val="14"/>
                <w:color w:val="auto"/>
              </w:rPr>
              <w:t>Total other income</w:t>
            </w: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15,233</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10,346</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44,550</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27,133</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3"/>
                <w:szCs w:val="3"/>
                <w:color w:val="auto"/>
              </w:rPr>
            </w:pPr>
          </w:p>
        </w:tc>
        <w:tc>
          <w:tcPr>
            <w:tcW w:w="284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284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2"/>
                <w:szCs w:val="12"/>
                <w:color w:val="auto"/>
              </w:rPr>
              <w:t>Net loss attributable to common</w:t>
            </w: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(131,999)</w:t>
            </w:r>
          </w:p>
        </w:tc>
        <w:tc>
          <w:tcPr>
            <w:tcW w:w="26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(82,175)</w:t>
            </w:r>
          </w:p>
        </w:tc>
        <w:tc>
          <w:tcPr>
            <w:tcW w:w="26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(262,444)</w:t>
            </w:r>
          </w:p>
        </w:tc>
        <w:tc>
          <w:tcPr>
            <w:tcW w:w="26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(224,370)</w:t>
            </w: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40" w:type="dxa"/>
            <w:vAlign w:val="bottom"/>
            <w:tcBorders>
              <w:bottom w:val="single" w:sz="8" w:color="CFF0FC"/>
            </w:tcBorders>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stockholders</w:t>
            </w:r>
          </w:p>
        </w:tc>
        <w:tc>
          <w:tcPr>
            <w:tcW w:w="4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284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Net loss per share attributable to</w:t>
            </w: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stockholders, basic and</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(0.94)</w:t>
            </w:r>
          </w:p>
        </w:tc>
        <w:tc>
          <w:tcPr>
            <w:tcW w:w="2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(2.71)</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284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320" w:type="dxa"/>
            <w:vAlign w:val="bottom"/>
          </w:tcPr>
          <w:p>
            <w:pPr>
              <w:spacing w:after="0"/>
              <w:rPr>
                <w:sz w:val="11"/>
                <w:szCs w:val="11"/>
                <w:color w:val="auto"/>
              </w:rPr>
            </w:pPr>
          </w:p>
        </w:tc>
        <w:tc>
          <w:tcPr>
            <w:tcW w:w="2840" w:type="dxa"/>
            <w:vAlign w:val="bottom"/>
            <w:shd w:val="clear" w:color="auto" w:fill="CFF0FC"/>
          </w:tcPr>
          <w:p>
            <w:pPr>
              <w:ind w:left="100"/>
              <w:spacing w:after="0" w:line="133" w:lineRule="exact"/>
              <w:rPr>
                <w:sz w:val="20"/>
                <w:szCs w:val="20"/>
                <w:color w:val="auto"/>
              </w:rPr>
            </w:pPr>
            <w:r>
              <w:rPr>
                <w:rFonts w:ascii="Arial" w:cs="Arial" w:eastAsia="Arial" w:hAnsi="Arial"/>
                <w:sz w:val="14"/>
                <w:szCs w:val="14"/>
                <w:color w:val="auto"/>
              </w:rPr>
              <w:t>Weighted average common</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stocks outstanding,</w:t>
            </w:r>
          </w:p>
        </w:tc>
        <w:tc>
          <w:tcPr>
            <w:tcW w:w="120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100,097,242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87,300,286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98,612,278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82,653,142</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40" w:type="dxa"/>
            <w:vAlign w:val="bottom"/>
            <w:tcBorders>
              <w:bottom w:val="single" w:sz="8" w:color="CFF0FC"/>
            </w:tcBorders>
            <w:shd w:val="clear" w:color="auto" w:fill="CFF0FC"/>
          </w:tcPr>
          <w:p>
            <w:pPr>
              <w:ind w:left="100"/>
              <w:spacing w:after="0" w:line="125" w:lineRule="exact"/>
              <w:rPr>
                <w:sz w:val="20"/>
                <w:szCs w:val="20"/>
                <w:color w:val="auto"/>
              </w:rPr>
            </w:pPr>
            <w:r>
              <w:rPr>
                <w:rFonts w:ascii="Arial" w:cs="Arial" w:eastAsia="Arial" w:hAnsi="Arial"/>
                <w:sz w:val="14"/>
                <w:szCs w:val="14"/>
                <w:color w:val="auto"/>
              </w:rPr>
              <w:t>basic and diluted</w:t>
            </w:r>
          </w:p>
        </w:tc>
        <w:tc>
          <w:tcPr>
            <w:tcW w:w="1200" w:type="dxa"/>
            <w:vAlign w:val="bottom"/>
            <w:tcBorders>
              <w:bottom w:val="single" w:sz="8" w:color="auto"/>
            </w:tcBorders>
            <w:gridSpan w:val="2"/>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9"/>
        </w:trPr>
        <w:tc>
          <w:tcPr>
            <w:tcW w:w="1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-2082165</wp:posOffset>
            </wp:positionV>
            <wp:extent cx="1625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-2082165</wp:posOffset>
            </wp:positionV>
            <wp:extent cx="162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-2082165</wp:posOffset>
            </wp:positionV>
            <wp:extent cx="162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-1765300</wp:posOffset>
            </wp:positionV>
            <wp:extent cx="1625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-1748155</wp:posOffset>
            </wp:positionV>
            <wp:extent cx="1625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-1928495</wp:posOffset>
            </wp:positionV>
            <wp:extent cx="1625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-1765300</wp:posOffset>
            </wp:positionV>
            <wp:extent cx="162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-1748155</wp:posOffset>
            </wp:positionV>
            <wp:extent cx="162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-1928495</wp:posOffset>
            </wp:positionV>
            <wp:extent cx="162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-1765300</wp:posOffset>
            </wp:positionV>
            <wp:extent cx="162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-1748155</wp:posOffset>
            </wp:positionV>
            <wp:extent cx="162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-1928495</wp:posOffset>
            </wp:positionV>
            <wp:extent cx="1625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-1173480</wp:posOffset>
            </wp:positionV>
            <wp:extent cx="1625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-1156335</wp:posOffset>
            </wp:positionV>
            <wp:extent cx="1625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-1173480</wp:posOffset>
            </wp:positionV>
            <wp:extent cx="162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-1156335</wp:posOffset>
            </wp:positionV>
            <wp:extent cx="1625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-1173480</wp:posOffset>
            </wp:positionV>
            <wp:extent cx="1625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-1156335</wp:posOffset>
            </wp:positionV>
            <wp:extent cx="1625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525780</wp:posOffset>
            </wp:positionV>
            <wp:extent cx="2108835" cy="488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Investor Contact:</w:t>
      </w:r>
    </w:p>
    <w:p>
      <w:pPr>
        <w:ind w:left="300"/>
        <w:spacing w:after="0" w:line="231" w:lineRule="auto"/>
        <w:rPr>
          <w:sz w:val="20"/>
          <w:szCs w:val="20"/>
          <w:color w:val="auto"/>
        </w:rPr>
      </w:pPr>
      <w:r>
        <w:rPr>
          <w:rFonts w:ascii="Arial" w:cs="Arial" w:eastAsia="Arial" w:hAnsi="Arial"/>
          <w:sz w:val="20"/>
          <w:szCs w:val="20"/>
          <w:color w:val="auto"/>
        </w:rPr>
        <w:t>Justine Koenigsberg</w:t>
      </w:r>
    </w:p>
    <w:p>
      <w:pPr>
        <w:ind w:left="300"/>
        <w:spacing w:after="0" w:line="238" w:lineRule="auto"/>
        <w:rPr>
          <w:sz w:val="20"/>
          <w:szCs w:val="20"/>
          <w:color w:val="auto"/>
        </w:rPr>
      </w:pPr>
      <w:r>
        <w:rPr>
          <w:rFonts w:ascii="Arial" w:cs="Arial" w:eastAsia="Arial" w:hAnsi="Arial"/>
          <w:sz w:val="19"/>
          <w:szCs w:val="19"/>
          <w:u w:val="single" w:color="auto"/>
          <w:color w:val="467886"/>
        </w:rPr>
        <w:t>investors@kymeratx.com</w:t>
      </w:r>
    </w:p>
    <w:p>
      <w:pPr>
        <w:ind w:left="300"/>
        <w:spacing w:after="0"/>
        <w:rPr>
          <w:sz w:val="20"/>
          <w:szCs w:val="20"/>
          <w:color w:val="auto"/>
        </w:rPr>
      </w:pPr>
      <w:r>
        <w:rPr>
          <w:rFonts w:ascii="Arial" w:cs="Arial" w:eastAsia="Arial" w:hAnsi="Arial"/>
          <w:sz w:val="20"/>
          <w:szCs w:val="20"/>
          <w:color w:val="auto"/>
        </w:rPr>
        <w:t>857-285-5300</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Media Contact:</w:t>
      </w:r>
    </w:p>
    <w:p>
      <w:pPr>
        <w:ind w:left="300"/>
        <w:spacing w:after="0" w:line="231" w:lineRule="auto"/>
        <w:rPr>
          <w:sz w:val="20"/>
          <w:szCs w:val="20"/>
          <w:color w:val="auto"/>
        </w:rPr>
      </w:pPr>
      <w:r>
        <w:rPr>
          <w:rFonts w:ascii="Arial" w:cs="Arial" w:eastAsia="Arial" w:hAnsi="Arial"/>
          <w:sz w:val="20"/>
          <w:szCs w:val="20"/>
          <w:color w:val="auto"/>
        </w:rPr>
        <w:t>Matthew Henson</w:t>
      </w:r>
    </w:p>
    <w:p>
      <w:pPr>
        <w:ind w:left="300"/>
        <w:spacing w:after="0" w:line="226" w:lineRule="auto"/>
        <w:rPr>
          <w:sz w:val="20"/>
          <w:szCs w:val="20"/>
          <w:color w:val="auto"/>
        </w:rPr>
      </w:pPr>
      <w:r>
        <w:rPr>
          <w:rFonts w:ascii="Arial" w:cs="Arial" w:eastAsia="Arial" w:hAnsi="Arial"/>
          <w:sz w:val="20"/>
          <w:szCs w:val="20"/>
          <w:u w:val="single" w:color="auto"/>
          <w:color w:val="467886"/>
        </w:rPr>
        <w:t>media@kymeratx.com</w:t>
      </w:r>
    </w:p>
    <w:p>
      <w:pPr>
        <w:ind w:left="300"/>
        <w:spacing w:after="0"/>
        <w:rPr>
          <w:sz w:val="20"/>
          <w:szCs w:val="20"/>
          <w:color w:val="auto"/>
        </w:rPr>
      </w:pPr>
      <w:r>
        <w:rPr>
          <w:rFonts w:ascii="Arial" w:cs="Arial" w:eastAsia="Arial" w:hAnsi="Arial"/>
          <w:sz w:val="20"/>
          <w:szCs w:val="20"/>
          <w:color w:val="auto"/>
        </w:rPr>
        <w:t>857-285-5300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6753225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2026-10-29T06:11:30Z</dcterms:created>
  <dcterms:modified xsi:type="dcterms:W3CDTF">2026-10-29T06:11:30Z</dcterms:modified>
</cp:coreProperties>
</file>