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780" w:right="1600" w:hanging="3772"/>
        <w:spacing w:after="0" w:line="344" w:lineRule="auto"/>
        <w:tabs>
          <w:tab w:leader="none" w:pos="45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92"/>
        <w:spacing w:after="0" w:line="226"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334"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3" w:lineRule="exact"/>
        <w:rPr>
          <w:sz w:val="24"/>
          <w:szCs w:val="24"/>
          <w:color w:val="auto"/>
        </w:rPr>
      </w:pPr>
    </w:p>
    <w:p>
      <w:pPr>
        <w:sectPr>
          <w:pgSz w:w="11900" w:h="16838" w:orient="portrait"/>
          <w:cols w:equalWidth="0" w:num="2">
            <w:col w:w="7700" w:space="16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2"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2, 2025, the registrant had 65,119,568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0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IRAK4 and STAT6 programs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our TYK2 and IRF5 programs and clinical studies for our STAT6 and IRAK4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89,966</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500,951</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312,335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49,172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918,312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3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10,263</w:t>
            </w:r>
          </w:p>
        </w:tc>
        <w:tc>
          <w:tcPr>
            <w:tcW w:w="140" w:type="dxa"/>
            <w:vAlign w:val="bottom"/>
          </w:tcPr>
          <w:p>
            <w:pPr>
              <w:spacing w:after="0"/>
              <w:rPr>
                <w:sz w:val="12"/>
                <w:szCs w:val="12"/>
                <w:color w:val="auto"/>
              </w:rPr>
            </w:pPr>
          </w:p>
        </w:tc>
        <w:tc>
          <w:tcPr>
            <w:tcW w:w="2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23,117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58,989</w:t>
            </w:r>
          </w:p>
        </w:tc>
        <w:tc>
          <w:tcPr>
            <w:tcW w:w="140" w:type="dxa"/>
            <w:vAlign w:val="bottom"/>
          </w:tcPr>
          <w:p>
            <w:pPr>
              <w:spacing w:after="0"/>
              <w:rPr>
                <w:sz w:val="12"/>
                <w:szCs w:val="12"/>
                <w:color w:val="auto"/>
              </w:rPr>
            </w:pPr>
          </w:p>
        </w:tc>
        <w:tc>
          <w:tcPr>
            <w:tcW w:w="28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71,182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132,079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March 31, 2025 and December 31, 2024, 65,112,714 and</w:t>
            </w:r>
          </w:p>
        </w:tc>
        <w:tc>
          <w:tcPr>
            <w:tcW w:w="2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64,890,193 shares issued and outstanding at March 31, 2025 and December 31, 2024, respectively</w:t>
            </w: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1,606,475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(820,191)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(754,610)</w:t>
            </w: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42"/>
        </w:trPr>
        <w:tc>
          <w:tcPr>
            <w:tcW w:w="830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786,233</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918,312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-2065020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-2047875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-1285240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-231140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6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96,526</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(65,581)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(48,557)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4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(64,154)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80" w:type="dxa"/>
            <w:vAlign w:val="bottom"/>
            <w:vMerge w:val="restart"/>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(65,581)</w:t>
            </w:r>
          </w:p>
        </w:tc>
        <w:tc>
          <w:tcPr>
            <w:tcW w:w="28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80,146,531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70,770,320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-2656840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-2656840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-2099310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-2099310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-1250950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-1250950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-659765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-641985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-659765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-641985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-187960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-170815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00" w:type="dxa"/>
            <w:vAlign w:val="bottom"/>
            <w:gridSpan w:val="4"/>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55,585,305</w:t>
            </w:r>
          </w:p>
        </w:tc>
        <w:tc>
          <w:tcPr>
            <w:tcW w:w="900" w:type="dxa"/>
            <w:vAlign w:val="bottom"/>
            <w:gridSpan w:val="3"/>
            <w:shd w:val="clear" w:color="auto" w:fill="CFF0FC"/>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926,269</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(530,752)</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394,971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warrants from public offering, net of issuance costs of</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$14.9 million</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 market sales</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agreement, net of issuance costs of $1.2 million</w:t>
            </w:r>
          </w:p>
        </w:tc>
        <w:tc>
          <w:tcPr>
            <w:tcW w:w="10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83,209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(48,557)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(48,557)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61,353,146</w:t>
            </w:r>
          </w:p>
        </w:tc>
        <w:tc>
          <w:tcPr>
            <w:tcW w:w="1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FF0FC"/>
          </w:tcPr>
          <w:p>
            <w:pPr>
              <w:jc w:val="right"/>
              <w:ind w:right="456"/>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w:t>
            </w: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1,292,283</w:t>
            </w: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(579,309)</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(1,777)</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711,203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64,890,193</w:t>
            </w:r>
          </w:p>
        </w:tc>
        <w:tc>
          <w:tcPr>
            <w:tcW w:w="9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1,591,707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(754,610)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75,652</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(65,581)</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(65,581)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65,112,714</w:t>
            </w:r>
          </w:p>
        </w:tc>
        <w:tc>
          <w:tcPr>
            <w:tcW w:w="320" w:type="dxa"/>
            <w:vAlign w:val="bottom"/>
            <w:gridSpan w:val="2"/>
          </w:tcPr>
          <w:p>
            <w:pPr>
              <w:spacing w:after="0"/>
              <w:rPr>
                <w:sz w:val="12"/>
                <w:szCs w:val="12"/>
                <w:color w:val="auto"/>
              </w:rPr>
            </w:pPr>
          </w:p>
        </w:tc>
        <w:tc>
          <w:tcPr>
            <w:tcW w:w="5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1,606,475</w:t>
            </w: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(820,191)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786,233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-839470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-822325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-839470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-822325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-839470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-822325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-839470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-822325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-839470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-822325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-839470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-822325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-128270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-128270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-128270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-128270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-128270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-128270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(65,581)</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(48,557)</w:t>
            </w: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14,233</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11,968</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Lease impairment charge</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Premiums and discounts on available-for-sale marketable securities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(2,525)</w:t>
            </w: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(3,072)</w:t>
            </w: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(3,005)</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(19,053)</w:t>
            </w: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r>
      <w:tr>
        <w:trPr>
          <w:trHeight w:val="202"/>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(11,690)</w:t>
            </w: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(15,394)</w:t>
            </w: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(2,100)</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(8,257)</w:t>
            </w: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(1,154)</w:t>
            </w: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(694)</w:t>
            </w: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FF0FC"/>
          </w:tcPr>
          <w:p>
            <w:pPr>
              <w:spacing w:after="0"/>
              <w:rPr>
                <w:sz w:val="17"/>
                <w:szCs w:val="17"/>
                <w:color w:val="auto"/>
              </w:rPr>
            </w:pPr>
          </w:p>
        </w:tc>
      </w:tr>
      <w:tr>
        <w:trPr>
          <w:trHeight w:val="20"/>
        </w:trPr>
        <w:tc>
          <w:tcPr>
            <w:tcW w:w="79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(79,150)</w:t>
            </w: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(39,591)</w:t>
            </w: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(467)</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(7,402)</w:t>
            </w:r>
          </w:p>
        </w:tc>
      </w:tr>
      <w:tr>
        <w:trPr>
          <w:trHeight w:val="202"/>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(83,656)</w:t>
            </w:r>
          </w:p>
        </w:tc>
        <w:tc>
          <w:tcPr>
            <w:tcW w:w="6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(422,704)</w:t>
            </w: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132,738</w:t>
            </w:r>
          </w:p>
        </w:tc>
        <w:tc>
          <w:tcPr>
            <w:tcW w:w="2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99,499</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48,615</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(330,607)</w:t>
            </w:r>
          </w:p>
        </w:tc>
      </w:tr>
      <w:tr>
        <w:trPr>
          <w:trHeight w:val="196"/>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8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January 2024 public offering, net of issuance</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$14.9 million</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100" w:type="dxa"/>
            <w:vAlign w:val="bottom"/>
            <w:shd w:val="clear" w:color="auto" w:fill="CFF0FC"/>
          </w:tcPr>
          <w:p>
            <w:pPr>
              <w:spacing w:after="0"/>
              <w:rPr>
                <w:sz w:val="18"/>
                <w:szCs w:val="18"/>
                <w:color w:val="auto"/>
              </w:rPr>
            </w:pPr>
          </w:p>
        </w:tc>
      </w:tr>
      <w:tr>
        <w:trPr>
          <w:trHeight w:val="189"/>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 net of issuance costs of</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$1.2 million</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100" w:type="dxa"/>
            <w:vAlign w:val="bottom"/>
          </w:tcPr>
          <w:p>
            <w:pPr>
              <w:spacing w:after="0"/>
              <w:rPr>
                <w:sz w:val="18"/>
                <w:szCs w:val="18"/>
                <w:color w:val="auto"/>
              </w:rPr>
            </w:pPr>
          </w:p>
        </w:tc>
      </w:tr>
      <w:tr>
        <w:trPr>
          <w:trHeight w:val="20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(277)</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r>
      <w:tr>
        <w:trPr>
          <w:trHeight w:val="19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(30,277)</w:t>
            </w:r>
          </w:p>
        </w:tc>
        <w:tc>
          <w:tcPr>
            <w:tcW w:w="6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(16,442)</w:t>
            </w:r>
          </w:p>
        </w:tc>
      </w:tr>
      <w:tr>
        <w:trPr>
          <w:trHeight w:val="203"/>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28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95,773</w:t>
            </w:r>
          </w:p>
        </w:tc>
        <w:tc>
          <w:tcPr>
            <w:tcW w:w="280" w:type="dxa"/>
            <w:vAlign w:val="bottom"/>
          </w:tcPr>
          <w:p>
            <w:pPr>
              <w:spacing w:after="0"/>
              <w:rPr>
                <w:sz w:val="17"/>
                <w:szCs w:val="17"/>
                <w:color w:val="auto"/>
              </w:rPr>
            </w:pPr>
          </w:p>
        </w:tc>
        <w:tc>
          <w:tcPr>
            <w:tcW w:w="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99,335</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accrued expenses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80" w:type="dxa"/>
            <w:vAlign w:val="bottom"/>
          </w:tcPr>
          <w:p>
            <w:pPr>
              <w:spacing w:after="0"/>
              <w:rPr>
                <w:sz w:val="18"/>
                <w:szCs w:val="18"/>
                <w:color w:val="auto"/>
              </w:rPr>
            </w:pPr>
          </w:p>
        </w:tc>
        <w:tc>
          <w:tcPr>
            <w:tcW w:w="6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-2773045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-2773045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-1976120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-1976120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-930275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-930275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-664210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20" w:type="dxa"/>
            <w:vAlign w:val="bottom"/>
            <w:tcBorders>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34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89,966</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93,510</w:t>
            </w: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3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00" w:type="dxa"/>
            <w:vAlign w:val="bottom"/>
          </w:tcPr>
          <w:p>
            <w:pPr>
              <w:spacing w:after="0"/>
              <w:rPr>
                <w:sz w:val="17"/>
                <w:szCs w:val="17"/>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95,773</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99,335</w:t>
            </w: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$820.2 million as of March 31, 2025.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cash, cash equivalents and marketable securities of $775.5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21, 2024, the Company completed a follow-on offering of its common stock and, in lieu of common stock to certain investors, pre-funded warrants to purchase shares of its common stock. The Company issued and sold 2,830,533 shares of common stock, including full exercise of the underwriters’ over-allotment option to purchase an additional 828,220 shares, at a public offering price of $40.75 per share. Additionally, in lieu of common stock to certain investors, the Company issued and sold pre-funded warrants to purchase 3,519,159 shares of its common stock at a public offering price of $40.7499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$258.7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 pre-funded warrants were exercised. As of March 31, 2025, there were 15,159,753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2024 included in the Company’s Annual Report on Form 10-K, filed with the SEC on February 27, 2025.</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2024, and, in the opinion of management, reflect all adjustments necessary, all of which were normal and recurring, for the fair statement of the Company’s financial position as of March 31, 2025, and the results of operations, equity, and cash flows for the three months ended March 31, 2025 and 2024. The results for the three months ended March 31, 2025 are not necessarily indicative of the results for the year ended December 31, 2025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months ended March 31, 2025 are consistent with those discussed in Note 2 to the consolidated financial statements in the 2024 Annual Report on Form 10-K.</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We are currently evaluating the disclosure requirements related to this new standard.</w:t>
      </w:r>
    </w:p>
    <w:p>
      <w:pPr>
        <w:spacing w:after="0" w:line="11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March 31, 2025 and December 31, 2024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119,654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119,654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49,963</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49,963</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130,689</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256,698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516,848</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773,546</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854,097</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-2853690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-2853690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-2853690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-2853690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2025 and the year ended December 31, 2024,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March 31, 2025 and December 31, 2024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171,449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171,656</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180,165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179,607</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328,035</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328,331</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685,575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685,519</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179,030</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177,815</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378,516</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730,647</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-1379220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-1379220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held 124 securities that had been in an unrealized loss position for less than 12 months with an aggregate fair value of $347.6 million. As of December 31, 2024, the Company held 121 securities that had been in an unrealized loss position for less than 12 months with an aggregate fair value of $342.1 million. As of March 31, 2025, the Company held no securities that had been in an unrealized loss position for greater than 12 months. As of December 31, 2024, the Company held 4 securities that had been in an unrealized loss position for greater than 12 months with an aggregate fair value of $7.6 million.</w:t>
      </w:r>
    </w:p>
    <w:p>
      <w:pPr>
        <w:spacing w:after="0" w:line="2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125 securities with a fair value of $373.2 million with a contractual maturity of less than 12 months and 110 securities with a fair value of $312.3 million with a contractual maturity of greater than 12 months. As of December 31, 2024, the Company had 129 securities with a fair value of $368.5 million with a contractual maturity of less than 12 months and 116 securities with a fair value of $362.2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March 31, 2025 and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Of these milestones, we remain eligible to receive up to $1.0 billion in development milestones upon the achievement of certain developmental or regulatory events, and up to $400 million in commercial milestones which are payable upon the achievement of certain net sales thresholds, all of which are related to the IRAK4 program. We will further be eligible to receive tiered royalties on net sales ranging from the high single digits to high teens, subject to low-single digits upward adjustments in certain circumstances.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Milestone and reimbursement consideration added to the transaction price will be recognized as revenue with a cumulative catch-up upon becoming unconstrained. The performance obligation associated with Collaboration Target 1 has not been fully satisfied as of March 31, 2025. The performance obligation associated with Collaboration Target 2 has been fully satisfied.</w:t>
      </w:r>
    </w:p>
    <w:p>
      <w:pPr>
        <w:spacing w:after="0" w:line="2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2025, the Company recognized $22.1 million in revenue under the Sanofi Agreement, all of which was associated with Collaboration Target 1 In the three months ended March 31, 2024, the Company recognized $10.3 million in revenue under the Sanofi Agreement, all of which was associated with Collaboration Target 1. Of the $22.1 million of revenue recognized in the three months ended March 31, 2025, $3.1 million was recognized from amounts that were recorded in deferred revenue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aggregate amount of the transaction price allocated to the Company’s unsatisfied performance obligations and recorded in deferred revenue decreased to $11.5 million at March 31, 2025 compared to $13.6 million at December 31, 2024. This decrease was the result of on-going activity under the collaboration agreement. During the three months ended March 31, 2025, the Company received $0.9 million in cost reimbursement payments. As of March 31, 2025, the Company recorded a contract asset for unbilled accounts receivable of $20.0 million related to an preclinical milestone achieved in the first quarter of 2025. The Company will recognize the deferred revenue related to the research and development services based on a cost input method, as described, over the remaining research term, which is a maximum of 0.5 years as of March 31, 2025.</w:t>
      </w:r>
    </w:p>
    <w:p>
      <w:pPr>
        <w:spacing w:after="0" w:line="22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 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In connection with this milestones the Company unconstrained $20.0 million of consideration in the first quarter of 2025. During the three months ended March 31, 2025, the Company recognized $19.8 million of revenue from unconstrained milestones, respectively. As of March 31, 2025, $71.3 million of the $75.0 million of cumulative milestone consideration has been recorded as revenue, with the remaining $3.7 million recorded as deferred revenue.</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76"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7"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There was no revenue recognized during the three months ended March 31, 2025 and 2024. There were no unsatisfied performance obligations as of March 31, 2025. The aggregate amount of the transaction price allocated to the Company’s unsatisfied performance obligation and recorded in deferred revenue is $0 at both March 31, 2025 and December 31, 2024.</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three months ended March 31, 2025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5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Sanofi</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4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(22,100)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-616585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-616585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-616585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March 31, 2025 and December 31,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67,294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(16,073)</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49,172</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50"/>
        </w:trPr>
        <w:tc>
          <w:tcPr>
            <w:tcW w:w="706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-993775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-1010920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-993775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$1.6 million and $1.5 million, respectively.</w:t>
      </w:r>
    </w:p>
    <w:p>
      <w:pPr>
        <w:spacing w:after="0" w:line="225"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$7.8 million and $7.8 million and accumulated amortization expense of $4.5 million and $4.1 million as of March 31, 2025 and December 31, 2024, respectively.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March 31, 2025 and 2024 was $0.4 million and $0.4 million,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March 31, 2025 and December 31, 2024. The letter of credit totaled $1.3 million and $1.3 million as of March 31, 2025 and December 31, 2024,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March 31, 2025 and December 31, 2024.</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in 2024.</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three months ended March 31, 2024.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months ended March 31, 2025 and 2024, were as follows (in thousands):</w:t>
      </w:r>
    </w:p>
    <w:p>
      <w:pPr>
        <w:spacing w:after="0" w:line="24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200" w:type="dxa"/>
            <w:vAlign w:val="bottom"/>
            <w:shd w:val="clear" w:color="auto" w:fill="CFF0FC"/>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200" w:type="dxa"/>
            <w:vAlign w:val="bottom"/>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three months ended March 31, 2025 and 2024, were as follows (in thousands):</w:t>
      </w:r>
    </w:p>
    <w:p>
      <w:pPr>
        <w:spacing w:after="0" w:line="18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47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FF0FC"/>
          </w:tcPr>
          <w:p>
            <w:pPr>
              <w:spacing w:after="0"/>
              <w:rPr>
                <w:sz w:val="18"/>
                <w:szCs w:val="18"/>
                <w:color w:val="auto"/>
              </w:rPr>
            </w:pPr>
          </w:p>
        </w:tc>
      </w:tr>
      <w:tr>
        <w:trPr>
          <w:trHeight w:val="234"/>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March 31, 2025 and 2024 were as follows:</w:t>
      </w:r>
    </w:p>
    <w:p>
      <w:pPr>
        <w:spacing w:after="0" w:line="21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9.31 years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 years</w:t>
            </w:r>
          </w:p>
        </w:tc>
      </w:tr>
      <w:tr>
        <w:trPr>
          <w:trHeight w:val="216"/>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2.54 years</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2.36 years</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34"/>
        </w:trPr>
        <w:tc>
          <w:tcPr>
            <w:tcW w:w="4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March 31, 2025,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2900" w:type="dxa"/>
            <w:vAlign w:val="bottom"/>
            <w:gridSpan w:val="3"/>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646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2900" w:type="dxa"/>
            <w:vAlign w:val="bottom"/>
            <w:gridSpan w:val="3"/>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the first quarter)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121,982</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(39,119)</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82,863</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4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March 31, 2025 and December 31, 2024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Pr>
          <w:p>
            <w:pPr>
              <w:spacing w:after="0"/>
              <w:rPr>
                <w:sz w:val="18"/>
                <w:szCs w:val="18"/>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80" w:type="dxa"/>
            <w:vAlign w:val="bottom"/>
            <w:shd w:val="clear" w:color="auto" w:fill="CFF0FC"/>
          </w:tcPr>
          <w:p>
            <w:pPr>
              <w:spacing w:after="0"/>
              <w:rPr>
                <w:sz w:val="18"/>
                <w:szCs w:val="18"/>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-7620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right="8000" w:hanging="512"/>
        <w:spacing w:after="0" w:line="37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Commitments and Contingencies </w:t>
      </w:r>
      <w:r>
        <w:rPr>
          <w:rFonts w:ascii="Times New Roman" w:cs="Times New Roman" w:eastAsia="Times New Roman" w:hAnsi="Times New Roman"/>
          <w:sz w:val="18"/>
          <w:szCs w:val="18"/>
          <w:b w:val="1"/>
          <w:bCs w:val="1"/>
          <w:i w:val="1"/>
          <w:iCs w:val="1"/>
          <w:color w:val="auto"/>
        </w:rPr>
        <w:t>Legal Proceedings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March 31, 2025 or December 31, 2024.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issuance. After the amendment, outstanding equity includes all outstanding common shares as well as outstanding pre-funded warrants. As of March 31, 2025, there were an aggregate of 4,606,684 shares remaining available for future grants.</w:t>
      </w: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March 31, 2025, there were an aggregate 2,363,127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for service and performance based vesting conditions during the three months ended March 31, 2025 is as follows (in thousands except share and per share data):</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1,641,739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(75,652)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(97,390)</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Outstanding at March 31, 2025</w:t>
            </w:r>
          </w:p>
        </w:tc>
        <w:tc>
          <w:tcPr>
            <w:tcW w:w="13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10,916,487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32.56</w:t>
            </w:r>
          </w:p>
        </w:tc>
        <w:tc>
          <w:tcPr>
            <w:tcW w:w="1480" w:type="dxa"/>
            <w:vAlign w:val="bottom"/>
            <w:tcBorders>
              <w:top w:val="single" w:sz="8" w:color="CFF0FC"/>
              <w:bottom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7.55</w:t>
            </w:r>
          </w:p>
        </w:tc>
        <w:tc>
          <w:tcPr>
            <w:tcW w:w="420" w:type="dxa"/>
            <w:vAlign w:val="bottom"/>
            <w:tcBorders>
              <w:top w:val="single" w:sz="8" w:color="CFF0FC"/>
              <w:bottom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41,937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6,560,543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-730885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-730885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-314960</wp:posOffset>
            </wp:positionV>
            <wp:extent cx="85725"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March 31, 2025 and 2024 was $2.1 million and $6.8 million,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March 31, 2025 and 2024 was $20.66 and $26.53, respectively.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stock-based compensation expense for unvested stock options was $87.9 million, with a weighted average recognition period of 2.2 years.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 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PSOs with respect to the clinical milestone objective may vest prior to the first anniversary of the grant date. During the 3 months ended March 31, 2025, the Company granted 88,000 PSOs with a weighted average strike price of $30.17. As of March 31, 2025 there are 88,000 PSOs outstanding with a weighted average strike price of $30.17. As of March 31, 2025 the Company has concluded that it is not deemed probable that the clinical milestone based performance conditions will be achieved, and as such, no stock based compensation has been recorded for PSOs.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months ended March 31, 2025 and 2024:</w:t>
      </w:r>
    </w:p>
    <w:p>
      <w:pPr>
        <w:spacing w:after="0" w:line="24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tcPr>
          <w:p>
            <w:pPr>
              <w:spacing w:after="0"/>
              <w:rPr>
                <w:sz w:val="18"/>
                <w:szCs w:val="18"/>
                <w:color w:val="auto"/>
              </w:rPr>
            </w:pPr>
          </w:p>
        </w:tc>
      </w:tr>
      <w:tr>
        <w:trPr>
          <w:trHeight w:val="209"/>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months ended March 31, 2025 and 2024 were as follows:</w:t>
      </w:r>
    </w:p>
    <w:p>
      <w:pPr>
        <w:spacing w:after="0" w:line="88"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FF0FC"/>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2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0.00%</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three months ended March 31, 2025 is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9"/>
        </w:trPr>
        <w:tc>
          <w:tcPr>
            <w:tcW w:w="53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3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(146,869)</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(6,269)</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18"/>
                <w:szCs w:val="18"/>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1,209,989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-573405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-573405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restricted stocks units with performance-based vesting conditions, or performance stock units ("PSUs") under the Company’s 2020 Stock Option and Incentive Plan to certain key employees of the Company, including the Company’s named executive officers and management team. The total number of PSUs that may vest will range from 0 to a maximum of 100% of the target number of options granted. The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285,723 and zero restricted stock units, respectively with performance based vesting conditions. As of March 31, 2025, the Company has concluded that it is not deemed probable that the clinical milestone based performance conditions will be achieved, and as such, no stock based compensation has been recorded for PSUs.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327,800 and 231,834 restricted stock units, respectively with service based vesting conditions. As of March 31, 2025, the total unrecognized stock-based compensation expense for unvested restricted stock with service based vesting conditions was $24.6 million with a weighted average recognition period of 2.4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approximately $2.4 million of expense for restricted stock which $1.6 million and $0.8 million was recorded in research and development and general and administrative expense, respectively. During the three months ended March 31, 2024 the Company recognized approximately $1.4 million of expense for restricted stock of which $0.9 million and $0.5 million was recorded in research and development and general and administrative expense, respectively. All of the stock-based compensation expense recognized for restricted stock in the three months ended March 31, 2025 and 2024 was for restricted stock with service based vesting conditions.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months ended March 31, 2025 and 2024 is as follows (in thousands):</w:t>
      </w:r>
    </w:p>
    <w:p>
      <w:pPr>
        <w:spacing w:after="0" w:line="18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58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2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20" w:type="dxa"/>
            <w:vAlign w:val="bottom"/>
          </w:tcPr>
          <w:p>
            <w:pPr>
              <w:spacing w:after="0"/>
              <w:rPr>
                <w:sz w:val="18"/>
                <w:szCs w:val="18"/>
                <w:color w:val="auto"/>
              </w:rPr>
            </w:pPr>
          </w:p>
        </w:tc>
      </w:tr>
      <w:tr>
        <w:trPr>
          <w:trHeight w:val="210"/>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2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12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John Maraganore is a member of the Company’s Board of Directors, and is affiliated with Jefferies LLC (“Jefferies”). 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 As of March 31, 2025, the Company has not sold any shares of its common stock under the Jefferies Sales Agreement.</w:t>
      </w:r>
    </w:p>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the aforementioned agreement and the collaborations discussed in Note 5, the Company had no related party transactions for the periods presented in the accompanying consolidated financial statements, which have not otherwise been discussed in these notes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taxes for the three months ended March 31, 2025 and 2024 have been calculated based on an estimated annual effective tax rate and certain discrete items. The Company recorded immaterial income tax expense related to investment income for the three months ended March 31, 2025 and 2024.</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520" w:right="9300" w:hanging="512"/>
        <w:spacing w:after="0" w:line="378" w:lineRule="auto"/>
        <w:tabs>
          <w:tab w:leader="none" w:pos="28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Loss per Share </w:t>
      </w:r>
      <w:r>
        <w:rPr>
          <w:rFonts w:ascii="Times New Roman" w:cs="Times New Roman" w:eastAsia="Times New Roman" w:hAnsi="Times New Roman"/>
          <w:sz w:val="18"/>
          <w:szCs w:val="18"/>
          <w:b w:val="1"/>
          <w:bCs w:val="1"/>
          <w:i w:val="1"/>
          <w:iCs w:val="1"/>
          <w:color w:val="auto"/>
        </w:rPr>
        <w:t>Net Loss per Share</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stock outstanding for the period. The Company had 15,159,753 and 11,640,594 pre-funded warrants outstanding as of March 31 2025 and 2024, respectively.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w:t>
      </w:r>
    </w:p>
    <w:p>
      <w:pPr>
        <w:spacing w:after="0" w:line="20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(48,557)</w:t>
            </w:r>
          </w:p>
        </w:tc>
      </w:tr>
      <w:tr>
        <w:trPr>
          <w:trHeight w:val="216"/>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64,986,778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60,068,921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pre-funded warrants outstanding, basic and diluted</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15,159,753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weighted average common stock outstanding, basic and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80,146,531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70,770,320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-454025</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-454025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March 31, 2025 and 2024 because including them would have had an anti-dilutive effect:</w:t>
      </w:r>
    </w:p>
    <w:p>
      <w:pPr>
        <w:spacing w:after="0" w:line="204"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1,209,989</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725,438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10,916,487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9,876,714</w:t>
            </w:r>
          </w:p>
        </w:tc>
      </w:tr>
      <w:tr>
        <w:trPr>
          <w:trHeight w:val="20"/>
        </w:trPr>
        <w:tc>
          <w:tcPr>
            <w:tcW w:w="5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12,126,476</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10,602,152</w:t>
            </w:r>
          </w:p>
        </w:tc>
      </w:tr>
      <w:tr>
        <w:trPr>
          <w:trHeight w:val="20"/>
        </w:trPr>
        <w:tc>
          <w:tcPr>
            <w:tcW w:w="5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the Company's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63"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2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STAT6</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TYK2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Other external research and development expense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3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(3)</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expense </w:t>
            </w:r>
            <w:r>
              <w:rPr>
                <w:rFonts w:ascii="Times New Roman" w:cs="Times New Roman" w:eastAsia="Times New Roman" w:hAnsi="Times New Roman"/>
                <w:sz w:val="24"/>
                <w:szCs w:val="24"/>
                <w:color w:val="auto"/>
                <w:vertAlign w:val="superscript"/>
              </w:rPr>
              <w:t>(4)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18"/>
                <w:szCs w:val="18"/>
                <w:color w:val="auto"/>
              </w:rPr>
            </w:pPr>
          </w:p>
        </w:tc>
      </w:tr>
      <w:tr>
        <w:trPr>
          <w:trHeight w:val="216"/>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tcPr>
          <w:p>
            <w:pPr>
              <w:spacing w:after="0"/>
              <w:rPr>
                <w:sz w:val="18"/>
                <w:szCs w:val="18"/>
                <w:color w:val="auto"/>
              </w:rPr>
            </w:pPr>
          </w:p>
        </w:tc>
      </w:tr>
      <w:tr>
        <w:trPr>
          <w:trHeight w:val="229"/>
        </w:trPr>
        <w:tc>
          <w:tcPr>
            <w:tcW w:w="8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(65,581)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(48,557)</w:t>
            </w:r>
          </w:p>
        </w:tc>
      </w:tr>
      <w:tr>
        <w:trPr>
          <w:trHeight w:val="20"/>
        </w:trPr>
        <w:tc>
          <w:tcPr>
            <w:tcW w:w="8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period amounts have been recast to conform with current period presentation.</w:t>
      </w:r>
    </w:p>
    <w:p>
      <w:pPr>
        <w:spacing w:after="0" w:line="26" w:lineRule="exact"/>
        <w:rPr>
          <w:rFonts w:ascii="Times New Roman" w:cs="Times New Roman" w:eastAsia="Times New Roman" w:hAnsi="Times New Roman"/>
          <w:sz w:val="16"/>
          <w:szCs w:val="16"/>
          <w:color w:val="auto"/>
        </w:rPr>
      </w:pPr>
    </w:p>
    <w:p>
      <w:pPr>
        <w:ind w:firstLine="8"/>
        <w:spacing w:after="0" w:line="264"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quarter ended March 31, 2025 and 2024 is inclusive of $7.5 and $6.1 million of stock-based compensation expense, respectively.</w:t>
      </w:r>
    </w:p>
    <w:p>
      <w:pPr>
        <w:ind w:firstLine="8"/>
        <w:spacing w:after="0" w:line="264" w:lineRule="auto"/>
        <w:tabs>
          <w:tab w:leader="none" w:pos="2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quarter ended March 31, 2025 and 2024 is inclusive of $6.7 million and $5.9 million of stock-based compensation expense, respectively.</w:t>
      </w:r>
    </w:p>
    <w:p>
      <w:pPr>
        <w:ind w:left="240" w:hanging="232"/>
        <w:spacing w:after="0"/>
        <w:tabs>
          <w:tab w:leader="none" w:pos="2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for the quarter ended March 31, 2024 is inclusive of a $4.9 million impairment of long-lived assets.</w:t>
      </w:r>
    </w:p>
    <w:p>
      <w:pPr>
        <w:spacing w:after="0" w:line="209" w:lineRule="exact"/>
        <w:rPr>
          <w:sz w:val="20"/>
          <w:szCs w:val="20"/>
          <w:color w:val="auto"/>
        </w:rPr>
      </w:pPr>
    </w:p>
    <w:p>
      <w:pPr>
        <w:ind w:right="620" w:firstLine="749"/>
        <w:spacing w:after="0" w:line="312" w:lineRule="auto"/>
        <w:rPr>
          <w:sz w:val="20"/>
          <w:szCs w:val="20"/>
          <w:color w:val="auto"/>
        </w:rPr>
      </w:pPr>
      <w:r>
        <w:rPr>
          <w:rFonts w:ascii="Times New Roman" w:cs="Times New Roman" w:eastAsia="Times New Roman" w:hAnsi="Times New Roman"/>
          <w:sz w:val="17"/>
          <w:szCs w:val="17"/>
          <w:color w:val="auto"/>
        </w:rPr>
        <w:t>Depreciation expense for the three months ended March 31, 2025 and 2024 was $1.6 million and $1.5 million respectively. Amortization expense related to right-of-use assets for the three months ended March 31, 2025 and 2024 was $0.4 million and $0.4 million respectively.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medicines that address significant health problems and that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or TPD, a next-generation small molecule therapeutic modality that engages the body’s natural cellular recycling system to selectively eliminate disease-causing proteins. Our objective is to develop molecules that are both potent and highly selective, creating the potential for our medicines to uniquely address diseases that are poorly served by current treatment options. To date, we have progressed five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focus is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severe inflammatory diseases, are currently treated with systemic advanced therapies, mostly injectable biologics. While generally efficacious, biologics have drawbacks. Biologics tend to be more expensive to manufacture, and the cost is typically passed on to patients and payors. Patient access to therapy can also be a challenge, as biologics are more complex to prescribe and reimburse than small molecule medicines. Additionally, biologics are administered as injections, a less preferred route of administration for patients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oral administration of a pill.</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publicly disclosed immunology programs target STAT6, IRF5 and IRAK4, each of which addresses targets within validated pathways, providing the opportunity to treat a broad range of diseases. We are developing KT-621 as part of our STAT6 program, which is currently being evaluated in Phase 1 clinical trials in both healthy volunteers as well as in patients with Atopic Dermatitis (AD) as part of our KT-621 BroADen clinical trial. In May 2025, we announced KT-579, our lead molecule in our IRF5 program, which is currently in IND-enabling studies. We are collaborating with Sanofi S.A., or Sanofi, on the development of drug candidates targeting IRAK4, including KT-474/SAR444656, outside of oncology and immuno-oncology fields. Sanofi is conducting two Phase 2b clinical trials of KT-474 in patients with hidradenitis suppurativa (HS) and in patients with AD. We recently made the strategic decision not to advance our TYK2 degrader, KT-295, into clinical development, even though we completed IND-enabling activities with no adverse findings in any of our studies. We believe the decision will allow us to dedicate more human and capital resources to our other immunology programs, as well as to extend our cash runway. Our pipeline focuses on addressing high impact targets that have been elusive to conventional modalities and that drive the pathogenesis of multiple serious diseases with significant unmet medical needs.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therapeutics leveraging small-molecule modalities in addition to TPD.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$1.71 billion from sales of our convertible preferred stock, the sale of common stock including our August 2020 initial public offering, or IPO, and concurrent private placement,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our subsequent follow-on offerings and private placement offering, our prior sales agreement with Cowen and through our corporate collaborations.</w:t>
      </w:r>
    </w:p>
    <w:p>
      <w:pPr>
        <w:spacing w:after="0" w:line="1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$223.9 million and $147.0 million for the years ended December 31, 2024 and 2023, respectively. We reported net losses of $65.6 million and $48.6 million for the three months ended March 31, 2025 and 2024, respectively. In addition, as of March 31, 2025 and December 31, 2024, we had an accumulated deficit of $820.2 million and $754.6 million, respectively. We expect that our expense and capital requirements will increase substantially in connection with our ongoing activities, particularly if and as we:</w:t>
      </w:r>
    </w:p>
    <w:p>
      <w:pPr>
        <w:spacing w:after="0" w:line="32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cash, cash equivalents and marketable securities of $775.5 million. We believe the existing cash, cash equivalents and marketable securities on hand will be sufficient to fund our operations into the first half of 2028, beyond multiple clinical inflection points in our pipeline. We have based this estimate on assumptions that may prove to be wrong, and we could exhaust our available capital resources sooner than we expect. See “Liquidity and capital resources”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Of these milestones, we remain eligible to receive up to $1.0 billion in development milestones upon the achievement of certain developmental or regulatory events, and up to $400.0 million in commercial milestones which are payable upon the achievement of certain net sales thresholds, all of which are related to the IRAK4 program. We will further be eligible to receive tiered royalties on net sales ranging from the high single digits to high teens, subject to low-single digits upward adjustments in certain circumstances. As of March 31, 2025, we have achieved $75.0 million of milestones under the Sanofi Agreement related to certain IRAK4 clinical and preclinical milestones.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March 31,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7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22,100</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10"/>
        </w:trPr>
        <w:tc>
          <w:tcPr>
            <w:tcW w:w="37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96,526</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(74,426)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(57,831)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(16,595)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76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shd w:val="clear" w:color="auto" w:fill="000000"/>
          </w:tcPr>
          <w:p>
            <w:pPr>
              <w:spacing w:after="0" w:line="20" w:lineRule="exact"/>
              <w:rPr>
                <w:sz w:val="1"/>
                <w:szCs w:val="1"/>
                <w:color w:val="auto"/>
              </w:rPr>
            </w:pPr>
          </w:p>
        </w:tc>
        <w:tc>
          <w:tcPr>
            <w:tcW w:w="880" w:type="dxa"/>
            <w:vAlign w:val="bottom"/>
            <w:tcBorders>
              <w:bottom w:val="single" w:sz="8" w:color="CFF0FC"/>
            </w:tcBorders>
            <w:shd w:val="clear" w:color="auto" w:fill="000000"/>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(65,581)</w:t>
            </w: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8"/>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(48,557)</w:t>
            </w:r>
          </w:p>
        </w:tc>
        <w:tc>
          <w:tcPr>
            <w:tcW w:w="300" w:type="dxa"/>
            <w:vAlign w:val="bottom"/>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(17,024)</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-599440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-599440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-599440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Collaboration revenues were $22.1 million and $10.3 million for the three months ended March 31, 2025 and 2024, respectively, all of which is attributable to our collaboration agreement with Sanofi.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TYK2</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IRAK4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$80.3 million for the three months ended March 31, 2025, compared to $48.8 million for the three months ended March 31, 2024. The increase of $31.4 million was primarily due to a $5.1 million increase in personnel, stock-based compensation, occupancy, and other internal costs due to increase investment in employee talent and facilities in the research and development functions and a $22.3 million increase in costs related to our STAT6 and TYK2 programs, and a $4.6 million increase related to our discovery and other programs. These increases were partially offset by a $0.6 million reduction in activities related to our IRAK4 program.</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$16.3 million for the three months ended March 31, 2025, compared to $14.4 million for the three months ended March 31, 2024. This increase of $1.9 million was primarily due to an increase in legal and professional service fees, personnel, facility, occupancy, and other expenses to support our growth. Stock based compensation expenses included in general and administrative expenses were $6.7 million and $5.9 million for the three months ended March 31, 2025 and 2024, respectively.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was no impairment on long-lived assets for the three months ended March 31, 2025, compared to $4.9 million for three months ended March 31, 2024. The decrease of $4.9 million was as a result of the occupancy of the 2021 Lease facility in February of 2024 and the corresponding exit of the 2019 Lease facility, resulting in an impairment charge of $4.9 million in the three months ended March 31, 2024.</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$8.8 million for the three months ended March 31, 2025, compared to $9.3 million for the three months ended March 31, 2024. The $0.5 million decrease was primarily due to prevailing interest rates in the respective periods.</w:t>
      </w: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$1.71 billion from sales of our convertible preferred stock, the sale of common stock including our August 2020 initial public offering, or IPO, and concurrent private placement, our follow-on offerings and private placement offering, our prior sales agreement with Cowen, and through our corporate collaborations. As of March 31, 2025, we had cash and cash equivalents and marketable securities of $775.5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sales agreement, 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March 31, 2025, we have sold 1,519,453 shares of common stock under the Sales Agreement resulting in gross proceeds of approximately $50 million. 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8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As of March 31, 2025, we have not sold any shares of common stock under the Jefferies Sales Agreement.</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18"/>
                <w:szCs w:val="18"/>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48,615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353,756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cash used in operating activities was $79.2 million, primarily resulting from our net loss of $65.6 million during the period and a $27.3 million net decrease in other operating assets and liabilities primarily driven by changes in contract assets, deferred revenue, accounts payable, accrued expenses and operating lease liabilities. This was partially offset by adjustments for non-cash items of $13.8 million (primarily consisting of stock-based compensation, depreciation &amp; amortization and premiums &amp; discounts on available-sale-securities).</w:t>
      </w:r>
    </w:p>
    <w:p>
      <w:pPr>
        <w:spacing w:after="0" w:line="2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$39.6 million, primarily resulting from our net loss of $48.6 million during the period and the $8.3 million change in deferred revenue related to our collaboration agreements. These were offset by a $2.0 million net decrease in other operating assets and liabilities primarily driven by changes in accounts receivable, accounts payable, accrued expenses and operating lease liabilities. as well as adjustments for non-cash items of $15.3 million (primarily consisting of stock-based compensation, lease impairment charge, depreciation &amp; amortization and premiums &amp; discounts on available-sale-securities).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investing activities was $48.6 million comprised of maturities of marketable securities of $132.7 million, partially offset by purchases of marketable securities of $83.7 million and purchases of property and equipment of $0.5 million.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cash used in investing activities was $330.6 million comprised of purchases of marketable securities of $422.7 million and purchases of property and equipment of $7.4 million, partially offset by maturities of marketable securities of $99.5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$0.3 million, consisting of $0.6 million in proceeds from the exercise of employee stock options partially offset by finance lease payments of $0.3 million.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financing activities was $353.8 million, consisting of $301.4 million in proceeds from issuance of common stock and accompanying pre-funded warrants, net of offering costs, $48.7 million in proceeds from the issuance of common stock through an at-the-market sales agreement, net of issuance costs, $3.9 million in proceeds from the exercise of employee stock options, partially offset by finance lease payments of $0.3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$775.5 million as of March 31, 2025, will enable us to fund our operating expenses and capital expenditure requirements into the first half of 2028.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March 31, 2025, the Company had outstanding pre-funded warrants to purchase 15,159,753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the Company’s weighted average common stock outstanding and earnings per share. Due to the minimal exercise price, the Company doesn't anticipate significant additional cash proceeds upon exercise and consequently does not expect the exercise of these warrants to materially affect its liquidity, capital resources, or overall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March 31, 2025, there were no material changes to our critical accounting policies from those described in our Annual Report Form 10-K filed with the SEC on February 27,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March 31, 2025,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March 31, 2025,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 market sales program. As of March 31, 2025, our cash and cash equivalents and marketable securities were $775.5 million. We have incurred net losses in each year since our inception, and we had an accumulated deficit of $820.2 million as of March 31, 2025. For the years ended December 31, 2024, 2023 and 2022, we reported net losses of $223.9 million, $147.0 million and $154.8 million, respectively. We reported net losses of $65.6 million and $48.6 million for the three months ended March 31, 2025 and 2024,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8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7" w:name="page38"/>
    <w:bookmarkEnd w:id="37"/>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2025 we had approximately $775.5 million of cash and cash equivalents and marketable securities, which we expect will be sufficient to fund our operations into the first half of 2028.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institutions have experienced similar failures and have been placed into receivership.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IRAK4 and STAT6 programs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5540" w:right="4940" w:hanging="5023"/>
        <w:spacing w:after="0" w:line="409" w:lineRule="auto"/>
        <w:tabs>
          <w:tab w:leader="none" w:pos="103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ongoing or planned clinical trials of our product candidates;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current and future product candidates, and/or clinical trial costs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our STAT6, IRF5 and IRAK4 programs, which target key signaling pathways implicated in multiple inflammatory and autoimmune diseases. In some instances, we may decide to discontinue our investment in programs. For example, in November 2023, we announced the decision to discontinue the development of our KT-413 (IRAKIMID) and in October 2024, we announced the decision to discontinue the development of our KT-333 (STAT3) and KT-253 (MDM2) programs in order to focus resources to support our growing immunology pipeline.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 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9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ongoing clinical trials of KT-474 and KT-621,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KT-474,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was superior to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such as the open-label patient portion of our completed Phase 1 clinical trial of KT-474.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completed Phase 1 trial of KT-474, may not be predictive of future clinical trial results with any of our product candidates for which we include an open-label clinical trial when studied in a controlled environment with a placebo or active control.</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We are developing KT-621 for a broad set of immunology indications, with potential indications to include AD, asthma, COPD, CRSwNP, EoE, PN and others. We are developing KT-295 for immunology indications, with such potential indications to include inflammatory bowel disease, or IBD, psoriasis, or PsO, psoriatic arthritis, or PsA, lupus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and House of Representatives.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and any future product candidates may be delayed or infeasible, and regulatory approval or commercial launch may be delayed or not obtained, which could significantly harm our business.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 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KT-474,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KT-474,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European Union are similar in principle to the U.S. For more information, please see the section of our Annual Report on Form 10-K, filed with the SEC on February 27, 2025, titled “Business - Government Regulation - Government Regulation of Drugs Outside of the United States” In the European Union,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September 30,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These changes could result in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ind w:right="440" w:firstLine="554"/>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6"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new administration will seek to modify or revise the requirements and policies of the FDA and other regulatory agencies with jurisdiction over our product candidates and any products for which we obtain approval. Additionally, the new administration could also issue or promulgate executive orders, regulations, policies or guidance that adversely affect us or create a more challenging or costly environment to pursue the development of new therapeutic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For more information, please see the section of our Annual Report on Form 10-K, filed with the SEC on February 27, 2025, entitled, “Business - Government Regulation - Other Healthcare Laws” and the section of our Annual Report entitled, “Business - Government Regulation - Current and Future Healthcare Reform Legislation”.</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54" w:lineRule="auto"/>
        <w:rPr>
          <w:sz w:val="20"/>
          <w:szCs w:val="20"/>
          <w:color w:val="auto"/>
        </w:rPr>
      </w:pPr>
      <w:r>
        <w:rPr>
          <w:rFonts w:ascii="Times New Roman" w:cs="Times New Roman" w:eastAsia="Times New Roman" w:hAnsi="Times New Roman"/>
          <w:sz w:val="18"/>
          <w:szCs w:val="18"/>
          <w:color w:val="auto"/>
        </w:rPr>
        <w:t>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For more information, please see the section of our Annual Report on Form 10-K, filed with the SEC on February 27, 2025, entitled, “Business - Government Regulation - Current &amp; Future Healthcare Reform Legislation.”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For more information, please see the section of our Annual Report on Form 10-K, filed with the SEC on February 27, 2025, entitled “Business - Government Regulation - Other Regulatory Matters - Other Healthcare Laws.”</w:t>
      </w:r>
    </w:p>
    <w:p>
      <w:pPr>
        <w:spacing w:after="0" w:line="19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Sciences, Inc.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TYK2, and IRF5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in collaboration with third parties, we will not be successful in commercializing our current or future product candidates. Further, our business, results of operations, financial condition and prospects will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KT-474 and KT-621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58" w:lineRule="auto"/>
        <w:rPr>
          <w:sz w:val="20"/>
          <w:szCs w:val="20"/>
          <w:color w:val="auto"/>
        </w:rPr>
      </w:pPr>
      <w:r>
        <w:rPr>
          <w:rFonts w:ascii="Times New Roman" w:cs="Times New Roman" w:eastAsia="Times New Roman" w:hAnsi="Times New Roman"/>
          <w:sz w:val="18"/>
          <w:szCs w:val="18"/>
          <w:color w:val="auto"/>
        </w:rPr>
        <w:t>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and clinical development programs could be restricted due to developments between the United States and China, including as a results of the escalation of tariffs or other trade restrictions or if the previously proposed federal legislation known as the BIOSECURE Act or a similar law were to be enacted.</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Recently, there has been legislation proposed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elsewhere in our Annual Report on Form 10-K, filed with the SEC on February 27, 2025 and this Quarterly Report on Form 10-Q, our collaboration partner, Sanofi, is conducting a randomized Phase 2 clinical trial evaluating KT-474 in HS and a second randomized Phase 2 trial in AD. Sanofi will have significant discretion in determining the efforts and resources that it will apply to advance those clinical trials.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our, STAT6, TYK2, IRAK4, and IRF5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strength of protection provided by our patent applications or any patents we may own or in-license is threatened, it could dissuade companies from collaborating with us to license, develop or commercialize current or future product candidates.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56" w:lineRule="auto"/>
        <w:rPr>
          <w:sz w:val="20"/>
          <w:szCs w:val="20"/>
          <w:color w:val="auto"/>
        </w:rPr>
      </w:pPr>
      <w:r>
        <w:rPr>
          <w:rFonts w:ascii="Times New Roman" w:cs="Times New Roman" w:eastAsia="Times New Roman" w:hAnsi="Times New Roman"/>
          <w:sz w:val="18"/>
          <w:szCs w:val="18"/>
          <w:color w:val="auto"/>
        </w:rPr>
        <w:t>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82" w:lineRule="auto"/>
        <w:rPr>
          <w:sz w:val="20"/>
          <w:szCs w:val="20"/>
          <w:color w:val="auto"/>
        </w:rPr>
      </w:pPr>
      <w:r>
        <w:rPr>
          <w:rFonts w:ascii="Times New Roman" w:cs="Times New Roman" w:eastAsia="Times New Roman" w:hAnsi="Times New Roman"/>
          <w:sz w:val="18"/>
          <w:szCs w:val="18"/>
          <w:color w:val="auto"/>
        </w:rPr>
        <w:t>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8"/>
          <w:szCs w:val="18"/>
          <w:color w:val="auto"/>
        </w:rPr>
        <w:t>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Jeremy Chadwick, our Chief Operating Officer and Noah Goodman, our Chief Business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2025, we had 208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18"/>
          <w:szCs w:val="18"/>
          <w:color w:val="auto"/>
        </w:rPr>
        <w:t>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former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and are actively marketing the space to third parties. In the event that we are unable to sublease our original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 law (e.g., the EU General Data Protection Regulation, or GDPR) and may cause a material adverse impact to our reputation, affect our ability to use collected data, conduct new studies and potentially disrupt our business.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have experienced and may in the future experience cyberattacks.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European Union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10-Q,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 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Any inability to transfer personal data from the UK or EEA to the United States in compliance with data protection laws may impede our operations and may adversely affect our business and financial position. Following the UK’s exit from the EU, or Brexit, there will be increasing scope for divergence in application, interpretation and enforcement of the data protection laws between these territories. For example, the UK has introduced the Data Reform Bill into the UK legislative process with the intention for this bill to reform the UK’s data protection regime following Brexit. If passed, the final version of the Data Reform Bill may have the effect of further altering the similarities between the UK and EEA data protection regimes and threaten the UK adequacy decision from the EU Commission allowing the free flow of personal data from the UK to the EEA, which may lead to additional compliance costs and could increase our overall risk. This lack of clarity on future UK laws and regulations and their interaction with those of the EEA could add legal risk, uncertainty, complexity, and cost to our handling of European personal data and our privacy and security compliance programs, and could require us to implement different compliance measures for the UK and EEA. 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otherwise require us to divert resources or implement changes to our business processes, and any actual or perceived non-compliance could result in significant penalties, claims and reputational damage.</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federal and state legislators and regulators are imposing new and heightened protections for health and other sensitive information that could impact our business. For example, the Federal Trade Commission (FTC) has imposed stringent requirements on the collection and disclosure of sensitive categories of personal information, including health information, and has expanded the application of its Health Breach Notification Rule. Through executive and legislative action, the federal government has also taken steps to restrict data transactions involving certain sensitive data categories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including health data, genetic data, and biospecimens – with persons affiliated with China, Russia, and other countries of concern.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presents opportunities for enhanced productivity and innovation, it also introduces inherent risks, including legal and regulatory, that could adversely impact our business and reputation. Proper use of AI and machine learning can lead to improved decision-making, cost reduction, and competitive advantage. However, improper use, including algorithmic biases, ethical considerations, data privacy issues, and potential regulatory non-compliance, could result in reputational damage, legal liabilities, and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 In addition, the European Union recently passed the Artificial Intelligence Act, whose regulations will be developed over the coming year and, in the U.S., the recent Executive Order concerning artificial intelligence may result in extensive new federal rule-making. 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new administration, military conflict, including the ongoing conflicts between Russia and Ukraine, and in the Middle East, terrorism, or other geopolitical events. Sanctions imposed by the United States and other countries in response to such conflicts, including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The United States has recently imposed blanket 10% tariffs on virtually all imports to the U.S. and significantly higher tariffs applicable to imports from many countries, including tariffs aggregating 104% on imports from China, which have resulted in other countries imposing additional tariffs on imports from the U.S., including additional tariffs of 125% on imports from the U.S. announced by China, and is likely to continue to result in more retaliatory tariffs. On April 9, 2025, the U.S. announced a temporary pause on its tariffs applicable to many countries, while increasing the tariffs applicable to imports from China. The new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2025, the existing holdings of our executive officers, directors, principal stockholders and their affiliates represent beneficial ownership, in the aggregate, of approximately 25%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2025, approximately 15,159,753 shares of our common stock were reserved for issuance upon exercise of pre-funded warrants. Additionally, 12,126,476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our prior sales agreement, or Cowen Sales Agreement, with Cowen and Company, LLC, or Cowen, we had the ability to offer and sell up to an aggregate amount of $250.0 million of our common stock from time to time in “at-the-market” offerings, subject to the limitations thereof. As of March 31, 2025, approximately $50 million worth of common stock had been sold under the Cowen Sales Agreement. From October 1, 2021 through the date of its termination in October 2024, we sold 1,519,453 shares of common stock through the Cowen Sales Agreement.</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Jefferies Sales Agreement, with Jefferies LLC pursuant to which we may offer and sell our common stock, subject to certain limitations in the sales agreement and compliance with applicable law, at any time throughout the term of the Jefferies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There have not yet been any sales made pursuant to the Jefferies Sales Agreement.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$221.3 million and $238.3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2024, we also had federal and state research and development tax credit carryforwards of $33.1 million and $12.0 million, respectively, which begin to expire in 2032.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both"/>
        <w:spacing w:after="0" w:line="255" w:lineRule="auto"/>
        <w:rPr>
          <w:sz w:val="20"/>
          <w:szCs w:val="20"/>
          <w:color w:val="auto"/>
        </w:rPr>
      </w:pPr>
      <w:r>
        <w:rPr>
          <w:rFonts w:ascii="Times New Roman" w:cs="Times New Roman" w:eastAsia="Times New Roman" w:hAnsi="Times New Roman"/>
          <w:sz w:val="18"/>
          <w:szCs w:val="18"/>
          <w:color w:val="auto"/>
        </w:rPr>
        <w:t>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or the Trump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2017, the U.S. Congress and the Trump administration made substantial changes to U.S. policies, which included comprehensive corporate and individual tax reform. In addition, the current Trump administration has begun to implement significant changes to U.S. trade, healthcare, immigration and government regulatory policy and additional changes are likely. The transitions between the Trump and Biden presidential terms led to substantial changes in the direction and focus of administrative and regulatory policies. Changes to U.S. policy implemented by the U.S. Congress, the Trump administration or any new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quarter ended March 31, 2025, we did not have any sales of unregistered securities.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trading arrangements for the purchase or sale of our securities entered into, modified or terminated by our Directors or Officers during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20" w:type="dxa"/>
            <w:vAlign w:val="bottom"/>
            <w:gridSpan w:val="5"/>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Form of Performance Stock Unit Award Agreement under 2020 Stock Option and Incentive Plan, as amended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2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Kymera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187"/>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tc>
      </w:tr>
      <w:tr>
        <w:trPr>
          <w:trHeight w:val="238"/>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Jacobs, CFA, MBA</w:t>
            </w:r>
          </w:p>
        </w:tc>
      </w:tr>
      <w:tr>
        <w:trPr>
          <w:trHeight w:val="187"/>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Bruce Jacobs, CFA, MBA</w:t>
            </w:r>
          </w:p>
        </w:tc>
      </w:tr>
      <w:tr>
        <w:trPr>
          <w:trHeight w:val="238"/>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w:t>
            </w:r>
          </w:p>
        </w:tc>
        <w:tc>
          <w:tcPr>
            <w:tcW w:w="52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6" w:name="page87"/>
    <w:bookmarkEnd w:id="86"/>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PERFORMANCE-BASED</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RESTRICTED STOCK UNIT AWARD AGREEMENT</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 COMPANY EMPLOYEES</w:t>
      </w:r>
    </w:p>
    <w:p>
      <w:pPr>
        <w:spacing w:after="0" w:line="1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UNDER THE KYMERA THERAPEUTICS, INC.</w:t>
      </w:r>
    </w:p>
    <w:p>
      <w:pPr>
        <w:spacing w:after="0" w:line="1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5"/>
          <w:szCs w:val="25"/>
          <w:b w:val="1"/>
          <w:bCs w:val="1"/>
          <w:color w:val="auto"/>
        </w:rPr>
        <w:t>2020 STOCK OPTION AND INCENTIVE PLAN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13716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-13970</wp:posOffset>
            </wp:positionV>
            <wp:extent cx="13716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6"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Pursuant to the Kymera Therapeutics, Inc. 2020 Stock Option and Incentive Plan, as amended through the date hereof (the “Plan”), Kymera Therapeutics, Inc. (the “Company”) hereby grants an award of the number of Performance-Based Restricted Stock Units (“PSUs”) listed above (an “Award”) to the Grantee named above. Each PSU shall relate to one share of Common Stock, par value $0.0001 per share (the “Stock”) of the Company.</w:t>
      </w:r>
    </w:p>
    <w:p>
      <w:pPr>
        <w:spacing w:after="0" w:line="180" w:lineRule="exact"/>
        <w:rPr>
          <w:sz w:val="20"/>
          <w:szCs w:val="20"/>
          <w:color w:val="auto"/>
        </w:rPr>
      </w:pPr>
    </w:p>
    <w:p>
      <w:pPr>
        <w:ind w:firstLine="757"/>
        <w:spacing w:after="0" w:line="238"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xml:space="preserve">. This Award may not be sold, transferred, pledged, assigned or otherwise encumbered or disposed of by the Grantee, and any shares of Stock issuable with respect to the Award may not be sold, transferred, pledged, assigned or otherwise encumbered or disposed of until (i) the PSUs have vested as provided in Paragraph 2 of this Agreement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(ii) shares of Stock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ind w:right="220" w:firstLine="757"/>
        <w:spacing w:after="0" w:line="244"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and Vesting of PSUs</w:t>
      </w:r>
      <w:r>
        <w:rPr>
          <w:rFonts w:ascii="Times New Roman" w:cs="Times New Roman" w:eastAsia="Times New Roman" w:hAnsi="Times New Roman"/>
          <w:sz w:val="22"/>
          <w:szCs w:val="22"/>
          <w:color w:val="auto"/>
        </w:rPr>
        <w:t xml:space="preserve">. The PSUs shall become Earned PSUs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vested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in accordance with the terms and conditions set forth therein, so long as the Grantee remains an employee of the Company or a Subsidiary on the applicable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80" w:firstLine="757"/>
        <w:spacing w:after="0" w:line="238"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xml:space="preserve">. If the Grantee’s employment with the Company or a Subsidiary terminates for any reason (including death or disability) prior to the satisfaction of the vesting conditions set forth in Paragraph 2 above and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any PSUs that have not vested as of such date shall automatically and without notice terminate and be forfeited, and neither the Grantee nor any of his or her successors, heirs, assigns or personal representatives will thereafter have any further rights or interests in such unvested PSUs.</w:t>
      </w:r>
    </w:p>
    <w:p>
      <w:pPr>
        <w:spacing w:after="0" w:line="176" w:lineRule="exact"/>
        <w:rPr>
          <w:rFonts w:ascii="Times New Roman" w:cs="Times New Roman" w:eastAsia="Times New Roman" w:hAnsi="Times New Roman"/>
          <w:sz w:val="22"/>
          <w:szCs w:val="22"/>
          <w:color w:val="auto"/>
        </w:rPr>
      </w:pPr>
    </w:p>
    <w:p>
      <w:pPr>
        <w:ind w:right="160" w:firstLine="757"/>
        <w:spacing w:after="0" w:line="238"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PSUs that have been earned and vested pursuant to Paragraph 2 and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of this Agreement on such date and the Grantee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87" w:name="page88"/>
    <w:bookmarkEnd w:id="87"/>
    <w:p>
      <w:pPr>
        <w:ind w:right="280" w:firstLine="757"/>
        <w:spacing w:after="0" w:line="239"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firstLine="757"/>
        <w:spacing w:after="0" w:line="235"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78" w:lineRule="exact"/>
        <w:rPr>
          <w:rFonts w:ascii="Times New Roman" w:cs="Times New Roman" w:eastAsia="Times New Roman" w:hAnsi="Times New Roman"/>
          <w:sz w:val="22"/>
          <w:szCs w:val="22"/>
          <w:color w:val="auto"/>
        </w:rPr>
      </w:pPr>
    </w:p>
    <w:p>
      <w:pPr>
        <w:ind w:right="120" w:firstLine="757"/>
        <w:spacing w:after="0" w:line="244"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right="60" w:firstLine="757"/>
        <w:spacing w:after="0" w:line="239"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Neither the Company nor any Subsidiary is obligated by or as a result of the Plan or this Agreement to continue the Grantee’s employment with the Company or a Subsidiary and neither the Plan nor this Agreement shall interfere in any way with the right of the Company or any Subsidiary to terminate the Grantee’s employment with the Company or a Subsidiary at any time.</w:t>
      </w:r>
    </w:p>
    <w:p>
      <w:pPr>
        <w:spacing w:after="0" w:line="180" w:lineRule="exact"/>
        <w:rPr>
          <w:rFonts w:ascii="Times New Roman" w:cs="Times New Roman" w:eastAsia="Times New Roman" w:hAnsi="Times New Roman"/>
          <w:sz w:val="22"/>
          <w:szCs w:val="22"/>
          <w:color w:val="auto"/>
        </w:rPr>
      </w:pPr>
    </w:p>
    <w:p>
      <w:pPr>
        <w:ind w:right="480" w:firstLine="757"/>
        <w:spacing w:after="0" w:line="258"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w:t>
      </w:r>
    </w:p>
    <w:p>
      <w:pPr>
        <w:spacing w:after="0" w:line="3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1"/>
          <w:szCs w:val="21"/>
          <w:color w:val="auto"/>
        </w:rPr>
        <w:t>with the Company or, in either case, at such other address as one party may subsequently furnish to the other party in writing.</w:t>
      </w:r>
    </w:p>
    <w:p>
      <w:pPr>
        <w:spacing w:after="0" w:line="2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KYMERA THERAPEUTICS,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-13970</wp:posOffset>
            </wp:positionV>
            <wp:extent cx="8229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22"/>
          <w:szCs w:val="22"/>
          <w:color w:val="auto"/>
        </w:rPr>
        <w:t>Title:</w:t>
      </w:r>
    </w:p>
    <w:p>
      <w:pPr>
        <w:spacing w:after="0" w:line="39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-13970</wp:posOffset>
            </wp:positionV>
            <wp:extent cx="5486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-13970</wp:posOffset>
            </wp:positionV>
            <wp:extent cx="8915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276860</wp:posOffset>
            </wp:positionV>
            <wp:extent cx="10972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585470</wp:posOffset>
            </wp:positionV>
            <wp:extent cx="10972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894080</wp:posOffset>
            </wp:positionV>
            <wp:extent cx="10972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08" w:right="719" w:bottom="1440" w:gutter="0" w:footer="0" w:header="0"/>
        </w:sectPr>
      </w:pPr>
    </w:p>
    <w:bookmarkStart w:id="89" w:name="page90"/>
    <w:bookmarkEnd w:id="89"/>
    <w:p>
      <w:pPr>
        <w:jc w:val="right"/>
        <w:ind w:right="39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5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CFO, MBA</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CFO, MBA</w:t>
            </w:r>
          </w:p>
        </w:tc>
      </w:tr>
      <w:tr>
        <w:trPr>
          <w:trHeight w:val="216"/>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March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195"/>
        </w:trPr>
        <w:tc>
          <w:tcPr>
            <w:tcW w:w="34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March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4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9"/>
    </w:lvl>
  </w:abstractNum>
  <w:abstractNum w:abstractNumId="7">
    <w:nsid w:val="1E7FF521"/>
    <w:multiLevelType w:val="hybridMultilevel"/>
    <w:lvl w:ilvl="0">
      <w:lvlJc w:val="left"/>
      <w:lvlText w:val="%1."/>
      <w:numFmt w:val="decimal"/>
      <w:start w:val="13"/>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endash "/>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5"/>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2025-05-09T06:25:48Z</dcterms:created>
  <dcterms:modified xsi:type="dcterms:W3CDTF">2025-05-09T06:25:48Z</dcterms:modified>
</cp:coreProperties>
</file>