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11"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4" w:lineRule="exact"/>
        <w:rPr>
          <w:sz w:val="24"/>
          <w:szCs w:val="24"/>
          <w:color w:val="auto"/>
        </w:rPr>
      </w:pPr>
    </w:p>
    <w:p>
      <w:pPr>
        <w:ind w:left="2600" w:right="1600" w:hanging="2579"/>
        <w:spacing w:after="0" w:line="232" w:lineRule="auto"/>
        <w:tabs>
          <w:tab w:leader="none" w:pos="471" w:val="left"/>
        </w:tabs>
        <w:numPr>
          <w:ilvl w:val="0"/>
          <w:numId w:val="2"/>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___________________ to ___________________</w:t>
      </w:r>
    </w:p>
    <w:p>
      <w:pPr>
        <w:spacing w:after="0" w:line="45" w:lineRule="exact"/>
        <w:rPr>
          <w:rFonts w:ascii="MS PGothic" w:cs="MS PGothic" w:eastAsia="MS PGothic" w:hAnsi="MS PGothic"/>
          <w:sz w:val="36"/>
          <w:szCs w:val="36"/>
          <w:color w:val="auto"/>
          <w:highlight w:val="black"/>
          <w:vertAlign w:val="superscript"/>
        </w:rPr>
      </w:pPr>
    </w:p>
    <w:p>
      <w:pPr>
        <w:ind w:left="4200"/>
        <w:spacing w:after="0"/>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Commission File Number: 001-39460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KYMERA THERAPEUTICS,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p>
      <w:pPr>
        <w:spacing w:after="0" w:line="188"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4"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8"/>
          <w:szCs w:val="18"/>
          <w:b w:val="1"/>
          <w:bCs w:val="1"/>
          <w:color w:val="auto"/>
        </w:rPr>
        <w:t>81-2992166</w:t>
      </w:r>
    </w:p>
    <w:p>
      <w:pPr>
        <w:spacing w:after="0" w:line="4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07" w:lineRule="exact"/>
        <w:rPr>
          <w:sz w:val="24"/>
          <w:szCs w:val="24"/>
          <w:color w:val="auto"/>
        </w:rPr>
      </w:pPr>
    </w:p>
    <w:p>
      <w:pPr>
        <w:sectPr>
          <w:pgSz w:w="11900" w:h="16838" w:orient="portrait"/>
          <w:cols w:equalWidth="0" w:num="2">
            <w:col w:w="7140" w:space="720"/>
            <w:col w:w="3380"/>
          </w:cols>
          <w:pgMar w:left="320" w:top="1334" w:right="339" w:bottom="1440" w:gutter="0" w:footer="0" w:header="0"/>
          <w:type w:val="continuous"/>
        </w:sectPr>
      </w:pPr>
    </w:p>
    <w:p>
      <w:pPr>
        <w:ind w:left="1480"/>
        <w:spacing w:after="0"/>
        <w:rPr>
          <w:sz w:val="20"/>
          <w:szCs w:val="20"/>
          <w:color w:val="auto"/>
        </w:rPr>
      </w:pPr>
      <w:r>
        <w:rPr>
          <w:rFonts w:ascii="Times New Roman" w:cs="Times New Roman" w:eastAsia="Times New Roman" w:hAnsi="Times New Roman"/>
          <w:sz w:val="18"/>
          <w:szCs w:val="18"/>
          <w:b w:val="1"/>
          <w:bCs w:val="1"/>
          <w:color w:val="auto"/>
        </w:rPr>
        <w:t>500 North Beacon Street, 4th Floor</w:t>
      </w:r>
    </w:p>
    <w:p>
      <w:pPr>
        <w:spacing w:after="0" w:line="31" w:lineRule="exact"/>
        <w:rPr>
          <w:sz w:val="24"/>
          <w:szCs w:val="24"/>
          <w:color w:val="auto"/>
        </w:rPr>
      </w:pPr>
    </w:p>
    <w:p>
      <w:pPr>
        <w:ind w:left="176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Watertown, Massachusetts</w:t>
      </w:r>
      <w:r>
        <w:rPr>
          <w:sz w:val="20"/>
          <w:szCs w:val="20"/>
          <w:color w:val="auto"/>
        </w:rPr>
        <w:tab/>
      </w:r>
      <w:r>
        <w:rPr>
          <w:rFonts w:ascii="Times New Roman" w:cs="Times New Roman" w:eastAsia="Times New Roman" w:hAnsi="Times New Roman"/>
          <w:sz w:val="18"/>
          <w:szCs w:val="18"/>
          <w:b w:val="1"/>
          <w:bCs w:val="1"/>
          <w:color w:val="auto"/>
        </w:rPr>
        <w:t>02472</w:t>
      </w:r>
    </w:p>
    <w:p>
      <w:pPr>
        <w:spacing w:after="0" w:line="11" w:lineRule="exact"/>
        <w:rPr>
          <w:sz w:val="24"/>
          <w:szCs w:val="24"/>
          <w:color w:val="auto"/>
        </w:rPr>
      </w:pPr>
    </w:p>
    <w:p>
      <w:pPr>
        <w:ind w:left="1620"/>
        <w:spacing w:after="0"/>
        <w:tabs>
          <w:tab w:leader="none" w:pos="808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84"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285-5300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KYMR</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c>
          <w:tcPr>
            <w:tcW w:w="0" w:type="dxa"/>
            <w:vAlign w:val="bottom"/>
          </w:tcPr>
          <w:p>
            <w:pPr>
              <w:spacing w:after="0"/>
              <w:rPr>
                <w:sz w:val="1"/>
                <w:szCs w:val="1"/>
                <w:color w:val="auto"/>
              </w:rPr>
            </w:pPr>
          </w:p>
        </w:tc>
      </w:tr>
    </w:tbl>
    <w:p>
      <w:pPr>
        <w:spacing w:after="0" w:line="76"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26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18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1" w:lineRule="exact"/>
        <w:rPr>
          <w:sz w:val="24"/>
          <w:szCs w:val="24"/>
          <w:color w:val="auto"/>
        </w:rPr>
      </w:pPr>
    </w:p>
    <w:p>
      <w:pPr>
        <w:ind w:right="5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2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2, 2024, the registrant had 61,753,243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788670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type w:val="continuous"/>
        </w:sectPr>
      </w:pPr>
    </w:p>
    <w:bookmarkStart w:id="1" w:name="page2"/>
    <w:bookmarkEnd w:id="1"/>
    <w:p>
      <w:pPr>
        <w:ind w:left="1323"/>
        <w:spacing w:after="0"/>
        <w:rPr>
          <w:sz w:val="20"/>
          <w:szCs w:val="20"/>
          <w:color w:val="auto"/>
        </w:rPr>
      </w:pPr>
      <w:r>
        <w:rPr>
          <w:rFonts w:ascii="Times New Roman" w:cs="Times New Roman" w:eastAsia="Times New Roman" w:hAnsi="Times New Roman"/>
          <w:sz w:val="18"/>
          <w:szCs w:val="18"/>
          <w:b w:val="1"/>
          <w:bCs w:val="1"/>
          <w:color w:val="auto"/>
        </w:rPr>
        <w:t>SUMMARY OF THE MATERIAL AND OTHER RISKS ASSOCIATED WITH OUR BUSINESS</w:t>
      </w:r>
    </w:p>
    <w:p>
      <w:pPr>
        <w:spacing w:after="0" w:line="337" w:lineRule="exact"/>
        <w:rPr>
          <w:sz w:val="20"/>
          <w:szCs w:val="20"/>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biopharmaceutical company with a limited operating history and have not generated any revenue to date from drug sales, and may never become profitable.</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operating losses in recent periods and anticipate that we will incur continued losses for the foreseeable future.</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substantial additional funding. If we are unable to raise capital when needed or on attractive terms, we would be forced to delay, scale back or discontinue some of our product candidate development programs or future commercialization efforts.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still early in our development efforts, with disclosed programs in pre-clinical, Phase 1 and Phase 2 development. If we are unable to advance them through the clinic for safety or efficacy reasons or commercialize our product candidates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jc w:val="both"/>
        <w:ind w:left="503" w:right="20" w:hanging="503"/>
        <w:spacing w:after="0" w:line="266"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be certain of the timely completion or outcome of our preclinical testing, including our STAT6 and TYK2 programs. In addition, the results of preclinical studies may not be predictive of the results of clinical trials and the results of any early-stage clinical trials we commence may not be predictive of the results of later-stage clinical trials.</w:t>
      </w:r>
    </w:p>
    <w:p>
      <w:pPr>
        <w:spacing w:after="0" w:line="74" w:lineRule="exact"/>
        <w:rPr>
          <w:rFonts w:ascii="Times New Roman" w:cs="Times New Roman" w:eastAsia="Times New Roman" w:hAnsi="Times New Roman"/>
          <w:sz w:val="18"/>
          <w:szCs w:val="18"/>
          <w:color w:val="auto"/>
        </w:rPr>
      </w:pPr>
    </w:p>
    <w:p>
      <w:pPr>
        <w:ind w:left="503" w:hanging="503"/>
        <w:spacing w:after="0" w:line="233"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the discovery and development of product candidates based on our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is novel and unproven, which makes it difficult to predict the time, cost of development, and likelihood of successfully developing any products.</w:t>
      </w:r>
    </w:p>
    <w:p>
      <w:pPr>
        <w:spacing w:after="0" w:line="91"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any pandemic or similar public health crises could cause a disruption to our supply chain or the development of our product candidates and adversely impact our business.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initiation or enrollment of patients in clinical trials, our receipt of necessary regulatory approvals could be delayed or prevented.</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 candidates may cause adverse or other undesirable side effects that could delay or prevent their regulatory approval, limit the commercial profile of an approved label, or result in significant negative consequences following marketing approval, if any.</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receive regulatory approval for any of our current or future product candidates, we will be subject to ongoing obligations and continued regulatory review, which may result in significant additional expense.</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our ongoing and planned clinical trials for our current and future product candidates. If these third parties do not successfully carry out their contractual duties, comply with regulatory requirements or meet expected deadlines, we may not be able to obtain marketing approval for or commercialize our current and potential future product candidates and our business could be substantially harmed.</w:t>
      </w:r>
    </w:p>
    <w:p>
      <w:pPr>
        <w:spacing w:after="0" w:line="71"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w:t>
      </w:r>
    </w:p>
    <w:p>
      <w:pPr>
        <w:spacing w:after="0" w:line="176"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or Quarterly Report, contains forward-looking statements which are made pursuant to the safe harbor provisions of Section 27A of the Securities Act of 1933, as amended, and Section 21E of the Securities Exchange Act of 1934, as amended.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statements are not guarantees of future results or performance and involve substantial risks and uncertainties. Forward-looking statements in this Quarterly Report include, but are not limited to, express or implied statements about:</w:t>
      </w:r>
    </w:p>
    <w:p>
      <w:pPr>
        <w:spacing w:after="0" w:line="187" w:lineRule="exact"/>
        <w:rPr>
          <w:sz w:val="20"/>
          <w:szCs w:val="20"/>
          <w:color w:val="auto"/>
        </w:rPr>
      </w:pPr>
    </w:p>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and future clinical studies, including statements regarding the timing of initiation and completion of studies or trials and related preparatory work, the period during which the results of the trials will become available, and our research and development programs;</w:t>
      </w:r>
    </w:p>
    <w:p>
      <w:pPr>
        <w:spacing w:after="0" w:line="74" w:lineRule="exact"/>
        <w:rPr>
          <w:rFonts w:ascii="Times New Roman" w:cs="Times New Roman" w:eastAsia="Times New Roman" w:hAnsi="Times New Roman"/>
          <w:sz w:val="18"/>
          <w:szCs w:val="18"/>
          <w:color w:val="auto"/>
        </w:rPr>
      </w:pPr>
    </w:p>
    <w:p>
      <w:pPr>
        <w:ind w:left="1020" w:hanging="503"/>
        <w:spacing w:after="0" w:line="233"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construct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our drug discovery platform, and to enable a rational and effective drug discovery and development engine;</w:t>
      </w:r>
    </w:p>
    <w:p>
      <w:pPr>
        <w:spacing w:after="0" w:line="9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the success of preclinical development efforts for our STAT6 and TYK2 programs and clinical studies under our IRAK4, STAT3 and MDM2 programs;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submit investigational new drug applications to the U.S. Food and Drug Administration, or FDA for current and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subsequent initiation of planned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research priorities and apply a risk-mitigated strategy to efficiently discover and develop product candidates, including by applying learnings from one program to other programs and from one modality to our other modalities;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ability to manufacture our drug substances, delivery vehicles, and product candidates for preclinical use, for clinical trials and on a larger scale for commercial use, if approved;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third-party strategic collaborators to continue research and development activities relating to our development candidates and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development and commercialization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product candidates, and technology;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technology;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capital requirements, and our needs for additional financing;</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and any other approved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pandemics, including mitigation efforts and economic effects, on any of the foregoing or other aspects of our business operations, including but not limited to our preclinical studies and future clinical trials;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Any forward-looking statements in this Quarterly Report reflect our current views with respect to future events and with respect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Part II, Item 1A, “Risk Factors” and elsewhere in this Quarterly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All of our forward-looking statements are as of the date of this Quarterly Report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Quarterly Report or included in our other public disclosures or our other periodic reports or other documents or filings filed with or furnished to the Securities and Exchange Commission, or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Quarterly Report, even if such results, changes or circumstances make it clear that any forward-looking information will not be realized. Any public statements or disclosures by us following this Quarterly Report that modify or impact any of the forward-looking statements contained in this Quarterly Report will be deemed to modify or supersede such statements in this Quarterly Report.</w:t>
      </w:r>
    </w:p>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from time to time provide estimates, projections and other information concerning our industry, the general business environment, and the markets for certain diseases, including estimates regarding the potential size of those markets and the estimated incidence and prevalence of certain medical conditions. Information that is based on estimates, forecasts, projections, market research or similar methodologies is inherently subject to uncertainties, and actual events, circumstances or numbers, including actual disease prevalence rates and market size, may differ materially from the information reflected in this Quarterly Report. Unless otherwise expressly stated, we obtained this industry, business information, market data, prevalence information and other data from reports, research surveys, studies and similar data prepared by market research firms and other third parties, industry, medical and general publications, government data, and similar sources, in some cases applying our own assumptions and analysis that may, in the future, prove not to have been accurate.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gridSpan w:val="2"/>
            <w:vMerge w:val="continue"/>
          </w:tcPr>
          <w:p>
            <w:pPr>
              <w:spacing w:after="0"/>
              <w:rPr>
                <w:sz w:val="14"/>
                <w:szCs w:val="14"/>
                <w:color w:val="auto"/>
              </w:rPr>
            </w:pPr>
          </w:p>
        </w:tc>
        <w:tc>
          <w:tcPr>
            <w:tcW w:w="9300" w:type="dxa"/>
            <w:vAlign w:val="bottom"/>
            <w:gridSpan w:val="21"/>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5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Loss</w:t>
            </w:r>
          </w:p>
        </w:tc>
        <w:tc>
          <w:tcPr>
            <w:tcW w:w="376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90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bottom w:val="single" w:sz="8" w:color="0000EE"/>
            </w:tcBorders>
          </w:tcPr>
          <w:p>
            <w:pPr>
              <w:spacing w:after="0"/>
              <w:rPr>
                <w:sz w:val="18"/>
                <w:szCs w:val="18"/>
                <w:color w:val="auto"/>
              </w:rPr>
            </w:pPr>
          </w:p>
        </w:tc>
        <w:tc>
          <w:tcPr>
            <w:tcW w:w="448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5"/>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40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gridSpan w:val="2"/>
          </w:tcPr>
          <w:p>
            <w:pPr>
              <w:spacing w:after="0"/>
              <w:rPr>
                <w:sz w:val="18"/>
                <w:szCs w:val="18"/>
                <w:color w:val="auto"/>
              </w:rPr>
            </w:pPr>
          </w:p>
        </w:tc>
        <w:tc>
          <w:tcPr>
            <w:tcW w:w="796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9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696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52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80" w:type="dxa"/>
            <w:vAlign w:val="bottom"/>
          </w:tcPr>
          <w:p>
            <w:pPr>
              <w:spacing w:after="0"/>
              <w:rPr>
                <w:sz w:val="12"/>
                <w:szCs w:val="12"/>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67"/>
        </w:trPr>
        <w:tc>
          <w:tcPr>
            <w:tcW w:w="8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67,612</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109,966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Marketable securities (Note 4)</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442,341</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264,915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receivable</w:t>
            </w:r>
          </w:p>
        </w:tc>
        <w:tc>
          <w:tcPr>
            <w:tcW w:w="2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Contract assets</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13,750</w:t>
            </w:r>
          </w:p>
        </w:tc>
        <w:tc>
          <w:tcPr>
            <w:tcW w:w="2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11,674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525,407</w:t>
            </w:r>
          </w:p>
        </w:tc>
        <w:tc>
          <w:tcPr>
            <w:tcW w:w="26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405,317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Marketable securities, non-current (Note 4)</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192,445</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61,434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 (Note 6)</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51,735</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48,134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Right-of-use assets, operating leases</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48,704</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52,945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1,889</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5,841</w:t>
            </w:r>
          </w:p>
        </w:tc>
        <w:tc>
          <w:tcPr>
            <w:tcW w:w="2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5,811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60" w:type="dxa"/>
            <w:vAlign w:val="bottom"/>
          </w:tcPr>
          <w:p>
            <w:pPr>
              <w:ind w:left="380"/>
              <w:spacing w:after="0" w:line="155" w:lineRule="exact"/>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826,021</w:t>
            </w:r>
          </w:p>
        </w:tc>
        <w:tc>
          <w:tcPr>
            <w:tcW w:w="260" w:type="dxa"/>
            <w:vAlign w:val="bottom"/>
          </w:tcPr>
          <w:p>
            <w:pPr>
              <w:spacing w:after="0"/>
              <w:rPr>
                <w:sz w:val="14"/>
                <w:szCs w:val="14"/>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575,759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6,510</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7,075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Accrued expenses (Note 8)</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23,780</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Deferred revenue</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19,259</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37,883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11,424</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Finance lease liabilities</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62,143</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85,691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Deferred revenue, net of current portion</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3,189</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16,768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74,822</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Finance lease liabilities, net of current portion</w:t>
            </w:r>
          </w:p>
        </w:tc>
        <w:tc>
          <w:tcPr>
            <w:tcW w:w="26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2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liabilities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141,097</w:t>
            </w:r>
          </w:p>
        </w:tc>
        <w:tc>
          <w:tcPr>
            <w:tcW w:w="26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826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Common stock, $0.0001 par value; 150,000,000 shares authorized at June 30, 2024 and December 31, 2023, 61,572,383 and</w:t>
            </w:r>
          </w:p>
        </w:tc>
        <w:tc>
          <w:tcPr>
            <w:tcW w:w="2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82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55,390,259 shares issued and outstanding at June 30, 2024 and December 31, 2023, respectively</w:t>
            </w: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1,308,388</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926,269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Accumulated deficit</w:t>
            </w:r>
          </w:p>
        </w:tc>
        <w:tc>
          <w:tcPr>
            <w:tcW w:w="260" w:type="dxa"/>
            <w:vAlign w:val="bottom"/>
          </w:tcPr>
          <w:p>
            <w:pPr>
              <w:spacing w:after="0"/>
              <w:rPr>
                <w:sz w:val="15"/>
                <w:szCs w:val="15"/>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(621,371 )</w:t>
            </w:r>
          </w:p>
        </w:tc>
        <w:tc>
          <w:tcPr>
            <w:tcW w:w="180" w:type="dxa"/>
            <w:vAlign w:val="bottom"/>
          </w:tcPr>
          <w:p>
            <w:pPr>
              <w:spacing w:after="0"/>
              <w:rPr>
                <w:sz w:val="15"/>
                <w:szCs w:val="15"/>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(530,752 )</w:t>
            </w:r>
          </w:p>
        </w:tc>
        <w:tc>
          <w:tcPr>
            <w:tcW w:w="0" w:type="dxa"/>
            <w:vAlign w:val="bottom"/>
          </w:tcPr>
          <w:p>
            <w:pPr>
              <w:spacing w:after="0"/>
              <w:rPr>
                <w:sz w:val="1"/>
                <w:szCs w:val="1"/>
                <w:color w:val="auto"/>
              </w:rPr>
            </w:pPr>
          </w:p>
        </w:tc>
      </w:tr>
      <w:tr>
        <w:trPr>
          <w:trHeight w:val="175"/>
        </w:trPr>
        <w:tc>
          <w:tcPr>
            <w:tcW w:w="8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(2,099 )</w:t>
            </w:r>
          </w:p>
        </w:tc>
        <w:tc>
          <w:tcPr>
            <w:tcW w:w="1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(552 )</w:t>
            </w:r>
          </w:p>
        </w:tc>
        <w:tc>
          <w:tcPr>
            <w:tcW w:w="0" w:type="dxa"/>
            <w:vAlign w:val="bottom"/>
          </w:tcPr>
          <w:p>
            <w:pPr>
              <w:spacing w:after="0"/>
              <w:rPr>
                <w:sz w:val="1"/>
                <w:szCs w:val="1"/>
                <w:color w:val="auto"/>
              </w:rPr>
            </w:pPr>
          </w:p>
        </w:tc>
      </w:tr>
      <w:tr>
        <w:trPr>
          <w:trHeight w:val="169"/>
        </w:trPr>
        <w:tc>
          <w:tcPr>
            <w:tcW w:w="82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684,924</w:t>
            </w:r>
          </w:p>
        </w:tc>
        <w:tc>
          <w:tcPr>
            <w:tcW w:w="260" w:type="dxa"/>
            <w:vAlign w:val="bottom"/>
            <w:tcBorders>
              <w:top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394,971</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260" w:type="dxa"/>
            <w:vAlign w:val="bottom"/>
            <w:tcBorders>
              <w:bottom w:val="single" w:sz="8" w:color="CFF0FC"/>
            </w:tcBorders>
            <w:shd w:val="clear" w:color="auto" w:fill="CFF0FC"/>
          </w:tcPr>
          <w:p>
            <w:pPr>
              <w:ind w:left="380"/>
              <w:spacing w:after="0" w:line="155"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26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826,021</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575,759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-3316605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-3316605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-2639695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-2639695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-1036955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-1036955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-265430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-265430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2024 and 2023</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0" w:type="dxa"/>
            <w:vAlign w:val="bottom"/>
            <w:gridSpan w:val="5"/>
          </w:tcPr>
          <w:p>
            <w:pPr>
              <w:jc w:val="right"/>
              <w:ind w:right="7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380" w:type="dxa"/>
            <w:vAlign w:val="bottom"/>
            <w:gridSpan w:val="5"/>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25,650</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16,513</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35,937</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59,202</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45,767</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108,021</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87,994</w:t>
            </w:r>
          </w:p>
        </w:tc>
        <w:tc>
          <w:tcPr>
            <w:tcW w:w="100" w:type="dxa"/>
            <w:vAlign w:val="bottom"/>
            <w:shd w:val="clear" w:color="auto" w:fill="CFF0FC"/>
          </w:tcPr>
          <w:p>
            <w:pPr>
              <w:spacing w:after="0"/>
              <w:rPr>
                <w:sz w:val="21"/>
                <w:szCs w:val="21"/>
                <w:color w:val="auto"/>
              </w:rPr>
            </w:pPr>
          </w:p>
        </w:tc>
      </w:tr>
      <w:tr>
        <w:trPr>
          <w:trHeight w:val="23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26,694</w:t>
            </w:r>
          </w:p>
        </w:tc>
        <w:tc>
          <w:tcPr>
            <w:tcW w:w="100" w:type="dxa"/>
            <w:vAlign w:val="bottom"/>
          </w:tcPr>
          <w:p>
            <w:pPr>
              <w:spacing w:after="0"/>
              <w:rPr>
                <w:sz w:val="20"/>
                <w:szCs w:val="20"/>
                <w:color w:val="auto"/>
              </w:rPr>
            </w:pPr>
          </w:p>
        </w:tc>
      </w:tr>
      <w:tr>
        <w:trPr>
          <w:trHeight w:val="247"/>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76,575</w:t>
            </w: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59,896</w:t>
            </w:r>
          </w:p>
        </w:tc>
        <w:tc>
          <w:tcPr>
            <w:tcW w:w="26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144,693</w:t>
            </w:r>
          </w:p>
        </w:tc>
        <w:tc>
          <w:tcPr>
            <w:tcW w:w="22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114,688</w:t>
            </w:r>
          </w:p>
        </w:tc>
        <w:tc>
          <w:tcPr>
            <w:tcW w:w="100" w:type="dxa"/>
            <w:vAlign w:val="bottom"/>
            <w:tcBorders>
              <w:top w:val="single" w:sz="8" w:color="CFF0FC"/>
            </w:tcBorders>
          </w:tcPr>
          <w:p>
            <w:pPr>
              <w:spacing w:after="0"/>
              <w:rPr>
                <w:sz w:val="20"/>
                <w:szCs w:val="20"/>
                <w:color w:val="auto"/>
              </w:rPr>
            </w:pPr>
          </w:p>
        </w:tc>
      </w:tr>
      <w:tr>
        <w:trPr>
          <w:trHeight w:val="237"/>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(50,925</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(43,383</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(108,756</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(88,709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8,924</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4,632</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18,268</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9,085</w:t>
            </w:r>
          </w:p>
        </w:tc>
        <w:tc>
          <w:tcPr>
            <w:tcW w:w="100" w:type="dxa"/>
            <w:vAlign w:val="bottom"/>
            <w:shd w:val="clear" w:color="auto" w:fill="CFF0FC"/>
          </w:tcPr>
          <w:p>
            <w:pPr>
              <w:spacing w:after="0"/>
              <w:rPr>
                <w:sz w:val="21"/>
                <w:szCs w:val="21"/>
                <w:color w:val="auto"/>
              </w:rPr>
            </w:pPr>
          </w:p>
        </w:tc>
      </w:tr>
      <w:tr>
        <w:trPr>
          <w:trHeight w:val="243"/>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and other expense</w:t>
            </w:r>
          </w:p>
        </w:tc>
        <w:tc>
          <w:tcPr>
            <w:tcW w:w="200" w:type="dxa"/>
            <w:vAlign w:val="bottom"/>
          </w:tcPr>
          <w:p>
            <w:pPr>
              <w:spacing w:after="0"/>
              <w:rPr>
                <w:sz w:val="21"/>
                <w:szCs w:val="21"/>
                <w:color w:val="auto"/>
              </w:rPr>
            </w:pP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(61 )</w:t>
            </w:r>
          </w:p>
        </w:tc>
        <w:tc>
          <w:tcPr>
            <w:tcW w:w="220" w:type="dxa"/>
            <w:vAlign w:val="bottom"/>
          </w:tcPr>
          <w:p>
            <w:pPr>
              <w:spacing w:after="0"/>
              <w:rPr>
                <w:sz w:val="21"/>
                <w:szCs w:val="21"/>
                <w:color w:val="auto"/>
              </w:rPr>
            </w:pPr>
          </w:p>
        </w:tc>
        <w:tc>
          <w:tcPr>
            <w:tcW w:w="1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(48 )</w:t>
            </w:r>
          </w:p>
        </w:tc>
        <w:tc>
          <w:tcPr>
            <w:tcW w:w="200" w:type="dxa"/>
            <w:vAlign w:val="bottom"/>
          </w:tcPr>
          <w:p>
            <w:pPr>
              <w:spacing w:after="0"/>
              <w:rPr>
                <w:sz w:val="21"/>
                <w:szCs w:val="21"/>
                <w:color w:val="auto"/>
              </w:rPr>
            </w:pP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(131 )</w:t>
            </w:r>
          </w:p>
        </w:tc>
        <w:tc>
          <w:tcPr>
            <w:tcW w:w="2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(103 )</w:t>
            </w:r>
          </w:p>
        </w:tc>
      </w:tr>
      <w:tr>
        <w:trPr>
          <w:trHeight w:val="237"/>
        </w:trPr>
        <w:tc>
          <w:tcPr>
            <w:tcW w:w="5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8,863</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18,137</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(42,062 )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(38,799 )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(90,619 )</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(79,727 )</w:t>
            </w:r>
          </w:p>
        </w:tc>
      </w:tr>
      <w:tr>
        <w:trPr>
          <w:trHeight w:val="20"/>
        </w:trPr>
        <w:tc>
          <w:tcPr>
            <w:tcW w:w="5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(loss) gain on marketable securities</w:t>
            </w:r>
          </w:p>
        </w:tc>
        <w:tc>
          <w:tcPr>
            <w:tcW w:w="200" w:type="dxa"/>
            <w:vAlign w:val="bottom"/>
          </w:tcPr>
          <w:p>
            <w:pPr>
              <w:spacing w:after="0"/>
              <w:rPr>
                <w:sz w:val="21"/>
                <w:szCs w:val="21"/>
                <w:color w:val="auto"/>
              </w:rPr>
            </w:pP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(322 )</w:t>
            </w:r>
          </w:p>
        </w:tc>
        <w:tc>
          <w:tcPr>
            <w:tcW w:w="220" w:type="dxa"/>
            <w:vAlign w:val="bottom"/>
          </w:tcPr>
          <w:p>
            <w:pPr>
              <w:spacing w:after="0"/>
              <w:rPr>
                <w:sz w:val="21"/>
                <w:szCs w:val="21"/>
                <w:color w:val="auto"/>
              </w:rPr>
            </w:pPr>
          </w:p>
        </w:tc>
        <w:tc>
          <w:tcPr>
            <w:tcW w:w="1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(597 )</w:t>
            </w:r>
          </w:p>
        </w:tc>
        <w:tc>
          <w:tcPr>
            <w:tcW w:w="200" w:type="dxa"/>
            <w:vAlign w:val="bottom"/>
          </w:tcPr>
          <w:p>
            <w:pPr>
              <w:spacing w:after="0"/>
              <w:rPr>
                <w:sz w:val="21"/>
                <w:szCs w:val="21"/>
                <w:color w:val="auto"/>
              </w:rPr>
            </w:pP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(1,547 )</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tcPr>
          <w:p>
            <w:pPr>
              <w:spacing w:after="0"/>
              <w:rPr>
                <w:sz w:val="21"/>
                <w:szCs w:val="21"/>
                <w:color w:val="auto"/>
              </w:rPr>
            </w:pPr>
          </w:p>
        </w:tc>
      </w:tr>
      <w:tr>
        <w:trPr>
          <w:trHeight w:val="277"/>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(42,384</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(39,396</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(92,166</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(78,413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5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r>
      <w:tr>
        <w:trPr>
          <w:trHeight w:val="237"/>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(42,062</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(38,799</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(90,619</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(79,727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63"/>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stock outstanding, basic and diluted</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73,059,398</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58,326,963</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71,908,963</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58,257,387</w:t>
            </w:r>
          </w:p>
        </w:tc>
        <w:tc>
          <w:tcPr>
            <w:tcW w:w="10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-2965450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-2965450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-2965450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-2965450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-2339340</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-2339340</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-2339340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-2339340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-1388110</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-1388110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-1388110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-1388110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-728345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-710565</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-728345</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-710565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-728345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-710565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-728345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-710565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-205105</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-187960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-205105</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-187960</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-205105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-187960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-205105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-187960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1" w:right="45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2024 and 2023</w:t>
      </w:r>
    </w:p>
    <w:p>
      <w:pPr>
        <w:spacing w:after="0" w:line="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(In thousands, except for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9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900" w:type="dxa"/>
            <w:vAlign w:val="bottom"/>
            <w:gridSpan w:val="4"/>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1900" w:type="dxa"/>
            <w:vAlign w:val="bottom"/>
            <w:tcBorders>
              <w:bottom w:val="single" w:sz="8" w:color="auto"/>
            </w:tcBorders>
            <w:gridSpan w:val="4"/>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720" w:type="dxa"/>
            <w:vAlign w:val="bottom"/>
          </w:tcPr>
          <w:p>
            <w:pPr>
              <w:spacing w:after="0"/>
              <w:rPr>
                <w:sz w:val="14"/>
                <w:szCs w:val="14"/>
                <w:color w:val="auto"/>
              </w:rPr>
            </w:pPr>
          </w:p>
        </w:tc>
        <w:tc>
          <w:tcPr>
            <w:tcW w:w="10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at March 31, 2023</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55,276,226</w:t>
            </w:r>
          </w:p>
        </w:tc>
        <w:tc>
          <w:tcPr>
            <w:tcW w:w="900" w:type="dxa"/>
            <w:vAlign w:val="bottom"/>
            <w:gridSpan w:val="3"/>
            <w:shd w:val="clear" w:color="auto" w:fill="CFF0FC"/>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889,755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(424,718 )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(3,038 )</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462,005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67,987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Vesting restricted stock</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6,623</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37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 shares under employee stock</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39,423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3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purchase plan</w:t>
            </w: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11,181</w:t>
            </w:r>
          </w:p>
        </w:tc>
        <w:tc>
          <w:tcPr>
            <w:tcW w:w="2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11,181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(597 )</w:t>
            </w:r>
          </w:p>
        </w:tc>
        <w:tc>
          <w:tcPr>
            <w:tcW w:w="20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(597 )</w:t>
            </w:r>
          </w:p>
        </w:tc>
        <w:tc>
          <w:tcPr>
            <w:tcW w:w="0" w:type="dxa"/>
            <w:vAlign w:val="bottom"/>
          </w:tcPr>
          <w:p>
            <w:pPr>
              <w:spacing w:after="0"/>
              <w:rPr>
                <w:sz w:val="1"/>
                <w:szCs w:val="1"/>
                <w:color w:val="auto"/>
              </w:rPr>
            </w:pPr>
          </w:p>
        </w:tc>
      </w:tr>
      <w:tr>
        <w:trPr>
          <w:trHeight w:val="17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(38,799 )</w:t>
            </w:r>
          </w:p>
        </w:tc>
        <w:tc>
          <w:tcPr>
            <w:tcW w:w="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(38,799 )</w:t>
            </w:r>
          </w:p>
        </w:tc>
        <w:tc>
          <w:tcPr>
            <w:tcW w:w="0" w:type="dxa"/>
            <w:vAlign w:val="bottom"/>
          </w:tcPr>
          <w:p>
            <w:pPr>
              <w:spacing w:after="0"/>
              <w:rPr>
                <w:sz w:val="1"/>
                <w:szCs w:val="1"/>
                <w:color w:val="auto"/>
              </w:rPr>
            </w:pPr>
          </w:p>
        </w:tc>
      </w:tr>
      <w:tr>
        <w:trPr>
          <w:trHeight w:val="20"/>
        </w:trPr>
        <w:tc>
          <w:tcPr>
            <w:tcW w:w="37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Balance at June 30, 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55,390,259</w:t>
            </w:r>
          </w:p>
        </w:tc>
        <w:tc>
          <w:tcPr>
            <w:tcW w:w="120" w:type="dxa"/>
            <w:vAlign w:val="bottom"/>
          </w:tcPr>
          <w:p>
            <w:pPr>
              <w:spacing w:after="0"/>
              <w:rPr>
                <w:sz w:val="14"/>
                <w:szCs w:val="14"/>
                <w:color w:val="auto"/>
              </w:rPr>
            </w:pPr>
          </w:p>
        </w:tc>
        <w:tc>
          <w:tcPr>
            <w:tcW w:w="78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902,574</w:t>
            </w:r>
          </w:p>
        </w:tc>
        <w:tc>
          <w:tcPr>
            <w:tcW w:w="2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(463,517 )</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(3,635 )</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435,428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at March 31, 2024</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61,353,146</w:t>
            </w:r>
          </w:p>
        </w:tc>
        <w:tc>
          <w:tcPr>
            <w:tcW w:w="900" w:type="dxa"/>
            <w:vAlign w:val="bottom"/>
            <w:gridSpan w:val="3"/>
            <w:shd w:val="clear" w:color="auto" w:fill="CFF0FC"/>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1,292,283</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(579,309 )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(1,777 )</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711,203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74,318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Vesting restricted stock</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80,694</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37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 shares under employee stock</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64,225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3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purchase plan</w:t>
            </w: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14,341</w:t>
            </w:r>
          </w:p>
        </w:tc>
        <w:tc>
          <w:tcPr>
            <w:tcW w:w="2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14,341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(322 )</w:t>
            </w:r>
          </w:p>
        </w:tc>
        <w:tc>
          <w:tcPr>
            <w:tcW w:w="20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(322 )</w:t>
            </w: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(42,062 )</w:t>
            </w:r>
          </w:p>
        </w:tc>
        <w:tc>
          <w:tcPr>
            <w:tcW w:w="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(42,062 )</w:t>
            </w:r>
          </w:p>
        </w:tc>
        <w:tc>
          <w:tcPr>
            <w:tcW w:w="0" w:type="dxa"/>
            <w:vAlign w:val="bottom"/>
          </w:tcPr>
          <w:p>
            <w:pPr>
              <w:spacing w:after="0"/>
              <w:rPr>
                <w:sz w:val="1"/>
                <w:szCs w:val="1"/>
                <w:color w:val="auto"/>
              </w:rPr>
            </w:pPr>
          </w:p>
        </w:tc>
      </w:tr>
      <w:tr>
        <w:trPr>
          <w:trHeight w:val="20"/>
        </w:trPr>
        <w:tc>
          <w:tcPr>
            <w:tcW w:w="37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at June 30, 2024</w:t>
            </w:r>
          </w:p>
        </w:tc>
        <w:tc>
          <w:tcPr>
            <w:tcW w:w="10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61,572,383</w:t>
            </w:r>
          </w:p>
        </w:tc>
        <w:tc>
          <w:tcPr>
            <w:tcW w:w="900" w:type="dxa"/>
            <w:vAlign w:val="bottom"/>
            <w:gridSpan w:val="3"/>
          </w:tcPr>
          <w:p>
            <w:pPr>
              <w:jc w:val="right"/>
              <w:ind w:right="4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w:t>
            </w:r>
          </w:p>
        </w:tc>
        <w:tc>
          <w:tcPr>
            <w:tcW w:w="3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1,308,388</w:t>
            </w:r>
          </w:p>
        </w:tc>
        <w:tc>
          <w:tcPr>
            <w:tcW w:w="3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(621,371 )</w:t>
            </w:r>
          </w:p>
        </w:tc>
        <w:tc>
          <w:tcPr>
            <w:tcW w:w="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(2,099 )</w:t>
            </w:r>
          </w:p>
        </w:tc>
        <w:tc>
          <w:tcPr>
            <w:tcW w:w="20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684,924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2997200</wp:posOffset>
            </wp:positionH>
            <wp:positionV relativeFrom="paragraph">
              <wp:posOffset>-1302385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3691890</wp:posOffset>
            </wp:positionH>
            <wp:positionV relativeFrom="paragraph">
              <wp:posOffset>-1302385</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4429125</wp:posOffset>
            </wp:positionH>
            <wp:positionV relativeFrom="paragraph">
              <wp:posOffset>-1302385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-1302385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-1302385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-1302385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-145415</wp:posOffset>
            </wp:positionV>
            <wp:extent cx="774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3691890</wp:posOffset>
            </wp:positionH>
            <wp:positionV relativeFrom="paragraph">
              <wp:posOffset>-145415</wp:posOffset>
            </wp:positionV>
            <wp:extent cx="77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4429125</wp:posOffset>
            </wp:positionH>
            <wp:positionV relativeFrom="paragraph">
              <wp:posOffset>-145415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-145415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-145415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-145415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981" w:right="3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 and 2023</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(In thousands, except for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700" w:type="dxa"/>
            <w:vAlign w:val="bottom"/>
            <w:gridSpan w:val="3"/>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1700" w:type="dxa"/>
            <w:vAlign w:val="bottom"/>
            <w:tcBorders>
              <w:bottom w:val="single" w:sz="8" w:color="auto"/>
            </w:tcBorders>
            <w:gridSpan w:val="3"/>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920" w:type="dxa"/>
            <w:vAlign w:val="bottom"/>
          </w:tcPr>
          <w:p>
            <w:pPr>
              <w:spacing w:after="0"/>
              <w:rPr>
                <w:sz w:val="14"/>
                <w:szCs w:val="14"/>
                <w:color w:val="auto"/>
              </w:rPr>
            </w:pPr>
          </w:p>
        </w:tc>
        <w:tc>
          <w:tcPr>
            <w:tcW w:w="9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24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55,039,380</w:t>
            </w:r>
          </w:p>
        </w:tc>
        <w:tc>
          <w:tcPr>
            <w:tcW w:w="740" w:type="dxa"/>
            <w:vAlign w:val="bottom"/>
            <w:gridSpan w:val="2"/>
            <w:shd w:val="clear" w:color="auto" w:fill="CFF0FC"/>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80" w:type="dxa"/>
            <w:vAlign w:val="bottom"/>
            <w:gridSpan w:val="3"/>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878,884</w:t>
            </w: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(383,790 )</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(4,949 )</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490,151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276,692</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Vesting restricted stock</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34,764</w:t>
            </w: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39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shares under employee stock</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39,423</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plan</w:t>
            </w: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20,565</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20,565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DEEBF7"/>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320" w:type="dxa"/>
            <w:vAlign w:val="bottom"/>
            <w:shd w:val="clear" w:color="auto" w:fill="DEEBF7"/>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(79,727 )</w:t>
            </w:r>
          </w:p>
        </w:tc>
        <w:tc>
          <w:tcPr>
            <w:tcW w:w="340" w:type="dxa"/>
            <w:vAlign w:val="bottom"/>
            <w:shd w:val="clear" w:color="auto" w:fill="DEEBF7"/>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EEBF7"/>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(79,727 )</w:t>
            </w:r>
          </w:p>
        </w:tc>
        <w:tc>
          <w:tcPr>
            <w:tcW w:w="0" w:type="dxa"/>
            <w:vAlign w:val="bottom"/>
          </w:tcPr>
          <w:p>
            <w:pPr>
              <w:spacing w:after="0"/>
              <w:rPr>
                <w:sz w:val="1"/>
                <w:szCs w:val="1"/>
                <w:color w:val="auto"/>
              </w:rPr>
            </w:pPr>
          </w:p>
        </w:tc>
      </w:tr>
      <w:tr>
        <w:trPr>
          <w:trHeight w:val="20"/>
        </w:trPr>
        <w:tc>
          <w:tcPr>
            <w:tcW w:w="39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DEEBF7"/>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DEEBF7"/>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DEEBF7"/>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DEEBF7"/>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Balance at June 30, 2023</w:t>
            </w: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55,390,259</w:t>
            </w:r>
          </w:p>
        </w:tc>
        <w:tc>
          <w:tcPr>
            <w:tcW w:w="120" w:type="dxa"/>
            <w:vAlign w:val="bottom"/>
          </w:tcPr>
          <w:p>
            <w:pPr>
              <w:spacing w:after="0"/>
              <w:rPr>
                <w:sz w:val="14"/>
                <w:szCs w:val="14"/>
                <w:color w:val="auto"/>
              </w:rPr>
            </w:pPr>
          </w:p>
        </w:tc>
        <w:tc>
          <w:tcPr>
            <w:tcW w:w="620" w:type="dxa"/>
            <w:vAlign w:val="bottom"/>
          </w:tcPr>
          <w:p>
            <w:pPr>
              <w:jc w:val="right"/>
              <w:ind w:right="4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902,574</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(463,517 )</w:t>
            </w:r>
          </w:p>
        </w:tc>
        <w:tc>
          <w:tcPr>
            <w:tcW w:w="340" w:type="dxa"/>
            <w:vAlign w:val="bottom"/>
          </w:tcPr>
          <w:p>
            <w:pPr>
              <w:spacing w:after="0"/>
              <w:rPr>
                <w:sz w:val="14"/>
                <w:szCs w:val="14"/>
                <w:color w:val="auto"/>
              </w:rPr>
            </w:pP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(3,635 )</w:t>
            </w:r>
          </w:p>
        </w:tc>
        <w:tc>
          <w:tcPr>
            <w:tcW w:w="120" w:type="dxa"/>
            <w:vAlign w:val="bottom"/>
          </w:tcPr>
          <w:p>
            <w:pPr>
              <w:spacing w:after="0"/>
              <w:rPr>
                <w:sz w:val="14"/>
                <w:szCs w:val="14"/>
                <w:color w:val="auto"/>
              </w:rPr>
            </w:pP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435,428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55,585,305</w:t>
            </w:r>
          </w:p>
        </w:tc>
        <w:tc>
          <w:tcPr>
            <w:tcW w:w="740" w:type="dxa"/>
            <w:vAlign w:val="bottom"/>
            <w:gridSpan w:val="2"/>
            <w:shd w:val="clear" w:color="auto" w:fill="CFF0FC"/>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80" w:type="dxa"/>
            <w:vAlign w:val="bottom"/>
            <w:gridSpan w:val="3"/>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926,269</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(530,752 )</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(552 )</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394,971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9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and accompanying pre-funded warrants</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3,884,158</w:t>
            </w:r>
          </w:p>
        </w:tc>
        <w:tc>
          <w:tcPr>
            <w:tcW w:w="740" w:type="dxa"/>
            <w:vAlign w:val="bottom"/>
            <w:gridSpan w:val="2"/>
            <w:vMerge w:val="restart"/>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301,373</w:t>
            </w:r>
          </w:p>
        </w:tc>
        <w:tc>
          <w:tcPr>
            <w:tcW w:w="120" w:type="dxa"/>
            <w:vAlign w:val="bottom"/>
          </w:tcPr>
          <w:p>
            <w:pPr>
              <w:spacing w:after="0"/>
              <w:rPr>
                <w:sz w:val="12"/>
                <w:szCs w:val="12"/>
                <w:color w:val="auto"/>
              </w:rPr>
            </w:pP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301,373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from public offering, net of issuance costs of $14.9 million</w:t>
            </w:r>
          </w:p>
        </w:tc>
        <w:tc>
          <w:tcPr>
            <w:tcW w:w="960" w:type="dxa"/>
            <w:vAlign w:val="bottom"/>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through At-The Market Sales</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1,519,453</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48,740</w:t>
            </w:r>
          </w:p>
        </w:tc>
        <w:tc>
          <w:tcPr>
            <w:tcW w:w="120" w:type="dxa"/>
            <w:vAlign w:val="bottom"/>
            <w:shd w:val="clear" w:color="auto" w:fill="CFF0FC"/>
          </w:tcPr>
          <w:p>
            <w:pPr>
              <w:spacing w:after="0"/>
              <w:rPr>
                <w:sz w:val="12"/>
                <w:szCs w:val="12"/>
                <w:color w:val="auto"/>
              </w:rPr>
            </w:pPr>
          </w:p>
        </w:tc>
        <w:tc>
          <w:tcPr>
            <w:tcW w:w="32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3"/>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48,740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Agreement, net of issuance costs of $1.2 million</w:t>
            </w:r>
          </w:p>
        </w:tc>
        <w:tc>
          <w:tcPr>
            <w:tcW w:w="9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460" w:type="dxa"/>
            <w:vAlign w:val="bottom"/>
            <w:gridSpan w:val="2"/>
            <w:vMerge w:val="continue"/>
            <w:shd w:val="clear" w:color="auto" w:fill="CFF0FC"/>
          </w:tcPr>
          <w:p>
            <w:pPr>
              <w:spacing w:after="0"/>
              <w:rPr>
                <w:sz w:val="16"/>
                <w:szCs w:val="16"/>
                <w:color w:val="auto"/>
              </w:rPr>
            </w:pPr>
          </w:p>
        </w:tc>
        <w:tc>
          <w:tcPr>
            <w:tcW w:w="1380" w:type="dxa"/>
            <w:vAlign w:val="bottom"/>
            <w:gridSpan w:val="3"/>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355,339</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Vesting restricted stock</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163,903</w:t>
            </w: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shares under employee stock purchase plan</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64,225</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26,309</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26,309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(1,547 )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(1,547 )</w:t>
            </w:r>
          </w:p>
        </w:tc>
        <w:tc>
          <w:tcPr>
            <w:tcW w:w="0" w:type="dxa"/>
            <w:vAlign w:val="bottom"/>
          </w:tcPr>
          <w:p>
            <w:pPr>
              <w:spacing w:after="0"/>
              <w:rPr>
                <w:sz w:val="1"/>
                <w:szCs w:val="1"/>
                <w:color w:val="auto"/>
              </w:rPr>
            </w:pPr>
          </w:p>
        </w:tc>
      </w:tr>
      <w:tr>
        <w:trPr>
          <w:trHeight w:val="189"/>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DEEBF7"/>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320" w:type="dxa"/>
            <w:vAlign w:val="bottom"/>
            <w:shd w:val="clear" w:color="auto" w:fill="DEEBF7"/>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(90,619 )</w:t>
            </w:r>
          </w:p>
        </w:tc>
        <w:tc>
          <w:tcPr>
            <w:tcW w:w="340" w:type="dxa"/>
            <w:vAlign w:val="bottom"/>
            <w:shd w:val="clear" w:color="auto" w:fill="DEEBF7"/>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EEBF7"/>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(90,619 )</w:t>
            </w:r>
          </w:p>
        </w:tc>
        <w:tc>
          <w:tcPr>
            <w:tcW w:w="0" w:type="dxa"/>
            <w:vAlign w:val="bottom"/>
          </w:tcPr>
          <w:p>
            <w:pPr>
              <w:spacing w:after="0"/>
              <w:rPr>
                <w:sz w:val="1"/>
                <w:szCs w:val="1"/>
                <w:color w:val="auto"/>
              </w:rPr>
            </w:pPr>
          </w:p>
        </w:tc>
      </w:tr>
      <w:tr>
        <w:trPr>
          <w:trHeight w:val="133"/>
        </w:trPr>
        <w:tc>
          <w:tcPr>
            <w:tcW w:w="3920" w:type="dxa"/>
            <w:vAlign w:val="bottom"/>
            <w:tcBorders>
              <w:top w:val="single" w:sz="8" w:color="CFF0FC"/>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DEEBF7"/>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1,308,38</w:t>
            </w:r>
          </w:p>
        </w:tc>
        <w:tc>
          <w:tcPr>
            <w:tcW w:w="120" w:type="dxa"/>
            <w:vAlign w:val="bottom"/>
            <w:tcBorders>
              <w:top w:val="single" w:sz="8" w:color="CFF0FC"/>
            </w:tcBorders>
          </w:tcPr>
          <w:p>
            <w:pPr>
              <w:spacing w:after="0"/>
              <w:rPr>
                <w:sz w:val="11"/>
                <w:szCs w:val="11"/>
                <w:color w:val="auto"/>
              </w:rPr>
            </w:pPr>
          </w:p>
        </w:tc>
        <w:tc>
          <w:tcPr>
            <w:tcW w:w="320" w:type="dxa"/>
            <w:vAlign w:val="bottom"/>
            <w:tcBorders>
              <w:top w:val="single" w:sz="8" w:color="DEEBF7"/>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340" w:type="dxa"/>
            <w:vAlign w:val="bottom"/>
            <w:tcBorders>
              <w:top w:val="single" w:sz="8" w:color="DEEBF7"/>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DEEBF7"/>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61,572,383</w:t>
            </w:r>
          </w:p>
        </w:tc>
        <w:tc>
          <w:tcPr>
            <w:tcW w:w="740" w:type="dxa"/>
            <w:vAlign w:val="bottom"/>
            <w:gridSpan w:val="2"/>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8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(621,371 )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(2,099 )</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684,924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-1696720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-1696720</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-1696720</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-1696720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-1696720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-239395</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-239395</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-239395</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-239395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-239395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-239395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 and 2023</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87"/>
        </w:trPr>
        <w:tc>
          <w:tcPr>
            <w:tcW w:w="7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3"/>
        </w:trPr>
        <w:tc>
          <w:tcPr>
            <w:tcW w:w="7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5"/>
                <w:szCs w:val="15"/>
                <w:color w:val="auto"/>
              </w:rPr>
            </w:pPr>
          </w:p>
        </w:tc>
      </w:tr>
      <w:tr>
        <w:trPr>
          <w:trHeight w:val="223"/>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0"/>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(90,619 )</w:t>
            </w: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(79,727 )</w:t>
            </w:r>
          </w:p>
        </w:tc>
      </w:tr>
      <w:tr>
        <w:trPr>
          <w:trHeight w:val="239"/>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0"/>
        </w:trPr>
        <w:tc>
          <w:tcPr>
            <w:tcW w:w="7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26,309</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20,565</w:t>
            </w:r>
          </w:p>
        </w:tc>
        <w:tc>
          <w:tcPr>
            <w:tcW w:w="120" w:type="dxa"/>
            <w:vAlign w:val="bottom"/>
          </w:tcPr>
          <w:p>
            <w:pPr>
              <w:spacing w:after="0"/>
              <w:rPr>
                <w:sz w:val="19"/>
                <w:szCs w:val="19"/>
                <w:color w:val="auto"/>
              </w:rPr>
            </w:pPr>
          </w:p>
        </w:tc>
      </w:tr>
      <w:tr>
        <w:trPr>
          <w:trHeight w:val="239"/>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Lease impairment charge</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4,925</w:t>
            </w:r>
          </w:p>
        </w:tc>
        <w:tc>
          <w:tcPr>
            <w:tcW w:w="2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3,399</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120" w:type="dxa"/>
            <w:vAlign w:val="bottom"/>
          </w:tcPr>
          <w:p>
            <w:pPr>
              <w:spacing w:after="0"/>
              <w:rPr>
                <w:sz w:val="19"/>
                <w:szCs w:val="19"/>
                <w:color w:val="auto"/>
              </w:rPr>
            </w:pPr>
          </w:p>
        </w:tc>
      </w:tr>
      <w:tr>
        <w:trPr>
          <w:trHeight w:val="239"/>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Premiums and discounts on available-for-sale marketable securities</w:t>
            </w:r>
          </w:p>
        </w:tc>
        <w:tc>
          <w:tcPr>
            <w:tcW w:w="2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(7,093 )</w:t>
            </w:r>
          </w:p>
        </w:tc>
        <w:tc>
          <w:tcPr>
            <w:tcW w:w="5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(2,743 )</w:t>
            </w:r>
          </w:p>
        </w:tc>
      </w:tr>
      <w:tr>
        <w:trPr>
          <w:trHeight w:val="220"/>
        </w:trPr>
        <w:tc>
          <w:tcPr>
            <w:tcW w:w="7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9"/>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(2,076 )</w:t>
            </w:r>
          </w:p>
        </w:tc>
        <w:tc>
          <w:tcPr>
            <w:tcW w:w="5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(3,994 )</w:t>
            </w:r>
          </w:p>
        </w:tc>
      </w:tr>
      <w:tr>
        <w:trPr>
          <w:trHeight w:val="220"/>
        </w:trPr>
        <w:tc>
          <w:tcPr>
            <w:tcW w:w="7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Contract asset</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2,059</w:t>
            </w:r>
          </w:p>
        </w:tc>
        <w:tc>
          <w:tcPr>
            <w:tcW w:w="2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(1,585 )</w:t>
            </w:r>
          </w:p>
        </w:tc>
      </w:tr>
      <w:tr>
        <w:trPr>
          <w:trHeight w:val="220"/>
        </w:trPr>
        <w:tc>
          <w:tcPr>
            <w:tcW w:w="7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long term assets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2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(513 )</w:t>
            </w:r>
          </w:p>
        </w:tc>
      </w:tr>
      <w:tr>
        <w:trPr>
          <w:trHeight w:val="220"/>
        </w:trPr>
        <w:tc>
          <w:tcPr>
            <w:tcW w:w="7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80" w:type="dxa"/>
            <w:vAlign w:val="bottom"/>
          </w:tcPr>
          <w:p>
            <w:pPr>
              <w:spacing w:after="0"/>
              <w:rPr>
                <w:sz w:val="19"/>
                <w:szCs w:val="19"/>
                <w:color w:val="auto"/>
              </w:rPr>
            </w:pPr>
          </w:p>
        </w:tc>
        <w:tc>
          <w:tcPr>
            <w:tcW w:w="12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(7,591 )</w:t>
            </w:r>
          </w:p>
        </w:tc>
        <w:tc>
          <w:tcPr>
            <w:tcW w:w="5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(6,252 )</w:t>
            </w:r>
          </w:p>
        </w:tc>
      </w:tr>
      <w:tr>
        <w:trPr>
          <w:trHeight w:val="239"/>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(32,203 )</w:t>
            </w:r>
          </w:p>
        </w:tc>
        <w:tc>
          <w:tcPr>
            <w:tcW w:w="5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(18,537 )</w:t>
            </w:r>
          </w:p>
        </w:tc>
      </w:tr>
      <w:tr>
        <w:trPr>
          <w:trHeight w:val="220"/>
        </w:trPr>
        <w:tc>
          <w:tcPr>
            <w:tcW w:w="7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2,055</w:t>
            </w:r>
          </w:p>
        </w:tc>
        <w:tc>
          <w:tcPr>
            <w:tcW w:w="120" w:type="dxa"/>
            <w:vAlign w:val="bottom"/>
          </w:tcPr>
          <w:p>
            <w:pPr>
              <w:spacing w:after="0"/>
              <w:rPr>
                <w:sz w:val="19"/>
                <w:szCs w:val="19"/>
                <w:color w:val="auto"/>
              </w:rPr>
            </w:pPr>
          </w:p>
        </w:tc>
      </w:tr>
      <w:tr>
        <w:trPr>
          <w:trHeight w:val="239"/>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4,149</w:t>
            </w:r>
          </w:p>
        </w:tc>
        <w:tc>
          <w:tcPr>
            <w:tcW w:w="2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9,554</w:t>
            </w:r>
          </w:p>
        </w:tc>
        <w:tc>
          <w:tcPr>
            <w:tcW w:w="120" w:type="dxa"/>
            <w:vAlign w:val="bottom"/>
            <w:shd w:val="clear" w:color="auto" w:fill="CFF0FC"/>
          </w:tcPr>
          <w:p>
            <w:pPr>
              <w:spacing w:after="0"/>
              <w:rPr>
                <w:sz w:val="20"/>
                <w:szCs w:val="20"/>
                <w:color w:val="auto"/>
              </w:rPr>
            </w:pPr>
          </w:p>
        </w:tc>
      </w:tr>
      <w:tr>
        <w:trPr>
          <w:trHeight w:val="227"/>
        </w:trPr>
        <w:tc>
          <w:tcPr>
            <w:tcW w:w="7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280" w:type="dxa"/>
            <w:vAlign w:val="bottom"/>
          </w:tcPr>
          <w:p>
            <w:pPr>
              <w:spacing w:after="0"/>
              <w:rPr>
                <w:sz w:val="19"/>
                <w:szCs w:val="19"/>
                <w:color w:val="auto"/>
              </w:rPr>
            </w:pPr>
          </w:p>
        </w:tc>
        <w:tc>
          <w:tcPr>
            <w:tcW w:w="12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(363 )</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tcPr>
          <w:p>
            <w:pPr>
              <w:spacing w:after="0"/>
              <w:rPr>
                <w:sz w:val="19"/>
                <w:szCs w:val="19"/>
                <w:color w:val="auto"/>
              </w:rPr>
            </w:pPr>
          </w:p>
        </w:tc>
      </w:tr>
      <w:tr>
        <w:trPr>
          <w:trHeight w:val="223"/>
        </w:trPr>
        <w:tc>
          <w:tcPr>
            <w:tcW w:w="7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8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(82,527</w:t>
            </w:r>
          </w:p>
        </w:tc>
        <w:tc>
          <w:tcPr>
            <w:tcW w:w="26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(79,224</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Purchase of property and equipment, net</w:t>
            </w:r>
          </w:p>
        </w:tc>
        <w:tc>
          <w:tcPr>
            <w:tcW w:w="2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(12,091 )</w:t>
            </w:r>
          </w:p>
        </w:tc>
        <w:tc>
          <w:tcPr>
            <w:tcW w:w="5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(14,777 )</w:t>
            </w:r>
          </w:p>
        </w:tc>
      </w:tr>
      <w:tr>
        <w:trPr>
          <w:trHeight w:val="220"/>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investments</w:t>
            </w:r>
          </w:p>
        </w:tc>
        <w:tc>
          <w:tcPr>
            <w:tcW w:w="280" w:type="dxa"/>
            <w:vAlign w:val="bottom"/>
          </w:tcPr>
          <w:p>
            <w:pPr>
              <w:spacing w:after="0"/>
              <w:rPr>
                <w:sz w:val="19"/>
                <w:szCs w:val="19"/>
                <w:color w:val="auto"/>
              </w:rPr>
            </w:pPr>
          </w:p>
        </w:tc>
        <w:tc>
          <w:tcPr>
            <w:tcW w:w="12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(526,860 )</w:t>
            </w:r>
          </w:p>
        </w:tc>
        <w:tc>
          <w:tcPr>
            <w:tcW w:w="5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(114,477 )</w:t>
            </w:r>
          </w:p>
        </w:tc>
      </w:tr>
      <w:tr>
        <w:trPr>
          <w:trHeight w:val="236"/>
        </w:trPr>
        <w:tc>
          <w:tcPr>
            <w:tcW w:w="7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Maturities of investments</w:t>
            </w:r>
          </w:p>
        </w:tc>
        <w:tc>
          <w:tcPr>
            <w:tcW w:w="2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223,986</w:t>
            </w:r>
          </w:p>
        </w:tc>
        <w:tc>
          <w:tcPr>
            <w:tcW w:w="26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189,677</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(314,965 )</w:t>
            </w: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60,423</w:t>
            </w:r>
          </w:p>
        </w:tc>
        <w:tc>
          <w:tcPr>
            <w:tcW w:w="120" w:type="dxa"/>
            <w:vAlign w:val="bottom"/>
          </w:tcPr>
          <w:p>
            <w:pPr>
              <w:spacing w:after="0"/>
              <w:rPr>
                <w:sz w:val="19"/>
                <w:szCs w:val="19"/>
                <w:color w:val="auto"/>
              </w:rPr>
            </w:pPr>
          </w:p>
        </w:tc>
      </w:tr>
      <w:tr>
        <w:trPr>
          <w:trHeight w:val="226"/>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02"/>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and accompanying pre-funded</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0"/>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warrants from public offering, net of underwriting discounts and issuance costs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301,373</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through At-The Market Sales Agreement,</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of issuance costs</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48,740</w:t>
            </w: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stock option exercises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4,562</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2,163</w:t>
            </w:r>
          </w:p>
        </w:tc>
        <w:tc>
          <w:tcPr>
            <w:tcW w:w="120" w:type="dxa"/>
            <w:vAlign w:val="bottom"/>
          </w:tcPr>
          <w:p>
            <w:pPr>
              <w:spacing w:after="0"/>
              <w:rPr>
                <w:sz w:val="19"/>
                <w:szCs w:val="19"/>
                <w:color w:val="auto"/>
              </w:rPr>
            </w:pPr>
          </w:p>
        </w:tc>
      </w:tr>
      <w:tr>
        <w:trPr>
          <w:trHeight w:val="239"/>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employee stock purchase plan</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1,135</w:t>
            </w:r>
          </w:p>
        </w:tc>
        <w:tc>
          <w:tcPr>
            <w:tcW w:w="2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120" w:type="dxa"/>
            <w:vAlign w:val="bottom"/>
            <w:shd w:val="clear" w:color="auto" w:fill="CFF0FC"/>
          </w:tcPr>
          <w:p>
            <w:pPr>
              <w:spacing w:after="0"/>
              <w:rPr>
                <w:sz w:val="20"/>
                <w:szCs w:val="20"/>
                <w:color w:val="auto"/>
              </w:rPr>
            </w:pP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on finance leases</w:t>
            </w:r>
          </w:p>
        </w:tc>
        <w:tc>
          <w:tcPr>
            <w:tcW w:w="280" w:type="dxa"/>
            <w:vAlign w:val="bottom"/>
          </w:tcPr>
          <w:p>
            <w:pPr>
              <w:spacing w:after="0"/>
              <w:rPr>
                <w:sz w:val="19"/>
                <w:szCs w:val="19"/>
                <w:color w:val="auto"/>
              </w:rPr>
            </w:pPr>
          </w:p>
        </w:tc>
        <w:tc>
          <w:tcPr>
            <w:tcW w:w="12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(642 )</w:t>
            </w:r>
          </w:p>
        </w:tc>
        <w:tc>
          <w:tcPr>
            <w:tcW w:w="5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(661 )</w:t>
            </w:r>
          </w:p>
        </w:tc>
      </w:tr>
      <w:tr>
        <w:trPr>
          <w:trHeight w:val="226"/>
        </w:trPr>
        <w:tc>
          <w:tcPr>
            <w:tcW w:w="72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8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355,168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16"/>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280" w:type="dxa"/>
            <w:vAlign w:val="bottom"/>
          </w:tcPr>
          <w:p>
            <w:pPr>
              <w:spacing w:after="0"/>
              <w:rPr>
                <w:sz w:val="18"/>
                <w:szCs w:val="18"/>
                <w:color w:val="auto"/>
              </w:rPr>
            </w:pPr>
          </w:p>
        </w:tc>
        <w:tc>
          <w:tcPr>
            <w:tcW w:w="12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(42,324 )</w:t>
            </w:r>
          </w:p>
        </w:tc>
        <w:tc>
          <w:tcPr>
            <w:tcW w:w="5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(16,337 )</w:t>
            </w:r>
          </w:p>
        </w:tc>
      </w:tr>
      <w:tr>
        <w:trPr>
          <w:trHeight w:val="236"/>
        </w:trPr>
        <w:tc>
          <w:tcPr>
            <w:tcW w:w="7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115,777</w:t>
            </w:r>
          </w:p>
        </w:tc>
        <w:tc>
          <w:tcPr>
            <w:tcW w:w="26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74,524</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73,453</w:t>
            </w:r>
          </w:p>
        </w:tc>
        <w:tc>
          <w:tcPr>
            <w:tcW w:w="260" w:type="dxa"/>
            <w:vAlign w:val="bottom"/>
          </w:tcPr>
          <w:p>
            <w:pPr>
              <w:spacing w:after="0"/>
              <w:rPr>
                <w:sz w:val="19"/>
                <w:szCs w:val="19"/>
                <w:color w:val="auto"/>
              </w:rPr>
            </w:pP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58,187</w:t>
            </w:r>
          </w:p>
        </w:tc>
        <w:tc>
          <w:tcPr>
            <w:tcW w:w="120" w:type="dxa"/>
            <w:vAlign w:val="bottom"/>
          </w:tcPr>
          <w:p>
            <w:pPr>
              <w:spacing w:after="0"/>
              <w:rPr>
                <w:sz w:val="19"/>
                <w:szCs w:val="19"/>
                <w:color w:val="auto"/>
              </w:rPr>
            </w:pPr>
          </w:p>
        </w:tc>
      </w:tr>
      <w:tr>
        <w:trPr>
          <w:trHeight w:val="226"/>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activities</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0"/>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 obtained in exchange for new operating lease liabilities</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48,833</w:t>
            </w:r>
          </w:p>
        </w:tc>
        <w:tc>
          <w:tcPr>
            <w:tcW w:w="120" w:type="dxa"/>
            <w:vAlign w:val="bottom"/>
          </w:tcPr>
          <w:p>
            <w:pPr>
              <w:spacing w:after="0"/>
              <w:rPr>
                <w:sz w:val="19"/>
                <w:szCs w:val="19"/>
                <w:color w:val="auto"/>
              </w:rPr>
            </w:pPr>
          </w:p>
        </w:tc>
      </w:tr>
      <w:tr>
        <w:trPr>
          <w:trHeight w:val="239"/>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shd w:val="clear" w:color="auto" w:fill="CFF0FC"/>
          </w:tcPr>
          <w:p>
            <w:pPr>
              <w:spacing w:after="0"/>
              <w:rPr>
                <w:sz w:val="20"/>
                <w:szCs w:val="20"/>
                <w:color w:val="auto"/>
              </w:rPr>
            </w:pPr>
          </w:p>
        </w:tc>
      </w:tr>
      <w:tr>
        <w:trPr>
          <w:trHeight w:val="221"/>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8"/>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purchases included in accounts payable and accrued expenses</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260" w:type="dxa"/>
            <w:vAlign w:val="bottom"/>
            <w:shd w:val="clear" w:color="auto" w:fill="CFF0FC"/>
          </w:tcPr>
          <w:p>
            <w:pPr>
              <w:spacing w:after="0"/>
              <w:rPr>
                <w:sz w:val="20"/>
                <w:szCs w:val="20"/>
                <w:color w:val="auto"/>
              </w:rPr>
            </w:pPr>
          </w:p>
        </w:tc>
        <w:tc>
          <w:tcPr>
            <w:tcW w:w="58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12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-3230880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-3230880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-2639695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-2639695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5384165</wp:posOffset>
            </wp:positionH>
            <wp:positionV relativeFrom="paragraph">
              <wp:posOffset>-1357630</wp:posOffset>
            </wp:positionV>
            <wp:extent cx="93980"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6481445</wp:posOffset>
            </wp:positionH>
            <wp:positionV relativeFrom="paragraph">
              <wp:posOffset>-1357630</wp:posOffset>
            </wp:positionV>
            <wp:extent cx="655955"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55955" cy="18859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-890905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-890905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reconciliation of the cash, cash equivalents, and restricted cash balances as of each of the periods shown above: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20" w:type="dxa"/>
            <w:vAlign w:val="bottom"/>
            <w:shd w:val="clear" w:color="auto" w:fill="CFF0FC"/>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67,612</w:t>
            </w:r>
          </w:p>
        </w:tc>
        <w:tc>
          <w:tcPr>
            <w:tcW w:w="64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52,386</w:t>
            </w:r>
          </w:p>
        </w:tc>
        <w:tc>
          <w:tcPr>
            <w:tcW w:w="100" w:type="dxa"/>
            <w:vAlign w:val="bottom"/>
            <w:shd w:val="clear" w:color="auto" w:fill="CFF0FC"/>
          </w:tcPr>
          <w:p>
            <w:pPr>
              <w:spacing w:after="0"/>
              <w:rPr>
                <w:sz w:val="19"/>
                <w:szCs w:val="19"/>
                <w:color w:val="auto"/>
              </w:rPr>
            </w:pPr>
          </w:p>
        </w:tc>
      </w:tr>
      <w:tr>
        <w:trPr>
          <w:trHeight w:val="22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5,841</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5,801</w:t>
            </w:r>
          </w:p>
        </w:tc>
        <w:tc>
          <w:tcPr>
            <w:tcW w:w="100" w:type="dxa"/>
            <w:vAlign w:val="bottom"/>
          </w:tcPr>
          <w:p>
            <w:pPr>
              <w:spacing w:after="0"/>
              <w:rPr>
                <w:sz w:val="19"/>
                <w:szCs w:val="19"/>
                <w:color w:val="auto"/>
              </w:rPr>
            </w:pPr>
          </w:p>
        </w:tc>
      </w:tr>
      <w:tr>
        <w:trPr>
          <w:trHeight w:val="26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020" w:type="dxa"/>
            <w:vAlign w:val="bottom"/>
            <w:tcBorders>
              <w:bottom w:val="single" w:sz="8" w:color="auto"/>
            </w:tcBorders>
            <w:shd w:val="clear" w:color="auto" w:fill="CFF0FC"/>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73,453</w:t>
            </w:r>
          </w:p>
        </w:tc>
        <w:tc>
          <w:tcPr>
            <w:tcW w:w="2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58,187</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22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Nature of Business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Kymera Therapeutics, Inc., together with its subsidiary Kymera Securities Corporation, is referred to on a consolidated basis as the “Company”. The Company is a biopharmaceutical company focused on discovering and developing small molecule therapeutics that selectively degrade disease-causing proteins by harnessing the body’s own natural cellular process, a method known as targeted protein degradation. The Company has devoted its efforts principally to research and development since formation. The Company has not yet completed product development, filed for or obtained regulatory approvals for any products, nor verified the market acceptance and demand for such products. As a result, the Company is subject to a number of risks common to emerging companies in the biotech industry. Principal among these risks are the uncertainties of the product discovery and development process, dependence on key individuals, development of the same or similar technological innovations by the Company’s competitors, protection of proprietary technology, compliance with government regulations and approval requirements, the Company’s ability to access capital and uncertainty of market acceptance of products.</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has historical net losses and anticipates that it will continue to incur losses for the foreseeable future and had an accumulated deficit of $621.4 million as of June 30, 2024. The Company has funded these losses principally through issuance of preferred stock, convertible notes, common stock, including its initial public offering and concurrent private placement completed in August 2020 (“IPO”), follow-on offering and concurrent private placement completed in July 2021 (“2021 Follow-on”) offering, August 2022 Private Investment in Public Equity (“PIPE”) offering, follow-on offering completed in January 2024 ("2024 Follow-on"), sales under our Sales Agreement with Cowen, and from cash proceeds received in connection with the Company’s collaboration agreements with Vertex Pharmaceuticals Incorporated (“Vertex”) and Genzyme Corporation (“Sanofi”) (see Note 5). The Company expects to continue to incur operating losses and negative cash flows until such time as it generates a level of revenue that is sufficient to support its cost structure.</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June 30, 2024, the Company had cash, cash equivalents and marketable securities of $702.4 million. The Company believes these cash, cash equivalents and marketable securities will be sufficient to fund its operations and capital expenditure requirements through at least twelve months from the issuance of these condensed consolidated financial statements.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expects to finance the future research and development costs of its product portfolio with its existing cash, cash equivalents and marketable securities, or through strategic financing opportunities that could include, but are not limited to future offerings of its equity, collaboration agreements, or the incurrence of debt. However, there is no guarantee that any of these strategic or financing opportunities will be executed or realized on favorable terms, if at all, and some could be dilutive to existing stockholders. If the Company fails to obtain additional future capital, it may be unable to complete its planned preclinical studies and clinical trials.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Private Investment in Public Equity “PIPE” offering</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August 18, 2022, the Company and certain accredited investors entered into a securities purchase agreement pursuant to which the Company agreed to sell and issue to such investors in a private placement (i) an aggregate of 2,769,228 shares of the Company’s common stock at a purchase price of $26.00 per share, and (ii) 3,000,000 pre-funded warrants to purchase common stock, at a purchase price of $25.9999 per Pre-Funded Warrant. The Pre-Funded Warrants have an exercise price of $0.0001 per share of common stock. The offering closed on August 22, 2022, resulting in net proceeds of $149.8 million after offering expenses.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2024 Follow-on Public Offering</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January 9, 2024, the Company completed a follow-on offering of its common stock and, in lieu of common stock to certain investors, pre-funded warrants to purchase shares of its common stock. The Company issued and sold 3,884,158 shares of common stock, including full exercise of the underwriters’ over-allotment option to purchase an additional 1,633,663 shares, at a public offering price of $25.25 per share. Additionally, in lieu of common stock to certain investors, the Company issued and sold pre-funded warrants to purchase 8,640,594 shares of its common stock at a public offering price of $25.2499 per pre-funded warrant, which represents the per share public offering price of each share of common stock less the $0.0001 per share exercise price for each pre-funded warrant. The aggregate gross proceeds before deducting underwriting discounts and commissions, and other estimated offering expenses payable by the Company were approximately $316.2 million.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certain offerings mentioned above the Company has issued pre-funded warrants to purchase common stock in lieu of common stock. As the pre-funded warrants are indexed to the Company’s common stock (and otherwise meet the requirements to be classified in equity), the Company recorded the consideration received from the issuance of the pre-funded warrants as additional paid-in capital on the Company’s consolidated balance sheets. The pre-funded warrants are exercisable at any time. The holders of Pre-Funded Warrants may not exercise the warrant if the holder, together with its affiliates, would beneficially own more than 4.99% (or, at the election of the holder, 9.99%) of the number of shares of the Common Stock outstanding immediately after giving effect to such exercise. The holders of Pre-Funded Warrants may increase or decrease such percentages not in excess of 19.99% by providing at least 61 days’ prior notice to the Company.</w:t>
      </w:r>
    </w:p>
    <w:p>
      <w:pPr>
        <w:spacing w:after="0" w:line="8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2024, no pre-funded warrants were exercised. As of June 30, 2024, there were 11,640,594 pre-funded warrants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reflect the application of certain significant accounting policies as described in this note, and elsewhere in the accompanying condensed consolidated financial statements and notes.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its wholly owned subsidiary Kymera Securities Corporation. All intercompany transactions and balances have been eliminated in consolidation.</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of the Company included herein have been prepared in accordance with accounting principles generally accepted in the United States (“GAAP”) as found in the Accounting Standards Codification (“ASC”), Accounting Standards Update (“ASU”) of the Financial Accounting Standards Board (“FASB”) and the rules and regulations of the SEC. Certain information and footnote disclosures normally included in financial statements prepared in accordance with GAAP have been condensed or omitted from this report, as is permitted by such rules and regulations. Accordingly, these condensed consolidated financial statements should be read in conjunction with the Company’s audited consolidated financial statements and the notes thereto for the year ended December 31, 2023 included in the Company’s Annual Report on Form 10-K, filed with the SEC on February 22, 2024.</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on the same basis as the audited consolidated financial statements as of and for the year ended December 31, 2023, and, in the opinion of management, reflect all adjustments necessary, all of which were normal and recurring, for the fair statement of the Company’s financial position as of June 30, 2024, and the results of operations, equity, and cash flows for the six months ended June 30, 2024 and 2023. The results for the three and six months ended June 30, 2024 are not necessarily indicative of the results for the year ended December 31, 2024 or for any future period.</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significant accounting policies used in preparation of these condensed consolidated financial statements for the three and six months ended June 30, 2024 are consistent with those discussed in Note 2 to the consolidated financial statements in the 2023 Annual Report on Form 10-K.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and indicates the level of the fair value hierarchy utilized to determine such fair values as of June 30, 2024 and December 31, 2023 (in thousands):</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7"/>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36,428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36,428</w:t>
            </w:r>
          </w:p>
        </w:tc>
        <w:tc>
          <w:tcPr>
            <w:tcW w:w="100" w:type="dxa"/>
            <w:vAlign w:val="bottom"/>
            <w:shd w:val="clear" w:color="auto" w:fill="CFF0FC"/>
          </w:tcPr>
          <w:p>
            <w:pPr>
              <w:spacing w:after="0"/>
              <w:rPr>
                <w:sz w:val="21"/>
                <w:szCs w:val="21"/>
                <w:color w:val="auto"/>
              </w:rPr>
            </w:pPr>
          </w:p>
        </w:tc>
      </w:tr>
      <w:tr>
        <w:trPr>
          <w:trHeight w:val="239"/>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13,450</w:t>
            </w:r>
          </w:p>
        </w:tc>
        <w:tc>
          <w:tcPr>
            <w:tcW w:w="100" w:type="dxa"/>
            <w:vAlign w:val="bottom"/>
          </w:tcPr>
          <w:p>
            <w:pPr>
              <w:spacing w:after="0"/>
              <w:rPr>
                <w:sz w:val="20"/>
                <w:szCs w:val="20"/>
                <w:color w:val="auto"/>
              </w:rPr>
            </w:pPr>
          </w:p>
        </w:tc>
      </w:tr>
      <w:tr>
        <w:trPr>
          <w:trHeight w:val="247"/>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00" w:type="dxa"/>
            <w:vAlign w:val="bottom"/>
            <w:shd w:val="clear" w:color="auto" w:fill="CFF0FC"/>
          </w:tcPr>
          <w:p>
            <w:pPr>
              <w:spacing w:after="0"/>
              <w:rPr>
                <w:sz w:val="21"/>
                <w:szCs w:val="21"/>
                <w:color w:val="auto"/>
              </w:rPr>
            </w:pPr>
          </w:p>
        </w:tc>
      </w:tr>
      <w:tr>
        <w:trPr>
          <w:trHeight w:val="239"/>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10,960</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10,960</w:t>
            </w:r>
          </w:p>
        </w:tc>
        <w:tc>
          <w:tcPr>
            <w:tcW w:w="100" w:type="dxa"/>
            <w:vAlign w:val="bottom"/>
          </w:tcPr>
          <w:p>
            <w:pPr>
              <w:spacing w:after="0"/>
              <w:rPr>
                <w:sz w:val="20"/>
                <w:szCs w:val="20"/>
                <w:color w:val="auto"/>
              </w:rPr>
            </w:pPr>
          </w:p>
        </w:tc>
      </w:tr>
      <w:tr>
        <w:trPr>
          <w:trHeight w:val="247"/>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164,958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164,958</w:t>
            </w:r>
          </w:p>
        </w:tc>
        <w:tc>
          <w:tcPr>
            <w:tcW w:w="100" w:type="dxa"/>
            <w:vAlign w:val="bottom"/>
          </w:tcPr>
          <w:p>
            <w:pPr>
              <w:spacing w:after="0"/>
              <w:rPr>
                <w:sz w:val="20"/>
                <w:szCs w:val="20"/>
                <w:color w:val="auto"/>
              </w:rPr>
            </w:pPr>
          </w:p>
        </w:tc>
      </w:tr>
      <w:tr>
        <w:trPr>
          <w:trHeight w:val="247"/>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90,727</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90,727</w:t>
            </w:r>
          </w:p>
        </w:tc>
        <w:tc>
          <w:tcPr>
            <w:tcW w:w="100" w:type="dxa"/>
            <w:vAlign w:val="bottom"/>
            <w:shd w:val="clear" w:color="auto" w:fill="CFF0FC"/>
          </w:tcPr>
          <w:p>
            <w:pPr>
              <w:spacing w:after="0"/>
              <w:rPr>
                <w:sz w:val="21"/>
                <w:szCs w:val="21"/>
                <w:color w:val="auto"/>
              </w:rPr>
            </w:pPr>
          </w:p>
        </w:tc>
      </w:tr>
      <w:tr>
        <w:trPr>
          <w:trHeight w:val="239"/>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23,588</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23,588</w:t>
            </w:r>
          </w:p>
        </w:tc>
        <w:tc>
          <w:tcPr>
            <w:tcW w:w="100" w:type="dxa"/>
            <w:vAlign w:val="bottom"/>
          </w:tcPr>
          <w:p>
            <w:pPr>
              <w:spacing w:after="0"/>
              <w:rPr>
                <w:sz w:val="20"/>
                <w:szCs w:val="20"/>
                <w:color w:val="auto"/>
              </w:rPr>
            </w:pPr>
          </w:p>
        </w:tc>
      </w:tr>
      <w:tr>
        <w:trPr>
          <w:trHeight w:val="247"/>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163,068</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163,068</w:t>
            </w:r>
          </w:p>
        </w:tc>
        <w:tc>
          <w:tcPr>
            <w:tcW w:w="100" w:type="dxa"/>
            <w:vAlign w:val="bottom"/>
            <w:shd w:val="clear" w:color="auto" w:fill="CFF0FC"/>
          </w:tcPr>
          <w:p>
            <w:pPr>
              <w:spacing w:after="0"/>
              <w:rPr>
                <w:sz w:val="21"/>
                <w:szCs w:val="21"/>
                <w:color w:val="auto"/>
              </w:rPr>
            </w:pPr>
          </w:p>
        </w:tc>
      </w:tr>
      <w:tr>
        <w:trPr>
          <w:trHeight w:val="23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28,600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28,600</w:t>
            </w:r>
          </w:p>
        </w:tc>
        <w:tc>
          <w:tcPr>
            <w:tcW w:w="100" w:type="dxa"/>
            <w:vAlign w:val="bottom"/>
            <w:shd w:val="clear" w:color="auto" w:fill="CFF0FC"/>
          </w:tcPr>
          <w:p>
            <w:pPr>
              <w:spacing w:after="0"/>
              <w:rPr>
                <w:sz w:val="21"/>
                <w:szCs w:val="21"/>
                <w:color w:val="auto"/>
              </w:rPr>
            </w:pPr>
          </w:p>
        </w:tc>
      </w:tr>
      <w:tr>
        <w:trPr>
          <w:trHeight w:val="239"/>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30,470</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30,470</w:t>
            </w:r>
          </w:p>
        </w:tc>
        <w:tc>
          <w:tcPr>
            <w:tcW w:w="100" w:type="dxa"/>
            <w:vAlign w:val="bottom"/>
          </w:tcPr>
          <w:p>
            <w:pPr>
              <w:spacing w:after="0"/>
              <w:rPr>
                <w:sz w:val="20"/>
                <w:szCs w:val="20"/>
                <w:color w:val="auto"/>
              </w:rPr>
            </w:pPr>
          </w:p>
        </w:tc>
      </w:tr>
      <w:tr>
        <w:trPr>
          <w:trHeight w:val="247"/>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133,375</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133,375</w:t>
            </w:r>
          </w:p>
        </w:tc>
        <w:tc>
          <w:tcPr>
            <w:tcW w:w="100" w:type="dxa"/>
            <w:vAlign w:val="bottom"/>
            <w:shd w:val="clear" w:color="auto" w:fill="CFF0FC"/>
          </w:tcPr>
          <w:p>
            <w:pPr>
              <w:spacing w:after="0"/>
              <w:rPr>
                <w:sz w:val="21"/>
                <w:szCs w:val="21"/>
                <w:color w:val="auto"/>
              </w:rPr>
            </w:pPr>
          </w:p>
        </w:tc>
      </w:tr>
      <w:tr>
        <w:trPr>
          <w:trHeight w:val="24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5,841</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5,841</w:t>
            </w:r>
          </w:p>
        </w:tc>
        <w:tc>
          <w:tcPr>
            <w:tcW w:w="100" w:type="dxa"/>
            <w:vAlign w:val="bottom"/>
          </w:tcPr>
          <w:p>
            <w:pPr>
              <w:spacing w:after="0"/>
              <w:rPr>
                <w:sz w:val="21"/>
                <w:szCs w:val="21"/>
                <w:color w:val="auto"/>
              </w:rPr>
            </w:pPr>
          </w:p>
        </w:tc>
      </w:tr>
      <w:tr>
        <w:trPr>
          <w:trHeight w:val="277"/>
        </w:trPr>
        <w:tc>
          <w:tcPr>
            <w:tcW w:w="53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249,277</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455,183</w:t>
            </w:r>
          </w:p>
        </w:tc>
        <w:tc>
          <w:tcPr>
            <w:tcW w:w="22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704,460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-24765</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9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78,010</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78,010</w:t>
            </w:r>
          </w:p>
        </w:tc>
        <w:tc>
          <w:tcPr>
            <w:tcW w:w="100" w:type="dxa"/>
            <w:vAlign w:val="bottom"/>
            <w:shd w:val="clear" w:color="auto" w:fill="CFF0FC"/>
          </w:tcPr>
          <w:p>
            <w:pPr>
              <w:spacing w:after="0"/>
              <w:rPr>
                <w:sz w:val="21"/>
                <w:szCs w:val="21"/>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27,985</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FF0FC"/>
          </w:tcPr>
          <w:p>
            <w:pPr>
              <w:spacing w:after="0"/>
              <w:rPr>
                <w:sz w:val="21"/>
                <w:szCs w:val="21"/>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23,253</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23,253</w:t>
            </w:r>
          </w:p>
        </w:tc>
        <w:tc>
          <w:tcPr>
            <w:tcW w:w="100" w:type="dxa"/>
            <w:vAlign w:val="bottom"/>
            <w:shd w:val="clear" w:color="auto" w:fill="CFF0FC"/>
          </w:tcPr>
          <w:p>
            <w:pPr>
              <w:spacing w:after="0"/>
              <w:rPr>
                <w:sz w:val="21"/>
                <w:szCs w:val="21"/>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114,384</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114,384</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127,278</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127,278</w:t>
            </w:r>
          </w:p>
        </w:tc>
        <w:tc>
          <w:tcPr>
            <w:tcW w:w="100" w:type="dxa"/>
            <w:vAlign w:val="bottom"/>
            <w:shd w:val="clear" w:color="auto" w:fill="CFF0FC"/>
          </w:tcPr>
          <w:p>
            <w:pPr>
              <w:spacing w:after="0"/>
              <w:rPr>
                <w:sz w:val="21"/>
                <w:szCs w:val="21"/>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28,307</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28,307</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33,127</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33,127</w:t>
            </w:r>
          </w:p>
        </w:tc>
        <w:tc>
          <w:tcPr>
            <w:tcW w:w="100" w:type="dxa"/>
            <w:vAlign w:val="bottom"/>
            <w:shd w:val="clear" w:color="auto" w:fill="CFF0FC"/>
          </w:tcPr>
          <w:p>
            <w:pPr>
              <w:spacing w:after="0"/>
              <w:rPr>
                <w:sz w:val="21"/>
                <w:szCs w:val="21"/>
                <w:color w:val="auto"/>
              </w:rPr>
            </w:pPr>
          </w:p>
        </w:tc>
      </w:tr>
      <w:tr>
        <w:trPr>
          <w:trHeight w:val="26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100" w:type="dxa"/>
            <w:vAlign w:val="bottom"/>
          </w:tcPr>
          <w:p>
            <w:pPr>
              <w:spacing w:after="0"/>
              <w:rPr>
                <w:sz w:val="22"/>
                <w:szCs w:val="22"/>
                <w:color w:val="auto"/>
              </w:rPr>
            </w:pPr>
          </w:p>
        </w:tc>
      </w:tr>
      <w:tr>
        <w:trPr>
          <w:trHeight w:val="270"/>
        </w:trPr>
        <w:tc>
          <w:tcPr>
            <w:tcW w:w="5220" w:type="dxa"/>
            <w:vAlign w:val="bottom"/>
            <w:tcBorders>
              <w:top w:val="single" w:sz="8" w:color="CFF0FC"/>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CFF0FC"/>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136,056</w:t>
            </w:r>
          </w:p>
        </w:tc>
        <w:tc>
          <w:tcPr>
            <w:tcW w:w="240" w:type="dxa"/>
            <w:vAlign w:val="bottom"/>
            <w:tcBorders>
              <w:top w:val="single" w:sz="8" w:color="CFF0FC"/>
              <w:bottom w:val="single" w:sz="8" w:color="CFF0FC"/>
            </w:tcBorders>
            <w:shd w:val="clear" w:color="auto" w:fill="CFF0FC"/>
          </w:tcPr>
          <w:p>
            <w:pPr>
              <w:spacing w:after="0"/>
              <w:rPr>
                <w:sz w:val="23"/>
                <w:szCs w:val="23"/>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303,096</w:t>
            </w:r>
          </w:p>
        </w:tc>
        <w:tc>
          <w:tcPr>
            <w:tcW w:w="220" w:type="dxa"/>
            <w:vAlign w:val="bottom"/>
            <w:tcBorders>
              <w:top w:val="single" w:sz="8" w:color="CFF0FC"/>
              <w:bottom w:val="single" w:sz="8" w:color="CFF0FC"/>
            </w:tcBorders>
            <w:shd w:val="clear" w:color="auto" w:fill="CFF0FC"/>
          </w:tcPr>
          <w:p>
            <w:pPr>
              <w:spacing w:after="0"/>
              <w:rPr>
                <w:sz w:val="23"/>
                <w:szCs w:val="23"/>
                <w:color w:val="auto"/>
              </w:rPr>
            </w:pPr>
          </w:p>
        </w:tc>
        <w:tc>
          <w:tcPr>
            <w:tcW w:w="780" w:type="dxa"/>
            <w:vAlign w:val="bottom"/>
            <w:tcBorders>
              <w:top w:val="single" w:sz="8" w:color="CFF0FC"/>
              <w:bottom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FF0FC"/>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FF0FC"/>
              <w:bottom w:val="single" w:sz="8" w:color="CFF0FC"/>
            </w:tcBorders>
            <w:shd w:val="clear" w:color="auto" w:fill="CFF0FC"/>
          </w:tcPr>
          <w:p>
            <w:pPr>
              <w:spacing w:after="0"/>
              <w:rPr>
                <w:sz w:val="23"/>
                <w:szCs w:val="23"/>
                <w:color w:val="auto"/>
              </w:rPr>
            </w:pPr>
          </w:p>
        </w:tc>
        <w:tc>
          <w:tcPr>
            <w:tcW w:w="240" w:type="dxa"/>
            <w:vAlign w:val="bottom"/>
            <w:tcBorders>
              <w:top w:val="single" w:sz="8" w:color="CFF0FC"/>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439,152</w:t>
            </w:r>
          </w:p>
        </w:tc>
        <w:tc>
          <w:tcPr>
            <w:tcW w:w="100" w:type="dxa"/>
            <w:vAlign w:val="bottom"/>
            <w:tcBorders>
              <w:top w:val="single" w:sz="8" w:color="CFF0FC"/>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-187960</wp:posOffset>
            </wp:positionV>
            <wp:extent cx="603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six months ended June 30, 2024 and the year ended December 31, 2023, there were no transfers in or out of Level 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3" w:name="page14"/>
    <w:bookmarkEnd w:id="13"/>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available-for-sale debt securities held at June 30, 2024 and December 31, 2023 (in thousands):</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3"/>
                <w:szCs w:val="13"/>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87"/>
        </w:trPr>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6"/>
                <w:szCs w:val="16"/>
                <w:color w:val="auto"/>
              </w:rPr>
            </w:pPr>
          </w:p>
        </w:tc>
        <w:tc>
          <w:tcPr>
            <w:tcW w:w="9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3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193,850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(298 )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193,558</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121,559</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(365 )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121,197</w:t>
            </w:r>
          </w:p>
        </w:tc>
        <w:tc>
          <w:tcPr>
            <w:tcW w:w="100" w:type="dxa"/>
            <w:vAlign w:val="bottom"/>
            <w:shd w:val="clear" w:color="auto" w:fill="CFF0FC"/>
          </w:tcPr>
          <w:p>
            <w:pPr>
              <w:spacing w:after="0"/>
              <w:rPr>
                <w:sz w:val="21"/>
                <w:szCs w:val="21"/>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23,588</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297,847</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(1,404 )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296,443</w:t>
            </w:r>
          </w:p>
        </w:tc>
        <w:tc>
          <w:tcPr>
            <w:tcW w:w="100" w:type="dxa"/>
            <w:vAlign w:val="bottom"/>
            <w:shd w:val="clear" w:color="auto" w:fill="CFF0FC"/>
          </w:tcPr>
          <w:p>
            <w:pPr>
              <w:spacing w:after="0"/>
              <w:rPr>
                <w:sz w:val="21"/>
                <w:szCs w:val="21"/>
                <w:color w:val="auto"/>
              </w:rPr>
            </w:pPr>
          </w:p>
        </w:tc>
      </w:tr>
      <w:tr>
        <w:trPr>
          <w:trHeight w:val="20"/>
        </w:trPr>
        <w:tc>
          <w:tcPr>
            <w:tcW w:w="5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636,877</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(2,100 )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634,786</w:t>
            </w:r>
          </w:p>
        </w:tc>
        <w:tc>
          <w:tcPr>
            <w:tcW w:w="100" w:type="dxa"/>
            <w:vAlign w:val="bottom"/>
          </w:tcPr>
          <w:p>
            <w:pPr>
              <w:spacing w:after="0"/>
              <w:rPr>
                <w:sz w:val="20"/>
                <w:szCs w:val="20"/>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1"/>
        </w:trPr>
        <w:tc>
          <w:tcPr>
            <w:tcW w:w="5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24"/>
                <w:szCs w:val="24"/>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87"/>
        </w:trPr>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6"/>
                <w:szCs w:val="16"/>
                <w:color w:val="auto"/>
              </w:rPr>
            </w:pPr>
          </w:p>
        </w:tc>
        <w:tc>
          <w:tcPr>
            <w:tcW w:w="9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3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23,253</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142,948</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(305 )</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142,691</w:t>
            </w:r>
          </w:p>
        </w:tc>
        <w:tc>
          <w:tcPr>
            <w:tcW w:w="100" w:type="dxa"/>
            <w:vAlign w:val="bottom"/>
            <w:shd w:val="clear" w:color="auto" w:fill="CFF0FC"/>
          </w:tcPr>
          <w:p>
            <w:pPr>
              <w:spacing w:after="0"/>
              <w:rPr>
                <w:sz w:val="21"/>
                <w:szCs w:val="21"/>
                <w:color w:val="auto"/>
              </w:rPr>
            </w:pP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160,598</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(306 )</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160,405</w:t>
            </w:r>
          </w:p>
        </w:tc>
        <w:tc>
          <w:tcPr>
            <w:tcW w:w="100" w:type="dxa"/>
            <w:vAlign w:val="bottom"/>
          </w:tcPr>
          <w:p>
            <w:pPr>
              <w:spacing w:after="0"/>
              <w:rPr>
                <w:sz w:val="21"/>
                <w:szCs w:val="21"/>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52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326,907</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(724 )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326,349</w:t>
            </w:r>
          </w:p>
        </w:tc>
        <w:tc>
          <w:tcPr>
            <w:tcW w:w="100" w:type="dxa"/>
            <w:vAlign w:val="bottom"/>
            <w:shd w:val="clear" w:color="auto" w:fill="CFF0FC"/>
          </w:tcPr>
          <w:p>
            <w:pPr>
              <w:spacing w:after="0"/>
              <w:rPr>
                <w:sz w:val="22"/>
                <w:szCs w:val="22"/>
                <w:color w:val="auto"/>
              </w:rPr>
            </w:pPr>
          </w:p>
        </w:tc>
      </w:tr>
      <w:tr>
        <w:trPr>
          <w:trHeight w:val="20"/>
        </w:trPr>
        <w:tc>
          <w:tcPr>
            <w:tcW w:w="5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-1362075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-1362075</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-1362075</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-1362075</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June 30, 2024, the Company held 147 securities that had been in an unrealized loss position for less than 12 months with an aggregate fair value of $527.9 million. As of December 31, 2023, the Company held 109 securities that had been in an unrealized loss position for less than 12 months with an aggregate fair value of $229.7 million. As of June 30, 2024, the Company held 41 securities that had been in an unrealized loss position for greater than 12 months with an aggregate fair value of $91.6 million As of December 31, 2023, the Company held 16 securities that had been in an unrealized loss position for greater than 12 months with an aggregate fair value of $36.6 million.</w:t>
      </w:r>
    </w:p>
    <w:p>
      <w:pPr>
        <w:spacing w:after="0" w:line="2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June 30, 2024 the Company had 134 securities with a fair value of $442.3 million with a contractual maturity of less than 12 months and 61 securities with a fair value of $192.4 million with a contractual maturity of greater than 12 months. As of December 31, 2023 the Company had 124 securities with a fair value of $264.9 million with a contractual maturity of less than 12 months and 27 securities with a fair value of $61.4 million with a contractual maturity of greater than 12 months.</w:t>
      </w:r>
    </w:p>
    <w:p>
      <w:pPr>
        <w:spacing w:after="0" w:line="24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required to determine whether a decline in the fair value below the amortized cost basis of available-for-sale securities is due to credit-related factors. At each reporting date, the Company performs an evaluation of impairment to determine if any unrealized losses are the result of credit losses. Impairment is assessed at the individual security level. Factors considered in determining whether a loss resulted from a credit loss or other factors include the Company’s intent and ability to hold the investment until the recovery of its amortized cost basis, the extent to which the fair value is less than the amortized cost basis, the length of time and extent to which fair value has been less than the cost basis, the financial condition of the issuer, any historical failure of the issuer to make scheduled interest or principal payments, any changes to the rating of the security by a rating agency, any adverse legal or regulatory events affecting the issuer or issuer’s industry, and any significant deterioration in economic conditions.</w:t>
      </w:r>
    </w:p>
    <w:p>
      <w:pPr>
        <w:spacing w:after="0" w:line="25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Unrealized losses on available-for-sale securities presented in the previous table have not been recognized in the condensed consolidated statements of operations because the securities are high credit quality, investment grade securities that the Company does not intend to sell and will not be required to sell prior to their anticipated recovery, and the decline in fair value is attributable to factors other than credit losses. Based on its evaluation, the Company determined it does not have any credit losses related to its available-for-sale securities as of June 30, 2024 and December 31, 2023.</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Collaborations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Terms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July 7, 2020, the Company entered into a collaboration agreement, or the Sanofi Agreement, with Sanofi, to co-develop drug candidates directed to two biological targets. Under the Sanofi Agreement, the Company granted to Sanofi a worldwide exclusive license to develop, manufacture and commercialize certain lead compounds generated during the collaboration directed against IRAK4, or Collaboration Target 1, and one additional undisclosed target in an undisclosed field of use, or Collaboration Target 2. Such license is exercisable on a collaboration target-by-collaboration target basis only after specified milestones. For compounds directed against IRAK4, the field of use includes diagnosis, treatment, cure, mitigation or prevention of any diseases, disorders or conditions, excluding oncology and immuno-oncology.</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Sanofi Agreement, the Company is responsible for discovery and preclinical research and conducting a Phase 1 clinical trial for at least one degrader directed against IRAK4 plus up to three backup degraders. With respect to both targets, Sanofi is responsible for development, manufacturing, and commercialization of product candidates after a specified development milestone occurs with respect to each collaboration candidate.</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pursuant to the Sanofi Agreement, Sanofi will grant to the Company an exclusive option, or Opt-In Right, exercisable on a collaboration target-by-collaboration target basis that will include the right to (i) to fund 50% of the United States development costs for collaboration products directed against such target in the applicable field of use and (ii) share equally in the net profits and net losses of commercializing collaboration products directed against such target in the applicable field of use in the United States. In addition, if the Company exercises the Opt-In Right, Sanofi will grant to the Company an exclusive option, applicable to each collaboration target, which upon exercise will allow the Company to conduct certain co-promotion activities in the field in the United States.</w:t>
      </w:r>
    </w:p>
    <w:p>
      <w:pPr>
        <w:spacing w:after="0" w:line="21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Sanofi Agreement, unless earlier terminated, will expire on a product-by-product basis on the date of expiration of all payment obligations under the Sanofi Agreement with respect to such product. The Company or Sanofi may terminate the agreement upon the other party’s material breach or insolvency or for certain patent challenges. In addition, Sanofi may terminate the Sanofi Agreement for convenience or for a material safety event upon advance prior written notice, and the Company may terminate the Sanofi Agreement with respect to any collaboration candidate if, following Sanofi’s assumption of responsibility for the development, commercialization or manufacturing of collaboration candidates with respect to a particular target, Sanofi ceases to exploit any collaboration candidates directed to such target for a specified period.</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consideration for the exclusive licenses granted to Sanofi under the Sanofi Agreement, Sanofi paid to the Company an upfront payment of $150.0 million. The Company will also be reimbursed for certain research activities for a certain backup degrader under the IRAK4 program as well as contract manufacturing costs for the lead KT-474 program, unless certain criteria are not met for an initial IRAK4 degrader. In addition to the upfront payment and the reimbursements, the Company is eligible to receive certain development milestone payments of up to $1.48 billion in the aggregate, of which more than $1.0 billion relates to the IRAK4 program, upon the achievement of certain developmental or regulatory events. The Company will be eligible to receive certain commercial milestone payments up to $700.0 million in the aggregate, of which $400.0 million relates to the IRAK4 program, which are payable upon the achievement of certain net sales thresholds. The Company will be eligible to receive tiered royalties for each program on net sales ranging from the high-single digits to high teens, subject to low-single digits upward adjustments in certain circumstances.</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November 15, 2022, we entered into an Amended and Restated Collaboration and License Agreement with Sanofi, or the Amended Sanofi Agreement, which amended the Original Sanofi Agreement to revise certain research terms and responsibilities set forth under the Original Sanofi Agreement. The Amended Sanofi Agreement also specifies details around the timing and number of Phase 2 trials required under the terms of the collaboration. The Amended Sanofi Agreement became effective on December 5, 2022.</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Additionally with respect to Sanofi, on December 2, 2022, Sanofi provided the Company with written notice of its intention to advance the collaboration target 1 candidate, KT-474, into Phase 2 clinical trials. In the fourth quarter of 2023, the Company achieved two milestones of $40.0 million and $15.0 million relating to the dosing of the first patient in the Phase 2 clinical trial for the first and second indications, respectively. Further, in July 2024, the Company announced that Sanofi intends to expand the ongoing Phase 2 trials to more rapidly progress towards pivotal studies with the intention of accelerating overall timelines.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September 2023, the Company and Sanofi mutually agreed to cease activities related to Collaboration Target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analyzed the discovery and pre-clinical research activities as well as the exclusive license grants under the Sanofi Agreement and concluded that the arrangement was indicative of a vendor-customer relationship and would be accounted for under ASC 606.</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identified the following material promises under the arrangement: (1) research services for Collaboration Target 1, (2) research license for Collaboration Target 1, (3) exclusive license for Collaboration Target 1, (4) research services for Collaboration Target 2, (5) research license for Collaboration Target 2, (6) exclusive license for Collaboration Target 2, (7) option to extend the research term, and (8) optional research services during the development period.</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determined that Collaboration Targets 1 and 2 are distinct from each other. The research associated with degraders directed to each target is at different stages and the licensed field, should development activities be successful, are different from each other. As such, all promises associated with each target are considered distinct from promises associated with the other target.</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research and development services for each collaboration target were determined not to be distinct from the research license and the exclusive license and have been combined into a single performance obligation for each collaboration target. That is, two performance obligations were identified, the combined research services, research license and exclusive license for Collaboration Target 1 and the combined research services, research license and exclusive license for Collaboration Target 2. The exclusive license for each target is not distinct from the pre-clinical and clinical research and development services under the Sanofi Agreement, primarily due to the highly specialized nature of the research and novel technology involved with developing protein degraders – the pre-clinical activities and studies and first phase 1 clinical trial could not be conducted by another party in the manner required.</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option to extend the research term and optional research services during the development period were evaluated as material rights. The fees associated with each option are at or above the standalone selling price. As such, the underlying options are not performance obligations and fees associated with each option are excluded from the transaction price until the underlying option is exercised.</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determined the total transaction price to be $150.0 million, which consists solely of the upfront payment. All milestone payments and option payments are constrained as the achievement of such milestones are contingent upon the success of the underlying research and development activities and are generally outside the control of the Company. The reimbursement of costs for the IRAK4 backup degrader is also treated as constrained variable consideration as the criteria for reimbursement may not always be met, under which circumstances the Company would be responsible for the costs related to the backup degrader. Upon becoming unconstrained, the reimbursement consideration will be added to the transaction price and allocated to Collaboration Target 1.</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allocated the upfront payment to each performance obligation based on the relative standalone selling price, as follows:</w:t>
      </w:r>
    </w:p>
    <w:p>
      <w:pPr>
        <w:spacing w:after="0" w:line="117"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Target 1: $120.0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Target 2: $30.0 million</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determined the allocation of the $150.0 million transaction price between Collaboration Target 1 and Collaboration Target 2 based on the value of the research and development for the programs from projected research and development costs for each collaboration target plus a developer’s profit and the total potential milestones for each collaboration target.</w:t>
      </w:r>
    </w:p>
    <w:p>
      <w:pPr>
        <w:spacing w:after="0" w:line="176"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Company recognizes revenue associated with each performance obligation as the research and development services are provided using an input method, according to costs incurred as related to the research and development activities for each individual program and the costs expected to be incurred in the future to satisfy that individual performance obligation. The transfer of control occurs over this time period and, in management’s judgment, is the best measure of progress towards satisfying each performance obligation. The amounts received that have not yet been recognized as revenue are deferred as a contract liability on the Company’s consolidated balance sheet and will be recognized over the remaining research and development period until the performance obligation is satisfied. Milestone and reimbursement consideration added to the transaction price will be recognized as revenue with a cumulative catch-up upon becoming unconstrained. The performance obligation associated with Collaboration Target 1 has not been fully satisfied as of June 30, 2024. The performance obligation associated with Collaboration Target 2 has been fully satisfied. In the three months ended June 30, 2024, the Company recognized $25.7 million in revenue under the Sanofi Agreement, all of which was associated with Collaboration Target 1. In the six months ended June 30, 2024, the Company recognized $35.9 million in revenue under the Sanofi Agreement, all of which was associated with Collaboration Target</w:t>
      </w:r>
    </w:p>
    <w:p>
      <w:pPr>
        <w:spacing w:after="0" w:line="5" w:lineRule="exact"/>
        <w:rPr>
          <w:sz w:val="20"/>
          <w:szCs w:val="20"/>
          <w:color w:val="auto"/>
        </w:rPr>
      </w:pPr>
    </w:p>
    <w:p>
      <w:pPr>
        <w:jc w:val="both"/>
        <w:ind w:firstLine="8"/>
        <w:spacing w:after="0" w:line="255" w:lineRule="auto"/>
        <w:tabs>
          <w:tab w:leader="none" w:pos="25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three months ended June 30, 2023, the Company recognized $9.9 million in revenue under the Sanofi Agreement, of which $8.8 million was associated with Collaboration Target 1 and $1.1 million was associated with Collaboration Target 2. In the six months ended June 30, 2023, the Company recognized $17.6 million in revenue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under the Sanofi Agreement, of which $15.9 million was associated with Collaboration Target 1 and $1.7 million was associated with Collaboration Target</w:t>
      </w:r>
    </w:p>
    <w:p>
      <w:pPr>
        <w:spacing w:after="0" w:line="27" w:lineRule="exact"/>
        <w:rPr>
          <w:sz w:val="20"/>
          <w:szCs w:val="20"/>
          <w:color w:val="auto"/>
        </w:rPr>
      </w:pPr>
    </w:p>
    <w:p>
      <w:pPr>
        <w:jc w:val="both"/>
        <w:ind w:firstLine="8"/>
        <w:spacing w:after="0" w:line="251" w:lineRule="auto"/>
        <w:tabs>
          <w:tab w:leader="none" w:pos="18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$35.9 million of revenue recognized in the six months ended June 30, 2024, $32.6 million was recognized from amounts that were recorded in deferred revenue as of December 31, 2023. The aggregate amount of the transaction price allocated to the Company’s unsatisfied performance obligations and recorded in deferred revenue at June 30, 2024 and December 31, 2023 is $22.4 million and $54.7 million, respectively. This decrease was the result of on-going activity under the collaboration agreement as well as a $19.4 million cumulative catch-up to revenue related to the change in expected future costs to satisfy the Company's performance obligation under Collaboration Target 1 that occurred during the three months ended June 30, 2024. During the six months ended June 30, 2024, the Company received $5.8 million in cost reimbursement payments. As of June 30, 2024, the Company recorded a contract asset for unbilled accounts receivable of $1.7 million related to reimbursable research and development costs under the Sanofi Agreement for activities performed during the second quarter of 2024. The Company will recognize the deferred revenue related to the research and development services based on a cost input method, as described, over the remaining research term, which is a maximum of 1.3 years as of June 30, 2024.</w:t>
      </w:r>
    </w:p>
    <w:p>
      <w:pPr>
        <w:spacing w:after="0" w:line="23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Any additional consideration related to performance-based milestones will be recognized when the risk of probable reversal is resolved, at which point the Company shall adjust the transaction price determined for the agreement accordingly and recognize revenue on a cumulative-catch up basis, reallocating the revised arrangement consideration to the performance obligations. Any consideration related to sales milestone payments and royalties will be recognized when the related milestone events or sales occur and therefore are recognized at the later of when the related sales occur or the relevant performance obligation is satisfied. As part of its evaluation of constraining the milestones, the Company considered numerous factors, including the fact that the achievement of the research and development milestones are contingent upon the results of the underlying research and development activities and are thus outside of the control of the Company. In the fourth quarter of 2023, the Company achieved two development milestones relating to the dosing of the first patient in the KT-474 Phase 2 clinical trials for the first and second indications, respectively. In connection with these milestones the Company unconstrained $55.0 million of consideration in the fourth quarter of 2023. During the three and six month periods ended June 30, 2024, the Company recognized $6.4 million and $8.8 million of revenue from the unconstrained milestones, respectively. As of June 30, 2024, $49.1 million of the $55.0 million of consideration has been recorded as revenue, with the remaining $5.9 million recorded as deferred revenue.</w:t>
      </w: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Vertex Agreement</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May 9, 2019 (the “Effective Date”), the Company entered into a collaboration agreement (the “Vertex Agreement”) with Vertex to advance small molecule protein degraders against up to six targets. Under the Vertex Agreement, Vertex had the exclusive option to license the rights to the product candidates developed for the designated targets at which point Vertex would control development and commercialization. Pursuant to the Vertex Agreement, the Company was only responsible for discovery and preclinical research on the targets, and Vertex was responsible for development, manufacturing, and commercialization of the product candidates after it exercises its option to license. The initial research term of the collaboration was four (4) years, extendable for an additional one (1) year period upon mutual agreement by the parties and payment by Vertex of certain per-target fees.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was eligible to receive up to $170.0 million in payments per target, including development, regulatory and commercial milestones as well as option exercise payments. In addition, Vertex was obligated to pay the Company tiered royalties on future net sales on any products that may result from the Vertex Agreement. None of the payments under the Vertex Agreement are refundable. The Company may also perform follow-on research for an optioned target upon Vertex’s request and at Vertex’s expense.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term of the Vertex Agreement began on the Effective Date and expired upon the completion of the initial research term on May 9, 2023.</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Vertex provided the Company with a non-refundable upfront payment of $50.0 million and purchased 3,059,695 shares of the Company’s Series B-1 Convertible Preferred Stock (the “Series B-1 Preferred Stock”) at $6.54 a share, pursuant to a separate, but simultaneously executed Share Purchase Agreement. The shares were purchased at a premium of $5.9 million, which was included in the transaction price and will be recognized as revenue over the period of performance. As a result of this purchase, Vertex was considered a related party. Vertex is no longer considered a related party.</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analyzed the joint research activities required under the Vertex Agreement and concluded that the arrangement was indicative of a vendor-customer relationship and would be accounted for under ASC 606.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identified the following material promises under the arrangement: (1) the non-exclusive, royalty-free research license; (2) the research and development services to be performed on up to six targets; and (3) the option to license each of the targets for development, manufacturing, and commercialization efforts. The research and development services were determined not to be distinct from the research and development license and have been combined into a single performance obligation. The Company determined that the option to license the targets in the future was not priced at a discount, and that the option exercise fee for each target is at or above the standalone selling price for research at this stage of development; as such, the options and the underlying licenses are excluded from the performance obligation and the option exercise fees are excluded from the transaction price until the underlying option is exercised.</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part of its evaluation of constraining the research and development milestones, the Company considered numerous factors, including the fact that the achievement of the research and development milestones is contingent upon the results of the underlying research and development activities and is thus outside of the control of the Company.</w:t>
      </w:r>
    </w:p>
    <w:p>
      <w:pPr>
        <w:spacing w:after="0" w:line="176" w:lineRule="exact"/>
        <w:rPr>
          <w:sz w:val="20"/>
          <w:szCs w:val="20"/>
          <w:color w:val="auto"/>
        </w:rPr>
      </w:pPr>
    </w:p>
    <w:p>
      <w:pPr>
        <w:jc w:val="both"/>
        <w:ind w:firstLine="515"/>
        <w:spacing w:after="0" w:line="256" w:lineRule="auto"/>
        <w:rPr>
          <w:sz w:val="20"/>
          <w:szCs w:val="20"/>
          <w:color w:val="auto"/>
        </w:rPr>
      </w:pPr>
      <w:r>
        <w:rPr>
          <w:rFonts w:ascii="Times New Roman" w:cs="Times New Roman" w:eastAsia="Times New Roman" w:hAnsi="Times New Roman"/>
          <w:sz w:val="18"/>
          <w:szCs w:val="18"/>
          <w:color w:val="auto"/>
        </w:rPr>
        <w:t>At the commencement of the arrangement, two units of accounting were identified: the issuance of 3,059,695 shares of the Series B-1 Preferred Stock and the research activities the Company will perform over the Research Term. The Company determined the total transaction price to be $55.9 million, which consists of $5.9 million attributed to the premium from the shares of Series B-1 Preferred Stock sold to Vertex and the $50.0 million upfront payment. To determine the fair value of the Series B-1 Preferred Stock issued to Vertex, the Company performed a valuation of the shares of the Company’s common and preferred stock, which took into consideration recent financings, and the Company’s recent development and future exit strategies, as well as a discount for lack of marketability.</w:t>
      </w:r>
    </w:p>
    <w:p>
      <w:pPr>
        <w:spacing w:after="0" w:line="187" w:lineRule="exact"/>
        <w:rPr>
          <w:sz w:val="20"/>
          <w:szCs w:val="20"/>
          <w:color w:val="auto"/>
        </w:rPr>
      </w:pPr>
    </w:p>
    <w:p>
      <w:pPr>
        <w:jc w:val="both"/>
        <w:ind w:firstLine="515"/>
        <w:spacing w:after="0" w:line="253" w:lineRule="auto"/>
        <w:rPr>
          <w:sz w:val="20"/>
          <w:szCs w:val="20"/>
          <w:color w:val="auto"/>
        </w:rPr>
      </w:pPr>
      <w:r>
        <w:rPr>
          <w:rFonts w:ascii="Times New Roman" w:cs="Times New Roman" w:eastAsia="Times New Roman" w:hAnsi="Times New Roman"/>
          <w:sz w:val="18"/>
          <w:szCs w:val="18"/>
          <w:color w:val="auto"/>
        </w:rPr>
        <w:t>The Company recognizes revenue associated with the performance obligation as the research and development services are provided using an input method, according to the costs incurred as related to the research and development activities on each program and the costs expected to be incurred in the future to satisfy the performance obligation. The transfer of control occurs over this time period and, in management’s judgment, is the best measure of progress towards satisfying the performance obligation. The Vertex collaboration agreement expired upon completion of the initial research term in May of 2023. Accordingly, the Company fully satisfied its performance obligation and recognized all remaining deferred revenue associated with the Vertex collaboration in May 2023. No revenue was recognized during the three and six months ended June 30, 2024, under the Vertex Agreement. During the three and six months ended June 30, 2023, the Company recognized $6.6 million and $8.4 million respectively under the Vertex Agreement, all of which was included in deferred revenue as of December 31, 2022. There were no unsatisfied performance obligations as of June 30, 2024. The aggregate amount of the transaction price allocated to the Company’s unsatisfied performance obligation and recorded in deferred revenue is $0 at both June 30, 2024 and December 31, 2023.</w:t>
      </w:r>
    </w:p>
    <w:p>
      <w:pPr>
        <w:spacing w:after="0" w:line="19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accounts receivable, contract assets and contract liabilities for the six months ended June 30, 2024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87"/>
        </w:trPr>
        <w:tc>
          <w:tcPr>
            <w:tcW w:w="4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and contract assets:</w:t>
            </w:r>
          </w:p>
        </w:tc>
        <w:tc>
          <w:tcPr>
            <w:tcW w:w="18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Billed receivables - Sanofi</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6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w:t>
            </w:r>
          </w:p>
        </w:tc>
        <w:tc>
          <w:tcPr>
            <w:tcW w:w="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(20,792 )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Unbilled receivables - Sanofi</w:t>
            </w: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4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4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(5,792 )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accounts receivable and contract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18,762</w:t>
            </w:r>
          </w:p>
        </w:tc>
        <w:tc>
          <w:tcPr>
            <w:tcW w:w="4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9,526</w:t>
            </w:r>
          </w:p>
        </w:tc>
        <w:tc>
          <w:tcPr>
            <w:tcW w:w="4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(26,584 )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Sanofi</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54,651</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(35,937 )</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54,651</w:t>
            </w:r>
          </w:p>
        </w:tc>
        <w:tc>
          <w:tcPr>
            <w:tcW w:w="44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42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(35,937 )</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22,448</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872"/>
        </w:trPr>
        <w:tc>
          <w:tcPr>
            <w:tcW w:w="45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4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-1748155</wp:posOffset>
            </wp:positionV>
            <wp:extent cx="768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-1748155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-1748155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-1087755</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-1070610</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-1087755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-1070610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-1087755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-1070610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consisted of the following as of June 30, 2024 and December 31, 2023 (in thousands):</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23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and office equipment under finance right-of-use asset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80" w:type="dxa"/>
            <w:vAlign w:val="bottom"/>
            <w:shd w:val="clear" w:color="auto" w:fill="CFF0FC"/>
          </w:tcPr>
          <w:p>
            <w:pPr>
              <w:spacing w:after="0"/>
              <w:rPr>
                <w:sz w:val="20"/>
                <w:szCs w:val="20"/>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80" w:type="dxa"/>
            <w:vAlign w:val="bottom"/>
          </w:tcPr>
          <w:p>
            <w:pPr>
              <w:spacing w:after="0"/>
              <w:rPr>
                <w:sz w:val="20"/>
                <w:szCs w:val="20"/>
                <w:color w:val="auto"/>
              </w:rPr>
            </w:pP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shd w:val="clear" w:color="auto" w:fill="CFF0FC"/>
          </w:tcPr>
          <w:p>
            <w:pPr>
              <w:spacing w:after="0"/>
              <w:rPr>
                <w:sz w:val="21"/>
                <w:szCs w:val="21"/>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Furniture &amp; fixtures</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80" w:type="dxa"/>
            <w:vAlign w:val="bottom"/>
          </w:tcPr>
          <w:p>
            <w:pPr>
              <w:spacing w:after="0"/>
              <w:rPr>
                <w:sz w:val="20"/>
                <w:szCs w:val="20"/>
                <w:color w:val="auto"/>
              </w:rPr>
            </w:pP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43,953</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7,802</w:t>
            </w:r>
          </w:p>
        </w:tc>
        <w:tc>
          <w:tcPr>
            <w:tcW w:w="80" w:type="dxa"/>
            <w:vAlign w:val="bottom"/>
            <w:shd w:val="clear" w:color="auto" w:fill="CFF0FC"/>
          </w:tcPr>
          <w:p>
            <w:pPr>
              <w:spacing w:after="0"/>
              <w:rPr>
                <w:sz w:val="21"/>
                <w:szCs w:val="21"/>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Assets not yet in service</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37,303</w:t>
            </w:r>
          </w:p>
        </w:tc>
        <w:tc>
          <w:tcPr>
            <w:tcW w:w="80" w:type="dxa"/>
            <w:vAlign w:val="bottom"/>
          </w:tcPr>
          <w:p>
            <w:pPr>
              <w:spacing w:after="0"/>
              <w:rPr>
                <w:sz w:val="20"/>
                <w:szCs w:val="20"/>
                <w:color w:val="auto"/>
              </w:rPr>
            </w:pPr>
          </w:p>
        </w:tc>
      </w:tr>
      <w:tr>
        <w:trPr>
          <w:trHeight w:val="241"/>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64,210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58,574</w:t>
            </w:r>
          </w:p>
        </w:tc>
        <w:tc>
          <w:tcPr>
            <w:tcW w:w="80" w:type="dxa"/>
            <w:vAlign w:val="bottom"/>
            <w:shd w:val="clear" w:color="auto" w:fill="CFF0FC"/>
          </w:tcPr>
          <w:p>
            <w:pPr>
              <w:spacing w:after="0"/>
              <w:rPr>
                <w:sz w:val="20"/>
                <w:szCs w:val="20"/>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(12,475 )</w:t>
            </w: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(10,440 )</w:t>
            </w:r>
          </w:p>
        </w:tc>
      </w:tr>
      <w:tr>
        <w:trPr>
          <w:trHeight w:val="277"/>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51,735</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48,134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-25400</wp:posOffset>
            </wp:positionV>
            <wp:extent cx="514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514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months ended June 30, 2024 and 2023 was $1.9 million and $0.9 million, respectively. Depreciation expense for the six months ended June 30, 2024 and 2023 was $3.4 million and $1.8 million, respectively.</w:t>
      </w:r>
    </w:p>
    <w:p>
      <w:pPr>
        <w:spacing w:after="0" w:line="162" w:lineRule="exact"/>
        <w:rPr>
          <w:sz w:val="20"/>
          <w:szCs w:val="20"/>
          <w:color w:val="auto"/>
        </w:rPr>
      </w:pPr>
    </w:p>
    <w:p>
      <w:pPr>
        <w:ind w:right="320" w:firstLine="450"/>
        <w:spacing w:after="0" w:line="282" w:lineRule="auto"/>
        <w:rPr>
          <w:sz w:val="20"/>
          <w:szCs w:val="20"/>
          <w:color w:val="auto"/>
        </w:rPr>
      </w:pPr>
      <w:r>
        <w:rPr>
          <w:rFonts w:ascii="Times New Roman" w:cs="Times New Roman" w:eastAsia="Times New Roman" w:hAnsi="Times New Roman"/>
          <w:sz w:val="18"/>
          <w:szCs w:val="18"/>
          <w:color w:val="auto"/>
        </w:rPr>
        <w:t>Included in property and equipment is lab and office equipment right-of-use assets under finance leases with a cost basis of $5.7 million and $6.7 million and accumulated amortization expense of $3.8 million and $4.1 million as of June 30, 2024 and December 31, 2023, respectively.</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Amortization expense related to right-of-use assets during the three months ended June 30, 2024 and 2023 was $0.4 million and $0.4 million, respectively. Amortization expense related to right-of-use assets during the six months ended June 30, 2024 and 2023 was $0.8 million and $0.7 million, respectively.</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October 2019, the Company entered into a noncancelable facility lease agreement (the “2019 Lease”) for 34,522 square feet of research and development and office space in Watertown, Massachusetts. The term of the 2019 Lease is 120 months and expires on March 31, 2030. The 2019 Lease has an option to be extended for an additional five years. The lease is not reasonably certain to be extended and as such the additional term is not included in the measurement of the lease. The 2019 Lease includes a rent escalation clause, and rent expense is being recorded on a straight-line basis. In accordance with the lease agreement, the Company is required to maintain a security deposit and provided a letter of credit to the landlord, which is recorded in restricted cash as of June 30, 2024 and December 31, 2023. The letter of credit totaled $1.3 million and $1.3 million as of June 30, 2024 and December 31, 2023, respectively.</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December 2021, the Company entered into a noncancelable lease (the “2021 Lease”) for 100,624 square feet of office and laboratory space in Watertown, Massachusetts, which the Company began occupying in February 2024. The 2021 Lease is subject to base rent of $0.8 million per month beginning two months after the commencement date, plus the Company’s ratable share of taxes, maintenance and other operating expenses. Base rent is subject to a 3% annual increase over the lease term of approximately 134 months following the commencement date. The Company also has two consecutive options to extend the term of the lease for five years each at then-market rates. The 2021 Lease also includes a tenant improvement allowance of approximately $20.1 million. In connection with the signing of the 2021 Lease, the Company issued a letter of credit for $4.5 million which is classified as restricted cash as of June 30, 2024 and December 31, 2023.</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2021 Lease required the landlord to build-out the base building prior to the construction of the Company’s premises. The Company concluded the accounting commencement date occurred when the landlord completed the build-out of the base building and control passed to the Company, which occurred in early January 2023. The Company assessed the classification of the 2021 Lease at the accounting commencement date and concluded the lease should be accounted for as an operating lease. The Company recorded an operating lease liability of $48.9 million, measured as the present value of the remaining lease payments discounted using the incremental borrowing rate as of the accounting commencement date. The Company recorded an operating lease right-of-use asset of $48.9 million, measured as the present value of the remaining lease payments, net of the tenant incentives.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9" w:name="page20"/>
    <w:bookmarkEnd w:id="19"/>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Company concluded the improvements paid for by the landlord in connection with the tenant improvement allowance represent lessee assets and therefore recorded $20.1 million of leasehold improvements in property and equipment. The Company recorded an additional $13.2 million of leasehold improvements in excess of the tenant improvement allowance, all of which were placed in service as of June 30, 2024.</w:t>
      </w:r>
    </w:p>
    <w:p>
      <w:pPr>
        <w:spacing w:after="0" w:line="39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Upon occupancy of the 2021 Lease facility in February of 2024, the Company exited the 2019 Lease facility and is actively looking to sublease the entire facility for the remaining noncancellable lease term through March 31, 2030. These actions resulted in an impairment charge of $4.9 million in the six months ended June 30, 2024. The Company continues to evaluate the potential recovery of the ROU asset under sublease scenarios, and thus it is possible that additional impairments could be identified in future periods, and such amounts could be material.</w:t>
      </w:r>
    </w:p>
    <w:p>
      <w:pPr>
        <w:spacing w:after="0" w:line="180" w:lineRule="exact"/>
        <w:rPr>
          <w:sz w:val="20"/>
          <w:szCs w:val="20"/>
          <w:color w:val="auto"/>
        </w:rPr>
      </w:pPr>
    </w:p>
    <w:p>
      <w:pPr>
        <w:jc w:val="both"/>
        <w:ind w:right="140" w:firstLine="749"/>
        <w:spacing w:after="0" w:line="261" w:lineRule="auto"/>
        <w:rPr>
          <w:sz w:val="20"/>
          <w:szCs w:val="20"/>
          <w:color w:val="auto"/>
        </w:rPr>
      </w:pPr>
      <w:r>
        <w:rPr>
          <w:rFonts w:ascii="Times New Roman" w:cs="Times New Roman" w:eastAsia="Times New Roman" w:hAnsi="Times New Roman"/>
          <w:sz w:val="18"/>
          <w:szCs w:val="18"/>
          <w:color w:val="auto"/>
        </w:rPr>
        <w:t>The impairment charge reduces the carrying value of the associated ROU asset, leasehold improvements and certain furniture and fixture assets that remained in the facility to their estimated fair values. The fair values are estimated using a discounted cash flows approach based on forecasted future cash flows expected to be derived from the property based on current sublease market rent, which is considered a level 3 input in the fair value hierarchy, and other key assumptions such as future sublease market conditions and the discount rate.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finance lease obligations consist of certain property and equipment financed through finance leases.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the lease costs for the three and six months ended June 30, 2024 and 2023, were as follows (in thousands):</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2320" w:type="dxa"/>
            <w:vAlign w:val="bottom"/>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43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3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Pr>
          <w:p>
            <w:pPr>
              <w:spacing w:after="0"/>
              <w:rPr>
                <w:sz w:val="14"/>
                <w:szCs w:val="14"/>
                <w:color w:val="auto"/>
              </w:rPr>
            </w:pPr>
          </w:p>
        </w:tc>
      </w:tr>
      <w:tr>
        <w:trPr>
          <w:trHeight w:val="237"/>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80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06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2,521</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7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100" w:type="dxa"/>
            <w:vAlign w:val="bottom"/>
            <w:shd w:val="clear" w:color="auto" w:fill="CFF0FC"/>
          </w:tcPr>
          <w:p>
            <w:pPr>
              <w:spacing w:after="0"/>
              <w:rPr>
                <w:sz w:val="20"/>
                <w:szCs w:val="20"/>
                <w:color w:val="auto"/>
              </w:rPr>
            </w:pPr>
          </w:p>
        </w:tc>
      </w:tr>
      <w:tr>
        <w:trPr>
          <w:trHeight w:val="23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costs:</w:t>
            </w: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 of right-to-use assets, finance leases</w:t>
            </w:r>
          </w:p>
        </w:tc>
        <w:tc>
          <w:tcPr>
            <w:tcW w:w="80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shd w:val="clear" w:color="auto" w:fill="CFF0FC"/>
          </w:tcPr>
          <w:p>
            <w:pPr>
              <w:spacing w:after="0"/>
              <w:rPr>
                <w:sz w:val="21"/>
                <w:szCs w:val="21"/>
                <w:color w:val="auto"/>
              </w:rPr>
            </w:pPr>
          </w:p>
        </w:tc>
      </w:tr>
      <w:tr>
        <w:trPr>
          <w:trHeight w:val="239"/>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for finance lease liabilities</w:t>
            </w:r>
          </w:p>
        </w:tc>
        <w:tc>
          <w:tcPr>
            <w:tcW w:w="8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0"/>
                <w:szCs w:val="20"/>
                <w:color w:val="auto"/>
              </w:rPr>
            </w:pPr>
          </w:p>
        </w:tc>
      </w:tr>
      <w:tr>
        <w:trPr>
          <w:trHeight w:val="243"/>
        </w:trPr>
        <w:tc>
          <w:tcPr>
            <w:tcW w:w="4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80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2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2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w:t>
            </w:r>
          </w:p>
        </w:tc>
        <w:tc>
          <w:tcPr>
            <w:tcW w:w="106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3,155</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8,466</w:t>
            </w:r>
          </w:p>
        </w:tc>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6,317</w:t>
            </w:r>
          </w:p>
        </w:tc>
        <w:tc>
          <w:tcPr>
            <w:tcW w:w="100" w:type="dxa"/>
            <w:vAlign w:val="bottom"/>
          </w:tcPr>
          <w:p>
            <w:pPr>
              <w:spacing w:after="0"/>
              <w:rPr>
                <w:sz w:val="20"/>
                <w:szCs w:val="20"/>
                <w:color w:val="auto"/>
              </w:rPr>
            </w:pPr>
          </w:p>
        </w:tc>
      </w:tr>
      <w:tr>
        <w:trPr>
          <w:trHeight w:val="20"/>
        </w:trPr>
        <w:tc>
          <w:tcPr>
            <w:tcW w:w="4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-187960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-187960</wp:posOffset>
            </wp:positionV>
            <wp:extent cx="596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-187960</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Supplemental cash flow information relating to the Company’s leases for the six months ended June 30, 2024 and 2023, were as follows (in thousands):</w:t>
      </w:r>
    </w:p>
    <w:p>
      <w:pPr>
        <w:spacing w:after="0" w:line="196" w:lineRule="exact"/>
        <w:rPr>
          <w:sz w:val="20"/>
          <w:szCs w:val="20"/>
          <w:color w:val="auto"/>
        </w:rPr>
      </w:pPr>
    </w:p>
    <w:p>
      <w:pPr>
        <w:jc w:val="center"/>
        <w:ind w:left="47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474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48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05"/>
        </w:trPr>
        <w:tc>
          <w:tcPr>
            <w:tcW w:w="482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Cash paid for amounts included in the measurement</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48"/>
        </w:trPr>
        <w:tc>
          <w:tcPr>
            <w:tcW w:w="4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of lease liabilities: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80" w:type="dxa"/>
            <w:vAlign w:val="bottom"/>
          </w:tcPr>
          <w:p>
            <w:pPr>
              <w:spacing w:after="0"/>
              <w:rPr>
                <w:sz w:val="20"/>
                <w:szCs w:val="20"/>
                <w:color w:val="auto"/>
              </w:rPr>
            </w:pPr>
          </w:p>
        </w:tc>
      </w:tr>
      <w:tr>
        <w:trPr>
          <w:trHeight w:val="247"/>
        </w:trPr>
        <w:tc>
          <w:tcPr>
            <w:tcW w:w="4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cash flows used in finance leases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80" w:type="dxa"/>
            <w:vAlign w:val="bottom"/>
            <w:shd w:val="clear" w:color="auto" w:fill="CFF0FC"/>
          </w:tcPr>
          <w:p>
            <w:pPr>
              <w:spacing w:after="0"/>
              <w:rPr>
                <w:sz w:val="21"/>
                <w:szCs w:val="21"/>
                <w:color w:val="auto"/>
              </w:rPr>
            </w:pPr>
          </w:p>
        </w:tc>
      </w:tr>
      <w:tr>
        <w:trPr>
          <w:trHeight w:val="234"/>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cash flows used in finance leases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20"/>
                <w:szCs w:val="20"/>
                <w:color w:val="auto"/>
              </w:rPr>
            </w:pPr>
          </w:p>
        </w:tc>
      </w:tr>
    </w:tbl>
    <w:p>
      <w:pPr>
        <w:spacing w:after="0" w:line="2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Weighted average remaining lease terms and discount rates as of June 30, 2024 and 2023 were as follows:</w:t>
      </w:r>
    </w:p>
    <w:p>
      <w:pPr>
        <w:spacing w:after="0" w:line="232" w:lineRule="exact"/>
        <w:rPr>
          <w:sz w:val="20"/>
          <w:szCs w:val="20"/>
          <w:color w:val="auto"/>
        </w:rPr>
      </w:pPr>
    </w:p>
    <w:p>
      <w:pPr>
        <w:jc w:val="center"/>
        <w:ind w:left="47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47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37"/>
        </w:trPr>
        <w:tc>
          <w:tcPr>
            <w:tcW w:w="1700" w:type="dxa"/>
            <w:vAlign w:val="bottom"/>
          </w:tcPr>
          <w:p>
            <w:pPr>
              <w:spacing w:after="0"/>
              <w:rPr>
                <w:sz w:val="20"/>
                <w:szCs w:val="20"/>
                <w:color w:val="auto"/>
              </w:rPr>
            </w:pPr>
          </w:p>
        </w:tc>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Remaining lease term:</w:t>
            </w:r>
          </w:p>
        </w:tc>
        <w:tc>
          <w:tcPr>
            <w:tcW w:w="20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4"/>
        </w:trPr>
        <w:tc>
          <w:tcPr>
            <w:tcW w:w="1700" w:type="dxa"/>
            <w:vAlign w:val="bottom"/>
          </w:tcPr>
          <w:p>
            <w:pPr>
              <w:spacing w:after="0"/>
              <w:rPr>
                <w:sz w:val="20"/>
                <w:szCs w:val="20"/>
                <w:color w:val="auto"/>
              </w:rPr>
            </w:pPr>
          </w:p>
        </w:tc>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w:t>
            </w:r>
          </w:p>
        </w:tc>
        <w:tc>
          <w:tcPr>
            <w:tcW w:w="20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10.03 years</w:t>
            </w:r>
          </w:p>
        </w:tc>
        <w:tc>
          <w:tcPr>
            <w:tcW w:w="1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10.61 years</w:t>
            </w:r>
          </w:p>
        </w:tc>
        <w:tc>
          <w:tcPr>
            <w:tcW w:w="1680" w:type="dxa"/>
            <w:vAlign w:val="bottom"/>
          </w:tcPr>
          <w:p>
            <w:pPr>
              <w:spacing w:after="0"/>
              <w:rPr>
                <w:sz w:val="20"/>
                <w:szCs w:val="20"/>
                <w:color w:val="auto"/>
              </w:rPr>
            </w:pPr>
          </w:p>
        </w:tc>
      </w:tr>
      <w:tr>
        <w:trPr>
          <w:trHeight w:val="252"/>
        </w:trPr>
        <w:tc>
          <w:tcPr>
            <w:tcW w:w="1700" w:type="dxa"/>
            <w:vAlign w:val="bottom"/>
          </w:tcPr>
          <w:p>
            <w:pPr>
              <w:spacing w:after="0"/>
              <w:rPr>
                <w:sz w:val="21"/>
                <w:szCs w:val="21"/>
                <w:color w:val="auto"/>
              </w:rPr>
            </w:pPr>
          </w:p>
        </w:tc>
        <w:tc>
          <w:tcPr>
            <w:tcW w:w="2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Finance lease</w:t>
            </w:r>
          </w:p>
        </w:tc>
        <w:tc>
          <w:tcPr>
            <w:tcW w:w="204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2.27 years</w:t>
            </w:r>
          </w:p>
        </w:tc>
        <w:tc>
          <w:tcPr>
            <w:tcW w:w="14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2.21 years</w:t>
            </w:r>
          </w:p>
        </w:tc>
        <w:tc>
          <w:tcPr>
            <w:tcW w:w="1680" w:type="dxa"/>
            <w:vAlign w:val="bottom"/>
          </w:tcPr>
          <w:p>
            <w:pPr>
              <w:spacing w:after="0"/>
              <w:rPr>
                <w:sz w:val="21"/>
                <w:szCs w:val="21"/>
                <w:color w:val="auto"/>
              </w:rPr>
            </w:pPr>
          </w:p>
        </w:tc>
      </w:tr>
      <w:tr>
        <w:trPr>
          <w:trHeight w:val="234"/>
        </w:trPr>
        <w:tc>
          <w:tcPr>
            <w:tcW w:w="170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20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38"/>
        </w:trPr>
        <w:tc>
          <w:tcPr>
            <w:tcW w:w="1700" w:type="dxa"/>
            <w:vAlign w:val="bottom"/>
          </w:tcPr>
          <w:p>
            <w:pPr>
              <w:spacing w:after="0"/>
              <w:rPr>
                <w:sz w:val="20"/>
                <w:szCs w:val="20"/>
                <w:color w:val="auto"/>
              </w:rPr>
            </w:pPr>
          </w:p>
        </w:tc>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w:t>
            </w:r>
          </w:p>
        </w:tc>
        <w:tc>
          <w:tcPr>
            <w:tcW w:w="3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8.73 %</w:t>
            </w:r>
          </w:p>
        </w:tc>
        <w:tc>
          <w:tcPr>
            <w:tcW w:w="3160" w:type="dxa"/>
            <w:vAlign w:val="bottom"/>
            <w:gridSpan w:val="3"/>
          </w:tcPr>
          <w:p>
            <w:pPr>
              <w:jc w:val="right"/>
              <w:ind w:right="1600"/>
              <w:spacing w:after="0"/>
              <w:rPr>
                <w:sz w:val="20"/>
                <w:szCs w:val="20"/>
                <w:color w:val="auto"/>
              </w:rPr>
            </w:pPr>
            <w:r>
              <w:rPr>
                <w:rFonts w:ascii="Times New Roman" w:cs="Times New Roman" w:eastAsia="Times New Roman" w:hAnsi="Times New Roman"/>
                <w:sz w:val="18"/>
                <w:szCs w:val="18"/>
                <w:color w:val="auto"/>
              </w:rPr>
              <w:t>8.82 %</w:t>
            </w:r>
          </w:p>
        </w:tc>
      </w:tr>
      <w:tr>
        <w:trPr>
          <w:trHeight w:val="243"/>
        </w:trPr>
        <w:tc>
          <w:tcPr>
            <w:tcW w:w="1700" w:type="dxa"/>
            <w:vAlign w:val="bottom"/>
          </w:tcPr>
          <w:p>
            <w:pPr>
              <w:spacing w:after="0"/>
              <w:rPr>
                <w:sz w:val="21"/>
                <w:szCs w:val="21"/>
                <w:color w:val="auto"/>
              </w:rPr>
            </w:pPr>
          </w:p>
        </w:tc>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w:t>
            </w:r>
          </w:p>
        </w:tc>
        <w:tc>
          <w:tcPr>
            <w:tcW w:w="3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8.14 %</w:t>
            </w:r>
          </w:p>
        </w:tc>
        <w:tc>
          <w:tcPr>
            <w:tcW w:w="3160" w:type="dxa"/>
            <w:vAlign w:val="bottom"/>
            <w:gridSpan w:val="3"/>
          </w:tcPr>
          <w:p>
            <w:pPr>
              <w:jc w:val="right"/>
              <w:ind w:right="1600"/>
              <w:spacing w:after="0"/>
              <w:rPr>
                <w:sz w:val="20"/>
                <w:szCs w:val="20"/>
                <w:color w:val="auto"/>
              </w:rPr>
            </w:pPr>
            <w:r>
              <w:rPr>
                <w:rFonts w:ascii="Times New Roman" w:cs="Times New Roman" w:eastAsia="Times New Roman" w:hAnsi="Times New Roman"/>
                <w:sz w:val="18"/>
                <w:szCs w:val="18"/>
                <w:color w:val="auto"/>
              </w:rPr>
              <w:t>8.50 %</w:t>
            </w:r>
          </w:p>
        </w:tc>
      </w:tr>
      <w:tr>
        <w:trPr>
          <w:trHeight w:val="661"/>
        </w:trPr>
        <w:tc>
          <w:tcPr>
            <w:tcW w:w="17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15</w:t>
            </w: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-1216660</wp:posOffset>
            </wp:positionV>
            <wp:extent cx="4989195"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ind w:left="520"/>
        <w:spacing w:after="0"/>
        <w:rPr>
          <w:sz w:val="20"/>
          <w:szCs w:val="20"/>
          <w:color w:val="auto"/>
        </w:rPr>
      </w:pPr>
      <w:r>
        <w:rPr>
          <w:rFonts w:ascii="Times New Roman" w:cs="Times New Roman" w:eastAsia="Times New Roman" w:hAnsi="Times New Roman"/>
          <w:sz w:val="18"/>
          <w:szCs w:val="18"/>
          <w:color w:val="auto"/>
        </w:rPr>
        <w:t>The undiscounted future lease payments for operating and finance leases as of June 30, 2024, were as follows (in thousands):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60" w:type="dxa"/>
            <w:vAlign w:val="bottom"/>
          </w:tcPr>
          <w:p>
            <w:pPr>
              <w:spacing w:after="0"/>
              <w:rPr>
                <w:sz w:val="13"/>
                <w:szCs w:val="13"/>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Finance</w:t>
            </w:r>
          </w:p>
        </w:tc>
      </w:tr>
      <w:tr>
        <w:trPr>
          <w:trHeight w:val="180"/>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4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80" w:type="dxa"/>
            <w:vAlign w:val="bottom"/>
          </w:tcPr>
          <w:p>
            <w:pPr>
              <w:spacing w:after="0"/>
              <w:rPr>
                <w:sz w:val="15"/>
                <w:szCs w:val="15"/>
                <w:color w:val="auto"/>
              </w:rPr>
            </w:pPr>
          </w:p>
        </w:tc>
      </w:tr>
      <w:tr>
        <w:trPr>
          <w:trHeight w:val="243"/>
        </w:trPr>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 (excluding the first and second quarters)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shd w:val="clear" w:color="auto" w:fill="CFF0FC"/>
          </w:tcPr>
          <w:p>
            <w:pPr>
              <w:spacing w:after="0"/>
              <w:rPr>
                <w:sz w:val="21"/>
                <w:szCs w:val="21"/>
                <w:color w:val="auto"/>
              </w:rPr>
            </w:pPr>
          </w:p>
        </w:tc>
      </w:tr>
      <w:tr>
        <w:trPr>
          <w:trHeight w:val="23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80" w:type="dxa"/>
            <w:vAlign w:val="bottom"/>
          </w:tcPr>
          <w:p>
            <w:pPr>
              <w:spacing w:after="0"/>
              <w:rPr>
                <w:sz w:val="20"/>
                <w:szCs w:val="20"/>
                <w:color w:val="auto"/>
              </w:rPr>
            </w:pPr>
          </w:p>
        </w:tc>
      </w:tr>
      <w:tr>
        <w:trPr>
          <w:trHeight w:val="247"/>
        </w:trPr>
        <w:tc>
          <w:tcPr>
            <w:tcW w:w="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4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12,436</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80" w:type="dxa"/>
            <w:vAlign w:val="bottom"/>
            <w:shd w:val="clear" w:color="auto" w:fill="CFF0FC"/>
          </w:tcPr>
          <w:p>
            <w:pPr>
              <w:spacing w:after="0"/>
              <w:rPr>
                <w:sz w:val="21"/>
                <w:szCs w:val="21"/>
                <w:color w:val="auto"/>
              </w:rPr>
            </w:pP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20"/>
                <w:szCs w:val="20"/>
                <w:color w:val="auto"/>
              </w:rPr>
            </w:pPr>
          </w:p>
        </w:tc>
      </w:tr>
      <w:tr>
        <w:trPr>
          <w:trHeight w:val="252"/>
        </w:trPr>
        <w:tc>
          <w:tcPr>
            <w:tcW w:w="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4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74,424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130,843</w:t>
            </w: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80" w:type="dxa"/>
            <w:vAlign w:val="bottom"/>
            <w:shd w:val="clear" w:color="auto" w:fill="CFF0FC"/>
          </w:tcPr>
          <w:p>
            <w:pPr>
              <w:spacing w:after="0"/>
              <w:rPr>
                <w:sz w:val="20"/>
                <w:szCs w:val="20"/>
                <w:color w:val="auto"/>
              </w:rPr>
            </w:pPr>
          </w:p>
        </w:tc>
      </w:tr>
      <w:tr>
        <w:trPr>
          <w:trHeight w:val="239"/>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amounts representing interest or imputed interest</w:t>
            </w:r>
          </w:p>
        </w:tc>
        <w:tc>
          <w:tcPr>
            <w:tcW w:w="24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(44,597 )</w:t>
            </w:r>
          </w:p>
        </w:tc>
        <w:tc>
          <w:tcPr>
            <w:tcW w:w="2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(179 )</w:t>
            </w:r>
          </w:p>
        </w:tc>
      </w:tr>
      <w:tr>
        <w:trPr>
          <w:trHeight w:val="241"/>
        </w:trPr>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86,246</w:t>
            </w: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80" w:type="dxa"/>
            <w:vAlign w:val="bottom"/>
            <w:shd w:val="clear" w:color="auto" w:fill="CFF0FC"/>
          </w:tcPr>
          <w:p>
            <w:pPr>
              <w:spacing w:after="0"/>
              <w:rPr>
                <w:sz w:val="20"/>
                <w:szCs w:val="20"/>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consisted of the following as of June 30, 2024 and December 31, 2023 (in thousands):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4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237"/>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12,358</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15,099</w:t>
            </w:r>
          </w:p>
        </w:tc>
        <w:tc>
          <w:tcPr>
            <w:tcW w:w="80" w:type="dxa"/>
            <w:vAlign w:val="bottom"/>
            <w:shd w:val="clear" w:color="auto" w:fill="CFF0FC"/>
          </w:tcPr>
          <w:p>
            <w:pPr>
              <w:spacing w:after="0"/>
              <w:rPr>
                <w:sz w:val="20"/>
                <w:szCs w:val="20"/>
                <w:color w:val="auto"/>
              </w:rPr>
            </w:pPr>
          </w:p>
        </w:tc>
      </w:tr>
      <w:tr>
        <w:trPr>
          <w:trHeight w:val="23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Payroll and payroll-related</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11,227</w:t>
            </w:r>
          </w:p>
        </w:tc>
        <w:tc>
          <w:tcPr>
            <w:tcW w:w="80" w:type="dxa"/>
            <w:vAlign w:val="bottom"/>
          </w:tcPr>
          <w:p>
            <w:pPr>
              <w:spacing w:after="0"/>
              <w:rPr>
                <w:sz w:val="20"/>
                <w:szCs w:val="20"/>
                <w:color w:val="auto"/>
              </w:rPr>
            </w:pPr>
          </w:p>
        </w:tc>
      </w:tr>
      <w:tr>
        <w:trPr>
          <w:trHeight w:val="247"/>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80" w:type="dxa"/>
            <w:vAlign w:val="bottom"/>
            <w:shd w:val="clear" w:color="auto" w:fill="CFF0FC"/>
          </w:tcPr>
          <w:p>
            <w:pPr>
              <w:spacing w:after="0"/>
              <w:rPr>
                <w:sz w:val="21"/>
                <w:szCs w:val="21"/>
                <w:color w:val="auto"/>
              </w:rPr>
            </w:pPr>
          </w:p>
        </w:tc>
      </w:tr>
      <w:tr>
        <w:trPr>
          <w:trHeight w:val="23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80" w:type="dxa"/>
            <w:vAlign w:val="bottom"/>
          </w:tcPr>
          <w:p>
            <w:pPr>
              <w:spacing w:after="0"/>
              <w:rPr>
                <w:sz w:val="20"/>
                <w:szCs w:val="20"/>
                <w:color w:val="auto"/>
              </w:rPr>
            </w:pPr>
          </w:p>
        </w:tc>
      </w:tr>
      <w:tr>
        <w:trPr>
          <w:trHeight w:val="237"/>
        </w:trPr>
        <w:tc>
          <w:tcPr>
            <w:tcW w:w="4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23,780</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33,864</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-8255</wp:posOffset>
            </wp:positionV>
            <wp:extent cx="514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Other Commitments and Contingencies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legal proceedings.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Arrangements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permitted under Delaware law, the Company has agreements whereby it indemnifies its investors, employees, officers, and directors (collectively, the “Indemnified Parties”) for certain events or occurrences while the Indemnified Parties are, or were serving, at its request in such capacity. The term of the indemnification period is for the Indemnified Parties’ lifetime. The Company believes the estimated fair value of these indemnification agreements is minimal. The Company enters into standard indemnification agreements in the ordinary course of business. Pursuant to these agreements, the Company indemnifies, holds harmless, and agrees to reimburse the indemnified party for losses suffered or incurred by the indemnified party, generally the Company’s business partners or customers, in connection with any U.S. patent or any copyright or other intellectual property infringement claim by any third party with respect to the Company’s products. The maximum potential amount of future payments the Company could be required to make under these indemnification agreements is unlimited. The Company is not aware of any claims under indemnification arrangements, and it has not accrued any liabilities related to such obligations as of June 30, 2024 or December 31, 2023.</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10. Equity-Based Compensation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2018 Stock Option and Grant Plan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2018, the Company adopted, and its stockholders approved, the 2018 Stock Option and Grant Plan (the “2018 Plan”), which provides for the granting of stock options and other equity-based awards at the discretion of the Board of Directors or any subcommittee of the Board of Directors to the Company’s employees, officers, directors, and independent contractors. No further grants will be made under the 2018 Plan. However, the 2018 Plan will continue to govern outstanding equity awards granted thereunder. To the extent outstanding options granted under the 2018 Plan are cancelled, forfeited or otherwise terminated without being exercised and would otherwise have been returned to the share reserve under the 2018 Plan, the number of shares underlying such awards will be available for future grant under the 2020 Stock Option and Incentive Plan.</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Stock Option and Incentive Plan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August 2020, the Company and its stockholders approved the 2020 Stock Option and Incentive Plan (the “2020 Plan”), which became effective on August 20, 2020. The 2020 Plan replaced the 2018 Plan as the Company’s Board of Directors has determined not to make additional awards under the 2018 Plan following the closing of the Company’s IPO. The 2020 Plan allows the Company to make equity-based and cash-based incentive awards to its officers, employees, directors and consultants. The Company has initially reserved 4,457,370 shares of its common stock for the issuance of awards under the 2020 Plan, which includes the shares of common stock remaining available for issuance under its 2018 Plan as of the business day immediately prior to the effective date of the registration statement. The 2020 Plan provides that the number of shares reserved and available for issuance will automatically increase on January 1, 2021 and each January 1 thereafter, by 4% of the Company’s outstanding number of shares of common stock on the immediately preceding December 31, or such lesser number of shares as determined by the Company’s compensation committee. These limits are subject to adjustment in the event of a stock split, stock dividend or other change in the Company’s capitalization. In June 2024, in connection with the Company's 2024 annual shareholder meeting, shareholders approved an amendment to the 2020 stock option plan that redefined the definition of common stock outstanding for the purposes of calculating the annual increase to the shares available for issuance. After the amendment, outstanding equity includes all outstanding common shares as well as outstanding pre-funded warrants. As of June 30, 2024, there were an aggregate of 3,668,601 shares remaining available for future grants.</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August 2020, the Company and its stockholders approved the 2020 Employee Stock Purchase Plan (the “2020 ESPP”), which became effective August 20, 2020. The 2020 ESPP initially reserved and authorized the issuance of up to a total of 445,653 shares of common stock to participating employees. The 2020 ESPP provides that the number of shares reserved and available for issuance will automatically increase on January 1, 2021 and each January 1 thereafter through January 1, 2030, by the lesser of (i) 438,898 shares of common stock, (ii) 1% of the Company’s outstanding number of shares of common stock on the immediately preceding December 31 or (iii) such lesser number of shares of common stock as determined by the administrator of the 2020 ESPP. The number of shares reserved under the 2020 ESPP is subject to adjustment in the event of a stock split, stock dividend or other change in the Company’s capitalization. As of June 30, 2024, there were an aggregate 1,957,168 shares remaining available for future grants.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summary of stock option activity under the 2020 Plan during the six months ended June 30, 2024 is as follows (in thousands except share and per share data):</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5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02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Strike</w:t>
            </w:r>
          </w:p>
        </w:tc>
        <w:tc>
          <w:tcPr>
            <w:tcW w:w="2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2"/>
                <w:szCs w:val="12"/>
                <w:color w:val="auto"/>
              </w:rPr>
            </w:pPr>
          </w:p>
        </w:tc>
        <w:tc>
          <w:tcPr>
            <w:tcW w:w="102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2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428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8,113,164</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14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4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49,622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2,393,371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42.02</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(355,339 )</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(248,360 )</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2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9,902,836</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14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44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57,034</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June 30,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5,684,450</w:t>
            </w:r>
          </w:p>
        </w:tc>
        <w:tc>
          <w:tcPr>
            <w:tcW w:w="2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-799465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-799465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-156845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4844415</wp:posOffset>
            </wp:positionH>
            <wp:positionV relativeFrom="paragraph">
              <wp:posOffset>-332105</wp:posOffset>
            </wp:positionV>
            <wp:extent cx="93980" cy="1968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3980" cy="196850"/>
                    </a:xfrm>
                    <a:prstGeom prst="rect">
                      <a:avLst/>
                    </a:prstGeom>
                    <a:noFill/>
                  </pic:spPr>
                </pic:pic>
              </a:graphicData>
            </a:graphic>
          </wp:anchor>
        </w:drawing>
      </w:r>
    </w:p>
    <w:p>
      <w:pPr>
        <w:spacing w:after="0" w:line="21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intrinsic value of stock options exercised during the three months ended June 30, 2024 and 2023 was $1.8 million and $1.4 million, respectively. The intrinsic value of stock options exercised during the six months ended June 30, 2024 and 2023 was $8.6 million and $6.9 million,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2" w:name="page23"/>
    <w:bookmarkEnd w:id="22"/>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fair value of options granted during the three months ended June 30, 2024 and 2023 was $19.28 and $17.50, respectively. The weighted-average fair value of options granted during the six months ended June 30, 2024 and 2023 was $25.92 and $18.45 respectively.</w:t>
      </w:r>
    </w:p>
    <w:p>
      <w:pPr>
        <w:spacing w:after="0" w:line="200" w:lineRule="exact"/>
        <w:rPr>
          <w:sz w:val="20"/>
          <w:szCs w:val="20"/>
          <w:color w:val="auto"/>
        </w:rPr>
      </w:pPr>
    </w:p>
    <w:p>
      <w:pPr>
        <w:spacing w:after="0" w:line="20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June 30, 2024, the total unrecognized stock-based compensation expense for unvested stock options was $90.9 million, with a weighted average recognition period of 2.3 years.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outlines our equity-based compensation expense for stock options for the three and six months ended June 30, 2024 and 2023:</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6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0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10,975</w:t>
            </w:r>
          </w:p>
        </w:tc>
        <w:tc>
          <w:tcPr>
            <w:tcW w:w="5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9,160</w:t>
            </w:r>
          </w:p>
        </w:tc>
        <w:tc>
          <w:tcPr>
            <w:tcW w:w="100" w:type="dxa"/>
            <w:vAlign w:val="bottom"/>
            <w:shd w:val="clear" w:color="auto" w:fill="CFF0FC"/>
          </w:tcPr>
          <w:p>
            <w:pPr>
              <w:spacing w:after="0"/>
              <w:rPr>
                <w:sz w:val="20"/>
                <w:szCs w:val="20"/>
                <w:color w:val="auto"/>
              </w:rPr>
            </w:pPr>
          </w:p>
        </w:tc>
      </w:tr>
      <w:tr>
        <w:trPr>
          <w:trHeight w:val="23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6,306</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11,628</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9,459</w:t>
            </w:r>
          </w:p>
        </w:tc>
        <w:tc>
          <w:tcPr>
            <w:tcW w:w="100" w:type="dxa"/>
            <w:vAlign w:val="bottom"/>
          </w:tcPr>
          <w:p>
            <w:pPr>
              <w:spacing w:after="0"/>
              <w:rPr>
                <w:sz w:val="20"/>
                <w:szCs w:val="20"/>
                <w:color w:val="auto"/>
              </w:rPr>
            </w:pPr>
          </w:p>
        </w:tc>
      </w:tr>
      <w:tr>
        <w:trPr>
          <w:trHeight w:val="237"/>
        </w:trPr>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equity-based compensation</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12,241</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10,086</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22,603</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assumptions that the Company used in the Black-Scholes option pricing model to determine the grant date fair value of stock options granted to employees and non-employees for the three and six months ended June 30, 2024 and 2023 were as follows:</w:t>
      </w:r>
    </w:p>
    <w:p>
      <w:pPr>
        <w:spacing w:after="0" w:line="8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2180" w:type="dxa"/>
            <w:vAlign w:val="bottom"/>
            <w:gridSpan w:val="3"/>
          </w:tcPr>
          <w:p>
            <w:pPr>
              <w:jc w:val="center"/>
              <w:ind w:left="75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gridSpan w:val="3"/>
          </w:tcPr>
          <w:p>
            <w:pPr>
              <w:jc w:val="center"/>
              <w:ind w:left="75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7"/>
        </w:trPr>
        <w:tc>
          <w:tcPr>
            <w:tcW w:w="3900" w:type="dxa"/>
            <w:vAlign w:val="bottom"/>
          </w:tcPr>
          <w:p>
            <w:pPr>
              <w:spacing w:after="0"/>
              <w:rPr>
                <w:sz w:val="16"/>
                <w:szCs w:val="16"/>
                <w:color w:val="auto"/>
              </w:rPr>
            </w:pPr>
          </w:p>
        </w:tc>
        <w:tc>
          <w:tcPr>
            <w:tcW w:w="2180" w:type="dxa"/>
            <w:vAlign w:val="bottom"/>
            <w:tcBorders>
              <w:bottom w:val="single" w:sz="8" w:color="auto"/>
            </w:tcBorders>
            <w:gridSpan w:val="3"/>
          </w:tcPr>
          <w:p>
            <w:pPr>
              <w:jc w:val="center"/>
              <w:ind w:left="77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tcBorders>
              <w:bottom w:val="single" w:sz="8" w:color="auto"/>
            </w:tcBorders>
            <w:gridSpan w:val="3"/>
          </w:tcPr>
          <w:p>
            <w:pPr>
              <w:jc w:val="center"/>
              <w:ind w:left="75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3900" w:type="dxa"/>
            <w:vAlign w:val="bottom"/>
          </w:tcPr>
          <w:p>
            <w:pPr>
              <w:spacing w:after="0"/>
              <w:rPr>
                <w:sz w:val="14"/>
                <w:szCs w:val="14"/>
                <w:color w:val="auto"/>
              </w:rPr>
            </w:pPr>
          </w:p>
        </w:tc>
        <w:tc>
          <w:tcPr>
            <w:tcW w:w="140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200" w:type="dxa"/>
            <w:vAlign w:val="bottom"/>
          </w:tcPr>
          <w:p>
            <w:pPr>
              <w:spacing w:after="0"/>
              <w:rPr>
                <w:sz w:val="14"/>
                <w:szCs w:val="14"/>
                <w:color w:val="auto"/>
              </w:rPr>
            </w:pPr>
          </w:p>
        </w:tc>
        <w:tc>
          <w:tcPr>
            <w:tcW w:w="136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65 %</w:t>
            </w:r>
          </w:p>
        </w:tc>
        <w:tc>
          <w:tcPr>
            <w:tcW w:w="5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62 %</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65 %</w:t>
            </w:r>
          </w:p>
        </w:tc>
        <w:tc>
          <w:tcPr>
            <w:tcW w:w="48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38"/>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4.25 %</w:t>
            </w:r>
          </w:p>
        </w:tc>
        <w:tc>
          <w:tcPr>
            <w:tcW w:w="5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3.71 %</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4.14 %</w:t>
            </w:r>
          </w:p>
        </w:tc>
        <w:tc>
          <w:tcPr>
            <w:tcW w:w="48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4.06 %</w:t>
            </w:r>
          </w:p>
        </w:tc>
      </w:tr>
      <w:tr>
        <w:trPr>
          <w:trHeight w:val="24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0.00 %</w:t>
            </w:r>
          </w:p>
        </w:tc>
        <w:tc>
          <w:tcPr>
            <w:tcW w:w="56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0.00 %</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0.00 %</w:t>
            </w:r>
          </w:p>
        </w:tc>
        <w:tc>
          <w:tcPr>
            <w:tcW w:w="48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granted shares of restricted stock units with service-based and performance-based vesting conditions. A summary of restricted stock activity during the six months ended June 30, 2024 is as follows:</w:t>
      </w:r>
    </w:p>
    <w:p>
      <w:pPr>
        <w:spacing w:after="0" w:line="18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49"/>
        </w:trPr>
        <w:tc>
          <w:tcPr>
            <w:tcW w:w="536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6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87"/>
        </w:trPr>
        <w:tc>
          <w:tcPr>
            <w:tcW w:w="536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32"/>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593,140</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7"/>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243,984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80" w:type="dxa"/>
            <w:vAlign w:val="bottom"/>
          </w:tcPr>
          <w:p>
            <w:pPr>
              <w:spacing w:after="0"/>
              <w:rPr>
                <w:sz w:val="20"/>
                <w:szCs w:val="20"/>
                <w:color w:val="auto"/>
              </w:rPr>
            </w:pPr>
          </w:p>
        </w:tc>
      </w:tr>
      <w:tr>
        <w:trPr>
          <w:trHeight w:val="247"/>
        </w:trPr>
        <w:tc>
          <w:tcPr>
            <w:tcW w:w="5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(163,903 )</w:t>
            </w: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80" w:type="dxa"/>
            <w:vAlign w:val="bottom"/>
            <w:shd w:val="clear" w:color="auto" w:fill="CFF0FC"/>
          </w:tcPr>
          <w:p>
            <w:pPr>
              <w:spacing w:after="0"/>
              <w:rPr>
                <w:sz w:val="21"/>
                <w:szCs w:val="21"/>
                <w:color w:val="auto"/>
              </w:rPr>
            </w:pPr>
          </w:p>
        </w:tc>
      </w:tr>
      <w:tr>
        <w:trPr>
          <w:trHeight w:val="239"/>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(36,636 )</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80" w:type="dxa"/>
            <w:vAlign w:val="bottom"/>
          </w:tcPr>
          <w:p>
            <w:pPr>
              <w:spacing w:after="0"/>
              <w:rPr>
                <w:sz w:val="20"/>
                <w:szCs w:val="20"/>
                <w:color w:val="auto"/>
              </w:rPr>
            </w:pPr>
          </w:p>
        </w:tc>
      </w:tr>
      <w:tr>
        <w:trPr>
          <w:trHeight w:val="236"/>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June 30, 2024</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636,585</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-642620</wp:posOffset>
            </wp:positionV>
            <wp:extent cx="514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-642620</wp:posOffset>
            </wp:positionV>
            <wp:extent cx="431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514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and 2023, the Company granted 12,150 and 47,697 restricted stock units, respectively. During the six months ended June 30, 2024 and 2023, the Company granted 243,984 and 263,986 restricted stock units, respectively. As of June 30, 2024, the total unrecognized stock-based compensation expense for unvested restricted stock was $17.4 million with a weighted average recognition period of 2.3 years.</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During the three months ended June 30, 2024 the Company recognized approximately $1.9 million of expense for restricted stock of which $1.2 million and $0.7 million was recorded in research and development and general and administrative expense, respectively. During the six months ended June 30, 2024 the Company recognized approximately $3.3 million of expense for restricted stock of which $2.1 million and $1.2 million was recorded in research and development and general and administrative expense, respectively. During the three months ended June 30, 2023 the Company recognized approximately $0.9 million of expense for restricted stock of which $0.6 million and $0.3 million was recorded in research and development and general and administrative expense, respectively. During the six months ended June 30, 2023 the Company recognized approximately $1.5 million of expense for restricted stock of which $1.0 million and $0.5 million was recorded in research and development and general and administrative expense,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3" w:name="page24"/>
    <w:bookmarkEnd w:id="2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Expense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Total equity-based compensation expense recorded as research and development and general and administrative expenses for employees, directors, and non-employees during the three and six months ended June 30, 2024 and 2023 is as follows (in thousands):</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4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0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5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5,704</w:t>
            </w:r>
          </w:p>
        </w:tc>
        <w:tc>
          <w:tcPr>
            <w:tcW w:w="4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13,340</w:t>
            </w:r>
          </w:p>
        </w:tc>
        <w:tc>
          <w:tcPr>
            <w:tcW w:w="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10,432</w:t>
            </w:r>
          </w:p>
        </w:tc>
        <w:tc>
          <w:tcPr>
            <w:tcW w:w="100" w:type="dxa"/>
            <w:vAlign w:val="bottom"/>
            <w:shd w:val="clear" w:color="auto" w:fill="CFF0FC"/>
          </w:tcPr>
          <w:p>
            <w:pPr>
              <w:spacing w:after="0"/>
              <w:rPr>
                <w:sz w:val="20"/>
                <w:szCs w:val="20"/>
                <w:color w:val="auto"/>
              </w:rPr>
            </w:pPr>
          </w:p>
        </w:tc>
      </w:tr>
      <w:tr>
        <w:trPr>
          <w:trHeight w:val="23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12,969</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10,133</w:t>
            </w:r>
          </w:p>
        </w:tc>
        <w:tc>
          <w:tcPr>
            <w:tcW w:w="100" w:type="dxa"/>
            <w:vAlign w:val="bottom"/>
          </w:tcPr>
          <w:p>
            <w:pPr>
              <w:spacing w:after="0"/>
              <w:rPr>
                <w:sz w:val="20"/>
                <w:szCs w:val="20"/>
                <w:color w:val="auto"/>
              </w:rPr>
            </w:pPr>
          </w:p>
        </w:tc>
      </w:tr>
      <w:tr>
        <w:trPr>
          <w:trHeight w:val="237"/>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equity-based compensation</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14,341</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11,181</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26,309</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20,565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0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Related-Party Transactions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than the collaborations discussed in Note 5, the Company had no related party transactions for the periods presented in the accompanying condensed consolidated financial statements, which have not otherwise been discussed in these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Income taxes for the three and six months ended June 30, 2024 and 2023 have been calculated based on an estimated annual effective tax rate and certain discrete items. The company recorded immaterial income tax expense related to investment income for the three and six months ended June 30, 2024 and 2023.</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never been examined by the Internal Revenue Service or any other jurisdiction for any tax years and, as such, all years within the applicable statutes of limitations are potentially subject to audit.</w:t>
      </w:r>
    </w:p>
    <w:p>
      <w:pPr>
        <w:spacing w:after="0" w:line="266" w:lineRule="exact"/>
        <w:rPr>
          <w:sz w:val="20"/>
          <w:szCs w:val="20"/>
          <w:color w:val="auto"/>
        </w:rPr>
      </w:pPr>
    </w:p>
    <w:p>
      <w:pPr>
        <w:ind w:left="520" w:right="9300" w:hanging="512"/>
        <w:spacing w:after="0" w:line="378" w:lineRule="auto"/>
        <w:tabs>
          <w:tab w:leader="none" w:pos="281"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Net Loss per Share </w:t>
      </w:r>
      <w:r>
        <w:rPr>
          <w:rFonts w:ascii="Times New Roman" w:cs="Times New Roman" w:eastAsia="Times New Roman" w:hAnsi="Times New Roman"/>
          <w:sz w:val="18"/>
          <w:szCs w:val="18"/>
          <w:b w:val="1"/>
          <w:bCs w:val="1"/>
          <w:i w:val="1"/>
          <w:iCs w:val="1"/>
          <w:color w:val="auto"/>
        </w:rPr>
        <w:t>Net Loss per Share</w:t>
      </w: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Basic and diluted loss per share is computed by dividing net loss by the weighted-average common shares outstanding for the period, including the pre-funded warrants given their nominal exercise price (in thousands, except for share and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8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42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(42,062 )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(38,799 )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(90,619 )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(79,727 )</w:t>
            </w: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73,059,398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58,326,963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71,908,963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58,257,387</w:t>
            </w:r>
          </w:p>
        </w:tc>
        <w:tc>
          <w:tcPr>
            <w:tcW w:w="100" w:type="dxa"/>
            <w:vAlign w:val="bottom"/>
          </w:tcPr>
          <w:p>
            <w:pPr>
              <w:spacing w:after="0"/>
              <w:rPr>
                <w:sz w:val="20"/>
                <w:szCs w:val="20"/>
                <w:color w:val="auto"/>
              </w:rPr>
            </w:pPr>
          </w:p>
        </w:tc>
      </w:tr>
      <w:tr>
        <w:trPr>
          <w:trHeight w:val="265"/>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(0.58 )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(0.67 )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(1.26 )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(1.37 )</w:t>
            </w: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-25400</wp:posOffset>
            </wp:positionV>
            <wp:extent cx="768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-8255</wp:posOffset>
            </wp:positionV>
            <wp:extent cx="768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restricted stock and stock options,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from the computation of diluted net loss per share attributable to common stockholders at June 30, 2024 and 2023 because including them would have had an anti-dilutive effect:</w:t>
      </w:r>
    </w:p>
    <w:p>
      <w:pPr>
        <w:spacing w:after="0" w:line="218"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36"/>
        </w:trPr>
        <w:tc>
          <w:tcPr>
            <w:tcW w:w="1700" w:type="dxa"/>
            <w:vAlign w:val="bottom"/>
          </w:tcPr>
          <w:p>
            <w:pPr>
              <w:spacing w:after="0"/>
              <w:rPr>
                <w:sz w:val="20"/>
                <w:szCs w:val="20"/>
                <w:color w:val="auto"/>
              </w:rPr>
            </w:pPr>
          </w:p>
        </w:tc>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3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636,585</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467,092</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216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9,902,836</w:t>
            </w:r>
          </w:p>
        </w:tc>
        <w:tc>
          <w:tcPr>
            <w:tcW w:w="18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8,374,607</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36"/>
        </w:trPr>
        <w:tc>
          <w:tcPr>
            <w:tcW w:w="1700" w:type="dxa"/>
            <w:vAlign w:val="bottom"/>
          </w:tcPr>
          <w:p>
            <w:pPr>
              <w:spacing w:after="0"/>
              <w:rPr>
                <w:sz w:val="20"/>
                <w:szCs w:val="20"/>
                <w:color w:val="auto"/>
              </w:rPr>
            </w:pPr>
          </w:p>
        </w:tc>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10,539,421</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8,841,699</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646"/>
        </w:trPr>
        <w:tc>
          <w:tcPr>
            <w:tcW w:w="1700" w:type="dxa"/>
            <w:vAlign w:val="bottom"/>
          </w:tcPr>
          <w:p>
            <w:pPr>
              <w:spacing w:after="0"/>
              <w:rPr>
                <w:sz w:val="24"/>
                <w:szCs w:val="24"/>
                <w:color w:val="auto"/>
              </w:rPr>
            </w:pPr>
          </w:p>
        </w:tc>
        <w:tc>
          <w:tcPr>
            <w:tcW w:w="3200" w:type="dxa"/>
            <w:vAlign w:val="bottom"/>
            <w:tcBorders>
              <w:top w:val="single" w:sz="8" w:color="CFF0FC"/>
            </w:tcBorders>
          </w:tcPr>
          <w:p>
            <w:pPr>
              <w:spacing w:after="0"/>
              <w:rPr>
                <w:sz w:val="24"/>
                <w:szCs w:val="24"/>
                <w:color w:val="auto"/>
              </w:rPr>
            </w:pPr>
          </w:p>
        </w:tc>
        <w:tc>
          <w:tcPr>
            <w:tcW w:w="2160" w:type="dxa"/>
            <w:vAlign w:val="bottom"/>
            <w:tcBorders>
              <w:top w:val="single" w:sz="8" w:color="CFF0FC"/>
            </w:tcBorders>
          </w:tcPr>
          <w:p>
            <w:pPr>
              <w:jc w:val="right"/>
              <w:ind w:right="1250"/>
              <w:spacing w:after="0"/>
              <w:rPr>
                <w:sz w:val="20"/>
                <w:szCs w:val="20"/>
                <w:color w:val="auto"/>
              </w:rPr>
            </w:pPr>
            <w:r>
              <w:rPr>
                <w:rFonts w:ascii="Times New Roman" w:cs="Times New Roman" w:eastAsia="Times New Roman" w:hAnsi="Times New Roman"/>
                <w:sz w:val="18"/>
                <w:szCs w:val="18"/>
                <w:color w:val="auto"/>
              </w:rPr>
              <w:t>19</w:t>
            </w:r>
          </w:p>
        </w:tc>
        <w:tc>
          <w:tcPr>
            <w:tcW w:w="11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-916305</wp:posOffset>
            </wp:positionV>
            <wp:extent cx="514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-916305</wp:posOffset>
            </wp:positionV>
            <wp:extent cx="431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unaudited condensed consolidated financial statements and related notes included elsewhere in this Quarterly Report on Form 10-Q, the Quarterly Report. This discussion and analysis and other parts of this Quarterly Report contain forward-looking statements based upon current beliefs, plans and expectations that involve risks, uncertainties and assumptions, such as express or implied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Part II, Item 1A, “Risk Factors” and elsewhere in this Quarterly Report. You should carefully read the “Risk Factors” section of this Quarterly Report to gain an understanding of the important factors that could cause actual results to differ materially from our forward-looking statements. Please also see the section entitled “Special Note Regarding Forward-Looking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a biopharmaceutical company focused on discovering and developing novel small molecule therapeutics that selectively degrade disease-causing proteins by harnessing the body’s own natural protein degradation system. Our proprietary targeted protein degradation, or TPD, platform, which we refer to as Pegasus™, allows us to discover highly selective small molecule protein degraders with activity against disease-causing proteins throughout the body. We believe that our small molecule protein degraders have unique advantages over existing therapies and allow us to address a large portion of the human genome that was previously intractable with traditional modalities. We focus on biological pathways that have been clinically validated but where key biological nodes/proteins have not been drugged or are inadequately drugged. To date, we have utilized our Pegasus™ platform to design novel protein degraders focused in the areas of immunology-inflammation and oncology, and we continue to apply our platform’s capabilities to additional therapeutic areas. We have a mission to drug all target classes in human cells using TPD.</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current clinical stage programs are IRAK4, STAT3, and MDM2, which each address high impact targets within biologically-proven pathways, providing the opportunity to treat a broad range of immuno-inflammatory diseases, hematologic malignancies, and/or solid tumors. Our programs exemplify our focus on addressing high impact targets that have been elusive to conventional modalities and that drive the pathogenesis of multiple serious diseases with significant unmet medical needs. Our disclosed preclinical programs target STAT6 and TYK2, two proteins in well-validated pathways where we believe our degrader technology has the potential to offer unique advantages as compared to competing therapies. We have completed investigational new drug application, or IND-enabling studies for STAT6 and intend to initiate a Phase 1 clinical trial in the second half of 2024. IND-enabling studies for TYK2 are ongoing.</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With respect to our IRAK4 program, we are collaborating with Sanofi S.A, or Sanofi, on the development of drug candidates targeting IRAK4 outside the oncology and immuno-oncology fields. We are developing KT-474, a highly active and selective, orally bioavailable IRAK4 degrader, for the treatment of interleukin-1 receptor/toll-like receptor or IL-1R/TLR-driven immunology-inflammation conditions and diseases with high unmet medical need, including hidradenitis suppurativa, or HS, an inflammatory skin disease, as well as atopic dermatitis, or AD, and potentially other indications. We have completed our Phase 1 trial of KT-474, which included cohorts of healthy volunteers, as well as patients with HS and AD. Phase 2 clinical trials of KT-474, conducted by Sanofi, are initially investigating its potential in HS and AD. Sanofi has initiated clinical trials for both indications and patient dosing is ongoing.</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With respect to our clinical oncology programs, we are evaluating KT-333, a STAT3 degrader, in a Phase 1 clinical trial. The clinical trial is evaluating the safety, tolerability, pharmacokinetics , or PK, pharmacodynamics, or PD, and clinical activity of KT-333 dosed weekly in adult patients with relapsed and/or refractory lymphomas, leukemias and solid tumors. Patient enrollment and dosing are ongoing in the Phase 1a portion of the trial. In June 2024, we presented clinical data which demonstrated strong proof of mechanism and initial clinical proof of concept. In September 2023, we announced that the FDA, granted KT-333 Fast Track Designation for the treatment of relapsed/refractory peripheral T cell lymphoma, an indication for which we have previously received orphan drug designation.</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Phase 1 clinical trial of KT-253, a MDM2 degrader, is evaluating the safety, tolerability, PK, PD, and clinical activity of ascending doses of KT-253 in adult patients with relapsed or refractory high grade myeloid malignancies, acute lymphocytic leukemia, or ALL, lymphomas, and solid tumors. Patient enrollment and dosing are ongoing in the Phase 1a portion of the trial. In June 2024, we presented clinical data which demonstrated strong proof of mechanism and initial clinical proof of concept. In June 2023, KT-253 was granted orphan drug designation by the FDA for the treatment of acute myeloid leukemia.</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Since our inception in 2015, we have devoted substantially all our efforts to organizing and staffing our company, research and development activities, business planning, raising capital, building our intellectual property portfolio and providing general and administrative support for these operations. To date, we have received gross proceeds of $1.45 billion from sales of our convertible preferred stock, the sale of common stock including our August 2020 initial public offering, or IPO, and concurrent private placement, our July 2021 follow-on offering and concurrent private placement, our August 2022 private investment in public equity offering, or PIPE, our January 2024 follow-on offering, our Sales Agreement with Cowen and Company, LLC., and through our corporate collaborations.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5" w:name="page26"/>
    <w:bookmarkEnd w:id="25"/>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incurred significant operating losses since inception. Our ability to generate product revenue sufficient to achieve profitability will depend heavily on the successful development and eventual commercialization of one or more of our current product candidates or any future product candidates. Our net losses were $147.0 million and $154.8 million for the years ended December 31, 2023 and 2022, respectively. We reported net losses of $42.1 million and $38.8 million for the three months ended June 30, 2024 and 2023, respectively and $90.6 million and $79.7 million for the six months ended June 30, 2024 and 2023, respectively. In addition, as of June 30, 2024 and December 31, 2023 we had an accumulated deficit of $621.4 million and $530.8 million, respectively. We expect that our expense and capital requirements will increase substantially in connection with our ongoing activities, particularly if and as we:</w:t>
      </w:r>
    </w:p>
    <w:p>
      <w:pPr>
        <w:spacing w:after="0" w:line="81"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complete preclinical studies and clinical trials for current or future product candidates;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submit Investigational New Drug applications, or INDs, with the U.S. Food and Drug Administration, or FDA, for current and future product candidates;</w:t>
      </w:r>
    </w:p>
    <w:p>
      <w:pPr>
        <w:spacing w:after="0" w:line="53" w:lineRule="exact"/>
        <w:rPr>
          <w:rFonts w:ascii="Times New Roman" w:cs="Times New Roman" w:eastAsia="Times New Roman" w:hAnsi="Times New Roman"/>
          <w:sz w:val="18"/>
          <w:szCs w:val="18"/>
          <w:color w:val="auto"/>
        </w:rPr>
      </w:pPr>
    </w:p>
    <w:p>
      <w:pPr>
        <w:ind w:left="1020" w:right="84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scale up our capabilities to support our ongoing preclinical activities and clinical trials for our product candidates and commercialization of any of our product candidates for which we may obtain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facilities to support continued growth in our research, development and commercialization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research and development related activities to expand our product pipeline;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improve the capabilities of our Pegasus™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our product candidates that successfully complete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to manufacture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staff, including clinical, scientific and management personnel;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continuing to operate as a public company.</w:t>
      </w:r>
    </w:p>
    <w:p>
      <w:pPr>
        <w:spacing w:after="0" w:line="33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if we obtain marketing approval for any of our lead product candidates, we expect to incur significant commercialization expenses related to product manufacturing, marketing, sales and distribution. 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which may include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reduce or eliminate the development and commercialization of one or more of our product candidates.</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will not generate revenue from product sales unless and until we successfully complete clinical development and obtain marketing approval for our drug candidates. The lengthy process of securing marketing approvals for new drugs requires the expenditure of substantial resources. Any delay or failure to obtain regulatory approvals would materially adversely affect our product candidate development efforts and our business overall. 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June 30, 2024, we had cash, cash equivalents and marketable securities of $702.4 million. We believe the existing cash, cash equivalents and marketable securities on hand will be sufficient to fund our operations into the first half of 2027, which is expected to take us beyond the Phase 2 data for KT-474, as well as additional proof-of-concept data for KT-253 and KT-333, and several clinical inflection points for our STAT6 and TYK2 programs. We have based this estimate on assumptions that may prove to be wrong, and we could exhaust our available capital resources sooner than we expect. See “— Liquidity and capital resources.”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the sale of products in the foreseeable future. Our only revenues have been derived from research collaboration arrangements with Vertex and Sanofi. We expect that our revenue for the next several years will be derived primarily from our current collaboration agreements and any additional collaborations that we may enter into in the future. To date, we have not received any royalties under any of the collaboration agreements.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Vertex Collaboration Agreement</w:t>
      </w:r>
    </w:p>
    <w:p>
      <w:pPr>
        <w:spacing w:after="0" w:line="121" w:lineRule="exact"/>
        <w:rPr>
          <w:sz w:val="20"/>
          <w:szCs w:val="20"/>
          <w:color w:val="auto"/>
        </w:rPr>
      </w:pPr>
    </w:p>
    <w:p>
      <w:pPr>
        <w:jc w:val="both"/>
        <w:ind w:firstLine="509"/>
        <w:spacing w:after="0" w:line="274" w:lineRule="auto"/>
        <w:rPr>
          <w:sz w:val="20"/>
          <w:szCs w:val="20"/>
          <w:color w:val="auto"/>
        </w:rPr>
      </w:pPr>
      <w:r>
        <w:rPr>
          <w:rFonts w:ascii="Times New Roman" w:cs="Times New Roman" w:eastAsia="Times New Roman" w:hAnsi="Times New Roman"/>
          <w:sz w:val="17"/>
          <w:szCs w:val="17"/>
          <w:color w:val="auto"/>
        </w:rPr>
        <w:t>On May 9, 2019, we entered into a collaboration agreement, or the Vertex Agreement, with Vertex, to advance small molecule protein degradation against up to six targets. Under the Vertex Agreement, Vertex was granted the exclusive option to license the rights to the product candidates developed through the collaboration at which point Vertex would control development and commercialization. Pursuant to the Vertex Agreement, we were responsible for discovery and preclinical research on the targets, and Vertex was responsible for development, manufacturing, and commercialization of the product candidates after it exercises its option to license. Vertex provided us with a non-refundable upfront payment of $50.0 million and purchased 3,059,695 shares of our Series B-1 Convertible Preferred Stock at $6.54 a share, pursuant to a separate, but simultaneously executed Share Purchase Agreement.</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Vertex Agreement expired upon the completion of the initial research term on May 9, 2023.</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Sanofi Agreement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July 7, 2020, we entered into a collaboration agreement, or the Sanofi Agreement, with Sanofi to co-develop drug candidates directed to two biological targets. Under the Sanofi Agreement, we granted to Sanofi a worldwide exclusive license to develop, manufacture and commercialize certain lead compounds generated during the collaboration directed against IRAK4 and one additional undisclosed target in an undisclosed field of use. Such license is exercisable on a collaboration target-by-collaboration target basis only after a specified milestone. For compounds directed against IRAK4, the field of use includes diagnosis, treatment, cure, mitigation or prevention of any diseases, disorders or conditions, excluding oncology and immunooncology. We are responsible for discovery and preclinical research and conducting a phase 1 clinical trial for at least one degrader directed against IRAK4 plus up to three backup degraders. With respect to both targets, Sanofi is responsible for development, manufacturing, and commercialization of product candidates after a specified development milestone occurs with respect to each collaboration candidate.</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an exclusive option, or Opt-In Right, exercisable on a collaboration target-by-collaboration target basis that will include the right to (i) to fund 50% of the United States development costs for collaboration products directed against such target in the applicable field of use and (ii) share equally in the net profits and net losses of commercializing collaboration products directed against such target in the applicable field of use in the United States. In addition, if we exercise the Opt-In Right, Sanofi will grant us an exclusive option, applicable to each collaboration target, which upon exercise will allow us to conduct certain co-promotion activities in the field in the United States.</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Sanofi Agreement, unless earlier terminated, will expire on a product-by-product basis on the date of expiration of all payment obligations under the Sanofi Agreement with respect to such product. We or Sanofi may terminate the agreement upon the other party’s material breach or insolvency or for certain patent challenges. In addition, Sanofi may terminate the agreement for convenience or for a material safety event upon advance prior written notice, and we may terminate the agreement with respect to any collaboration candidate if, following Sanofi’s assumption of responsibility for the development, commercialization or manufacturing of collaboration candidates with respect to a particular target, Sanofi ceases to exploit any collaboration candidates directed to such target for a specified period.</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consideration for the exclusive licenses granted to Sanofi under the Sanofi Agreement, Sanofi made an upfront payment of $150.0 million. In addition to the upfront payment, we are eligible to receive certain development milestone payments of up to $1.48 billion in the aggregate, of which more than $1.0 billion relates to the IRAK4 program, upon the achievement of certain developmental or regulatory events. We will be eligible to receive certain commercial milestone payments up to $700.0 million in the aggregate, of which $400.0 million relates to the IRAK4 program, which are payable upon the achievement of certain net sales thresholds. We will be eligible to receive tiered royalties for each program on net sales ranging from the high single digits to high teens, subject to low-single digits upward adjustments in certain circumstances. As of June 30, 2024 we have achieved $55.0 million of milestones to date under the Sanofi Agreement related to certain IRAK4 clinical milestones.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7" w:name="page28"/>
    <w:bookmarkEnd w:id="27"/>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November 15, 2022, we entered into an Amended and Restated Collaboration and License Agreement with Sanofi, or the Amended Sanofi Agreement, which amended the Original Sanofi Agreement to revise certain research terms and responsibilities set forth under the Original Sanofi Agreement. The Amended Sanofi Agreement also specifies details around the timing and number of Phase 2 trials required under the terms of the collaboration. The Amended Sanofi Agreement became effective on December 5, 2022.</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Additionally with respect to Sanofi, on December 2, 2022, Sanofi provided the Company with written notice of its intention to advance the collaboration target 1 candidate, KT-474, into Phase 2 clinical trials for which the Company received milestone payments as further set forth in the Amended Sanofi Agreement. Phase 2 clinical trials of KT-474 are initially investigating its potential in HS and AD with the clinical trial for both indications having been initiated and commenced dosing in 2023.</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September 2023, the Company and Sanofi mutually agreed to cease activities related to Collaboration Target 2.</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expenses since inception have consisted primarily of research and development expenses and general and administrative expenses.</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discovery and development of targeted protein degradation therapeutics. These research efforts and costs include external research costs, personnel costs, supplies, license fees and facility-related expenses. We expense research and development costs as incurred. These expenses include:</w:t>
      </w:r>
    </w:p>
    <w:p>
      <w:pPr>
        <w:spacing w:after="0" w:line="68" w:lineRule="exact"/>
        <w:rPr>
          <w:sz w:val="20"/>
          <w:szCs w:val="20"/>
          <w:color w:val="auto"/>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and stock-based compensation expense, for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organizations that support our platform program development;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manufacturing organizations, or CMOs, that are primarily engaged to provide drug substance and product for our preclinical research and development programs, nonclinical studies and other scientific development services;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and manufacturing and nonclinical trial materials, including manufacturing registration and validation batches;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direct and allocated expenses for rent and maintenance of facilities and insurance;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quality and regulatory requirements;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Advance payments that we make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in connection with our planned clinical development activities in the near term and in the future. At this time, we cannot accurately estimate or know the nature, timing and costs of the efforts that will be necessary to complete the clinical development of any future product candidates.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clinical development costs may vary significantly based on factors such as:</w:t>
      </w:r>
    </w:p>
    <w:p>
      <w:pPr>
        <w:spacing w:after="0" w:line="117"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successful development and commercialization of product candidates is highly uncertain. This is due to the numerous risks and uncertainties associated with product development and commercialization, including the following:</w:t>
      </w:r>
    </w:p>
    <w:p>
      <w:pPr>
        <w:spacing w:after="0" w:line="54"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nonclinical and clinical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nonclinical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raise necessary additional funds;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may enter into collaboration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development program and to establish new ones;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drug substance and drug product for use in production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agreements with third-party manufacturers for clinical supply for our clinical trials and commercial manufacturing, if any of our product candidates are approved;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patents, trade secret protection and regulatory exclusivity, both in the United States and internationally;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third-party insurance coverage and adequate reimbursement;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 candidates, if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with other products;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including the timing and enrollment of patients in our planned clinical trials, or to those of our manufacturers, suppliers, or other vendors resulting from the COVID-19 pandemic or similar public health crisis;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continued acceptable safety profile for our therapies following approval.</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our product candidates could significantly change the costs and timing associated with the development of that product candidate. We may never succeed in obtaining regulatory approval for any of our product candidates.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costs for personnel in executive, finance, corporate and business development, and administrative functions. General and administrative expenses also include legal fees relating to patent and corporate matters, professional fees for accounting, auditing, tax and administrative consulting services, insurance costs, administrative travel expenses, marketing expenses and other operating costs.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development of our product candidates and our continued research activities. We also anticipate that we will incur increased accounting, audit, legal, regulatory, compliance and director and officer insurance costs as well as legal, investor and public relations expenses associated with being a public company.</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and other income and expense, net</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and other income and expense consists of interest earned on our invested cash balances and interest expense related to our financing leases.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Comparison of three months ended June 30, 2024 and 2023</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June 30, 2024 and 2023:</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2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9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5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25,650</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16,513</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9,137</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59,202</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45,767</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17,373</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14,129</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76,575</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59,896</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(50,925 )</w:t>
            </w:r>
          </w:p>
        </w:tc>
        <w:tc>
          <w:tcPr>
            <w:tcW w:w="2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(43,383 )</w:t>
            </w: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(7,542 )</w:t>
            </w:r>
          </w:p>
        </w:tc>
        <w:tc>
          <w:tcPr>
            <w:tcW w:w="0" w:type="dxa"/>
            <w:vAlign w:val="bottom"/>
          </w:tcPr>
          <w:p>
            <w:pPr>
              <w:spacing w:after="0"/>
              <w:rPr>
                <w:sz w:val="1"/>
                <w:szCs w:val="1"/>
                <w:color w:val="auto"/>
              </w:rPr>
            </w:pPr>
          </w:p>
        </w:tc>
      </w:tr>
      <w:tr>
        <w:trPr>
          <w:trHeight w:val="243"/>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8,863</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(42,062 )</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(38,799 )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(3,263 )</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-187960</wp:posOffset>
            </wp:positionV>
            <wp:extent cx="603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-187960</wp:posOffset>
            </wp:positionV>
            <wp:extent cx="514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recognize revenue under our collaboration agreements based on our pattern of performance related to the respective identified performance obligations, which is the period over which we will perform research services under each of the respective agreements.</w:t>
      </w:r>
    </w:p>
    <w:p>
      <w:pPr>
        <w:spacing w:after="0" w:line="54"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Collaboration revenues were $25.7 million for the three months ended June 30, 2024, the entirety of which is attributable to our collaboration agreement with Sanofi. Collaboration revenues were $16.5 million for the three months ended June 30, 2023, of which $9.9 million and $6.6 million were attributable to our collaboration agreements with Sanofi and Vertex, respectively.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0" w:name="page31"/>
    <w:bookmarkEnd w:id="30"/>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each period presented (program expenses are not disclosed prior to formal development candidate nomination):</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2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5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 costs:</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IRAK4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4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(3,159 )</w:t>
            </w:r>
          </w:p>
        </w:tc>
        <w:tc>
          <w:tcPr>
            <w:tcW w:w="0" w:type="dxa"/>
            <w:vAlign w:val="bottom"/>
          </w:tcPr>
          <w:p>
            <w:pPr>
              <w:spacing w:after="0"/>
              <w:rPr>
                <w:sz w:val="1"/>
                <w:szCs w:val="1"/>
                <w:color w:val="auto"/>
              </w:rPr>
            </w:pPr>
          </w:p>
        </w:tc>
      </w:tr>
      <w:tr>
        <w:trPr>
          <w:trHeight w:val="247"/>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STAT3</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(803 )</w:t>
            </w:r>
          </w:p>
        </w:tc>
        <w:tc>
          <w:tcPr>
            <w:tcW w:w="0" w:type="dxa"/>
            <w:vAlign w:val="bottom"/>
          </w:tcPr>
          <w:p>
            <w:pPr>
              <w:spacing w:after="0"/>
              <w:rPr>
                <w:sz w:val="1"/>
                <w:szCs w:val="1"/>
                <w:color w:val="auto"/>
              </w:rPr>
            </w:pPr>
          </w:p>
        </w:tc>
      </w:tr>
      <w:tr>
        <w:trPr>
          <w:trHeight w:val="239"/>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MDM2</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STAT6</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11,707</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11,707</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(246 )</w:t>
            </w:r>
          </w:p>
        </w:tc>
        <w:tc>
          <w:tcPr>
            <w:tcW w:w="0" w:type="dxa"/>
            <w:vAlign w:val="bottom"/>
          </w:tcPr>
          <w:p>
            <w:pPr>
              <w:spacing w:after="0"/>
              <w:rPr>
                <w:sz w:val="1"/>
                <w:szCs w:val="1"/>
                <w:color w:val="auto"/>
              </w:rPr>
            </w:pPr>
          </w:p>
        </w:tc>
      </w:tr>
      <w:tr>
        <w:trPr>
          <w:trHeight w:val="243"/>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Internal research and development costs</w:t>
            </w: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28,567</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23,068</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5,499</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59,202</w:t>
            </w:r>
          </w:p>
        </w:tc>
        <w:tc>
          <w:tcPr>
            <w:tcW w:w="4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45,767</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-187960</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-187960</wp:posOffset>
            </wp:positionV>
            <wp:extent cx="514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$59.2 million for the three months ended June 30, 2024, compared to $45.8 million for the three months ended June 30, 2023. The increase of $13.4 million was primarily due to a $5.5 million increase in personnel, stock-based compensation, occupancy, and other internal costs due to increase investment in employee talent and facilities in the research and development functions and a $12.1 million increase in costs related to our STAT6 and MDM2. These increases were partially offset by a $4.2 million reduction in activities related to our IRAK4, STAT3 and discovery programs.</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$17.4 million for the three months ended June 30, 2024, compared to $14.1 million for the three months ended June 30, 2023. This increase was primarily due to an increase in legal and professional service fees, personnel, facility, occupancy, and other expenses to support our growth. Stock based compensation expenses included in general and administrative expenses were $7.1 million and $5.5 million for the three months ended June 30, 2024 and June 30, 2023, respectively.</w:t>
      </w:r>
    </w:p>
    <w:p>
      <w:pPr>
        <w:spacing w:after="0" w:line="3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was no impairment on long-lived assets for the three months ended June 30, 2024 or June 30, 2023.</w:t>
      </w:r>
    </w:p>
    <w:p>
      <w:pPr>
        <w:spacing w:after="0" w:line="200" w:lineRule="exact"/>
        <w:rPr>
          <w:sz w:val="20"/>
          <w:szCs w:val="20"/>
          <w:color w:val="auto"/>
        </w:rPr>
      </w:pPr>
    </w:p>
    <w:p>
      <w:pPr>
        <w:spacing w:after="0" w:line="2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Other income, net was $8.9 million for the three months ended June 30, 2024, compared to $4.6 million for the three months ended June 30, 2023. The $4.3 million increase was primarily due to the increase in our investments balance as a result of the 2024 financing activities as well as prevailing interest rates in the respective periods.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1" w:name="page32"/>
    <w:bookmarkEnd w:id="31"/>
    <w:p>
      <w:pPr>
        <w:ind w:left="520"/>
        <w:spacing w:after="0"/>
        <w:rPr>
          <w:sz w:val="20"/>
          <w:szCs w:val="20"/>
          <w:color w:val="auto"/>
        </w:rPr>
      </w:pPr>
      <w:r>
        <w:rPr>
          <w:rFonts w:ascii="Times New Roman" w:cs="Times New Roman" w:eastAsia="Times New Roman" w:hAnsi="Times New Roman"/>
          <w:sz w:val="18"/>
          <w:szCs w:val="18"/>
          <w:i w:val="1"/>
          <w:iCs w:val="1"/>
          <w:color w:val="auto"/>
        </w:rPr>
        <w:t>Comparison of six months ended June 30, 2024 and 2023</w:t>
      </w:r>
    </w:p>
    <w:p>
      <w:pPr>
        <w:spacing w:after="0" w:line="3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six months ended June 30, 2024 and 2023:</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60" w:type="dxa"/>
            <w:vAlign w:val="bottom"/>
            <w:gridSpan w:val="6"/>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60" w:type="dxa"/>
            <w:vAlign w:val="bottom"/>
          </w:tcPr>
          <w:p>
            <w:pPr>
              <w:spacing w:after="0"/>
              <w:rPr>
                <w:sz w:val="13"/>
                <w:szCs w:val="13"/>
                <w:color w:val="auto"/>
              </w:rPr>
            </w:pPr>
          </w:p>
        </w:tc>
        <w:tc>
          <w:tcPr>
            <w:tcW w:w="11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6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4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35,937</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25,979</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108,021</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87,994</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26,694</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144,693</w:t>
            </w:r>
          </w:p>
        </w:tc>
        <w:tc>
          <w:tcPr>
            <w:tcW w:w="12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114,688</w:t>
            </w: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30,005</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(108,756 )</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(88,709 )</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(20,047 )</w:t>
            </w:r>
          </w:p>
        </w:tc>
        <w:tc>
          <w:tcPr>
            <w:tcW w:w="0" w:type="dxa"/>
            <w:vAlign w:val="bottom"/>
          </w:tcPr>
          <w:p>
            <w:pPr>
              <w:spacing w:after="0"/>
              <w:rPr>
                <w:sz w:val="1"/>
                <w:szCs w:val="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18,137</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8,982</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(90,619 )</w:t>
            </w: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(79,727 )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(10,892 )</w:t>
            </w: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-659130</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-659130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recognize revenue under our collaboration agreements based on our pattern of performance related to the respective identified performance obligations, which is the period over which we will perform research services under each of the respective agreements.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Collaboration revenues were $35.9 million for the six months ended June 30, 2024, the entirety of which is attributable to our collaboration agreement with Sanofi. Collaboration revenues were $26.0 million for the six months ended June 30, 2023, of which $17.6 million and $8.4 million were attributable to our collaboration agreements with Sanofi and Vertex, respectively.</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each period presented (program expenses are not disclosed prior to formal development candidate nomination):</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0" w:type="dxa"/>
            <w:vAlign w:val="bottom"/>
            <w:gridSpan w:val="4"/>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6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4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External research and development costs: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IRAK4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7,138</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(3,907 )</w:t>
            </w: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STAT3</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(983 )</w:t>
            </w:r>
          </w:p>
        </w:tc>
        <w:tc>
          <w:tcPr>
            <w:tcW w:w="0" w:type="dxa"/>
            <w:vAlign w:val="bottom"/>
          </w:tcPr>
          <w:p>
            <w:pPr>
              <w:spacing w:after="0"/>
              <w:rPr>
                <w:sz w:val="1"/>
                <w:szCs w:val="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MDM2</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STAT6</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15,626</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(1,614 )</w:t>
            </w:r>
          </w:p>
        </w:tc>
        <w:tc>
          <w:tcPr>
            <w:tcW w:w="0" w:type="dxa"/>
            <w:vAlign w:val="bottom"/>
          </w:tcPr>
          <w:p>
            <w:pPr>
              <w:spacing w:after="0"/>
              <w:rPr>
                <w:sz w:val="1"/>
                <w:szCs w:val="1"/>
                <w:color w:val="auto"/>
              </w:rPr>
            </w:pPr>
          </w:p>
        </w:tc>
      </w:tr>
      <w:tr>
        <w:trPr>
          <w:trHeight w:val="243"/>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Internal research and development costs</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56,689</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45,678</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108,021</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87,994</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-187960</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-187960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$108.0 million for the six months ended June 30, 2024, compared to $88.0 million for the six months ended June 30, 2023. The increase of $20.0 million was primarily due to an increase of $11.0 million in personnel, stock-based compensation, occupancy, and other internal costs in the research and development functions as well as an increase of $15.6 million in costs related to our STAT6 and program. These increases were partially offset by a $6.6 million reduction in activities related to our IRAK4, STAT3, MDM2 and discovery programs.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$31.7 million for the six months ended June 30, 2024, compared to $26.7 million for the six months ended June 30, 2023. The $5.0 million increase was primarily due to an increase in legal and professional service fees, personnel, facility, occupancy, and other expenses to support our growth. Stock based compensation expenses included in general and administrative expenses were $13.0 million and $10.1 million for the six months ended June 30, 2024 and June 30, 2023,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2" w:name="page33"/>
    <w:bookmarkEnd w:id="32"/>
    <w:p>
      <w:pPr>
        <w:ind w:left="76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Impairment on long-lived assets was $4.9 million for the six months ended June 30, 2024, compared to $0 for six months ended June 30, 2023. The increase of $4.9 million was as a result of the occupancy of the 2021 Lease facility in February of 2024 and the corresponding exit of the 2019 Lease facility, resulting in an impairment charge of $4.9 million in the six months ended June 30, 2024.</w:t>
      </w:r>
    </w:p>
    <w:p>
      <w:pPr>
        <w:spacing w:after="0" w:line="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Other income, net was $18.1 million for the six months ended June 30, 2024, compared to $9.0 million for the six months ended June 30, 2023. The $9.1 million increase was primarily due to an increase in the Marketable Securities balance as well as the prevailing interest rates in the respective periods.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not yet generated any revenue from any product sales, and we have incurred significant operating losses since our inception. We have not yet commercialized any products and we do not expect to generate revenue from sales of products for several years, if at all. To date, we have received gross proceeds of $1.45 billion from sales of our convertible preferred stock, the sale of common stock including our August 2020 IPO and concurrent private placement, our July 2021 follow-on offering and concurrent private placement, our August 2022 PIPE offering, January 2024 follow-on offering, our Sales Agreement with Cowen and Company, LLC., and through our corporate collaborations. As of June 30, 2024 we had cash and cash equivalents and marketable securities of $702.4 million.</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October 2021, we entered into a sales agreement, or Sales Agreement, with Cowen and Company, LLC, or Cowen, pursuant to which we may offer and sell shares of our common stock having aggregate gross proceeds of up to $250.0 million from time to time in “at-the-market” offerings through Cowen, as our sales agent. We agreed to pay Cowen a commission of up to 3.0% of the gross proceeds of any shares sold by Cowen under the Sales Agreement. As of June 30, 2024 we have sold 1,519,453 shares of common stock under the Sales Agreement resulting in gross proceeds of approximately $50 million.</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59"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4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5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(in</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43"/>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(82,527 )</w:t>
            </w:r>
          </w:p>
        </w:tc>
        <w:tc>
          <w:tcPr>
            <w:tcW w:w="360" w:type="dxa"/>
            <w:vAlign w:val="bottom"/>
            <w:shd w:val="clear" w:color="auto" w:fill="CFF0FC"/>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(79,224 )</w:t>
            </w:r>
          </w:p>
        </w:tc>
        <w:tc>
          <w:tcPr>
            <w:tcW w:w="20" w:type="dxa"/>
            <w:vAlign w:val="bottom"/>
          </w:tcPr>
          <w:p>
            <w:pPr>
              <w:spacing w:after="0"/>
              <w:rPr>
                <w:sz w:val="21"/>
                <w:szCs w:val="21"/>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investing activities</w:t>
            </w:r>
          </w:p>
        </w:tc>
        <w:tc>
          <w:tcPr>
            <w:tcW w:w="240" w:type="dxa"/>
            <w:vAlign w:val="bottom"/>
          </w:tcPr>
          <w:p>
            <w:pPr>
              <w:spacing w:after="0"/>
              <w:rPr>
                <w:sz w:val="20"/>
                <w:szCs w:val="20"/>
                <w:color w:val="auto"/>
              </w:rPr>
            </w:pPr>
          </w:p>
        </w:tc>
        <w:tc>
          <w:tcPr>
            <w:tcW w:w="10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(314,965 )</w:t>
            </w: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60,423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355,168</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(42,324 )</w:t>
            </w:r>
          </w:p>
        </w:tc>
        <w:tc>
          <w:tcPr>
            <w:tcW w:w="3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(16,337 )</w:t>
            </w:r>
          </w:p>
        </w:tc>
        <w:tc>
          <w:tcPr>
            <w:tcW w:w="20" w:type="dxa"/>
            <w:vAlign w:val="bottom"/>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-187960</wp:posOffset>
            </wp:positionV>
            <wp:extent cx="5143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 used in Operating Activities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2024, cash used in operating activities was $82.5 million, primarily resulting from our net loss of $90.6 million during the period and the $32.2 million change in deferred revenue related to our collaboration agreements. These were offset by a $12.8 million net decrease in other operating assets and liabilities primarily driven by changes in accounts receivable, accounts payable, accrued expenses and operating lease liabilities and adjustments for non-cash items of $27.5 million (primarily consisting of stock-based compensation, lease impairment charge, depreciation &amp; amortization and premiums &amp; discounts on available-sale-securities).</w:t>
      </w:r>
    </w:p>
    <w:p>
      <w:pPr>
        <w:spacing w:after="0" w:line="29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2023, cash used in operating activities was $79.2 million, primarily resulting from our net loss of $79.7 million during the period, the $18.5 million change in deferred revenue under our Sanofi and Vertex collaboration agreements, and a $0.6 million net decrease in other operating assets and liabilities primarily driven by changes in accounts receivable, accounts payable, accrued expenses and operating lease liabilities. These were offset by adjustments for non-cash items of $19.6 million (primarily consisting of stock-based compensation, depreciation &amp; amortization and premiums &amp; discounts on available-sale-securities).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 provided by Investing Activities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cash used in investing activities was $315.0 million comprised of purchases of marketable securities of $526.9 million and purchases of property and equipment of $12.1 million, partially offset by maturities of marketable securities of $224.0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3" w:name="page34"/>
    <w:bookmarkEnd w:id="33"/>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2023, cash provided by investing activities was $60.4 million comprised of maturities of marketable securities of $189.7 million, partially offset by purchases of marketable securities of $114.5 million and purchases of property and equipment of $14.8 million.</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 provided by Financing Activities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net cash provided by financing activities was $355.2 million, consisting of $301.4 million in proceeds from issuance of common stock and accompanying pre-funded warrants, net of offering costs, $48.7 million in proceeds from the issuance of common stock through an Sales Agreement, net of issuance costs, $4.6 million in proceeds from the exercise of employee stock options, $1.1 million from proceeds from the employee stock purchase plan, partially offset by finance lease payments of $0.6 million.</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2023, net cash provided by financing activities was $2.5 million, consisting of $2.1 million in proceeds from the exercise of employee stock options and $1.0 million in proceeds from the employee stock purchase plan, partially offset by finance lease payments of $0.6 million.</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Future funding requirements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advance the later-stage clinical development of our product candidates. In addition, we expect to incur additional costs associated with operating as a public company.</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the development of our product candidates and programs and because the extent to which we may enter into collaborations with third parties for development of our product candidates is unknown, we are unable to estimate the timing and amounts of increased capital outlays and operating expenses associated with completing the research and development of our product candidates. The timing and amount of our operating expenditures will depend largely on:</w:t>
      </w:r>
    </w:p>
    <w:p>
      <w:pPr>
        <w:spacing w:after="0" w:line="72" w:lineRule="exact"/>
        <w:rPr>
          <w:sz w:val="20"/>
          <w:szCs w:val="20"/>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nonclinical studies and clinical trials for our product candidates or any future product candidates we may develop;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relationships with key collaborators;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comparable foreign regulatory authorities, including the potential for such authorities to require that we perform more nonclinical studies or clinical trials than those that we currently expect or change their requirements on studies that had previously been agreed to;</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continuing to grow our business, including hiring key personnel and maintaining or acquiring operating space;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market acceptance of any approved product candidates, including product pricing, as well as product coverage and the adequacy of reimbursement by third-party payors;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licensing or investing in additional businesses, products,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selecting, auditing and potentially validating a manufacturing site for commercial-scale manufacturing;</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we may receive regulatory approval and that we determine to commercialize;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believe the existing cash, cash equivalents and marketable securities of $702.4 million as of June 30, 2024, will enable us to fund our operating expenses and capital expenditure requirements into the first half of 2027. We have based this estimate on assumptions that may prove to be wrong, and we could exhaust our available capital resources sooner than we expect. We expect that we will require additional funding to continue the clinical development of our clinical programs, commercialize our product candidates if we receive regulatory approval, and pursue in-licenses or acquisitions of other product candidates. If we receive regulatory approval for any of our product candidates, we expect to incur significant commercialization expenses related to product manufacturing, sales, marketing and distribution, depending on where we choose to commercialize our product candidates.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collaborations, strategic alliances, and marketing, distribution or licensing arrangements with third parties. However, we may be unable to raise additional funds or enter into such other arrangements when needed on favorable terms or at all. Market volatility resulting from macroeconomic factors could also adversely impact our ability to access capital as and when needed. To the extent that we raise additional capital through the sale of equity or convertible debt securities, the ownership interests of our existing stockholders may be materially diluted, and the terms of such securities could include liquidation or other preferences that adversely affect the rights of our common stockholders.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contractual obligations and commitments described under “Management’s Discussion and Analysis of Financial Condition and Results of Operations” in our Annual Report on Form 10-K for the fiscal year ended December 31, 2023.</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generally accepted accounting principles in the United States.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During the six months ended June 30, 2024, there were no material changes to our critical accounting policies from those described in our Annual Report Form 10-K filed with the SEC on February 22, 2024.</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Our primary exposure to market risk is interest rate sensitivity, which is affected by changes in the general level of U.S. interest rates, particularly because our investments, including cash equivalents, are in the form of money market funds and marketable securities and are invested in U.S. treasury or government obligations and corporate securities. However, because of the short-term nature of the duration of our portfolio and the low-risk profile of our investments, we believe an immediate 10% change in market interest rates would not be expected to have a material impact on the fair market value of our investments portfolio or on our financial condition or results of operations.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also exposed to market risk related to changes in foreign currency exchange rates. We contract with vendors that are located in Asia and Europe and certain invoices are denominated in foreign currencies. We are subject to fluctuations in foreign currency rates in connection with these arrangements. We do not currently hedge our foreign currency exchange rate risk. As of June 30, 2024, we had no significant liabilities denominated in foreign currencies.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third party vendors, and clinical trial costs. The global macroeconomic environment has experienced, and continues to experience, extraordinary challenges. These macroeconomic factors have contributed, and we expect will continue to contribute, to increased costs, among other concerns. We cannot predict how long these inflationary pressures will continue, or how they may change over time, but we expect to see continued impacts on the global economy, our industry and our company. If inflationary pressures continue to persist, they may continue to have an adverse impact on our consolidated financial position, results of operations and/or cash flows. As a result of the inflationary environment, however, interest rates have increased, which has resulted in higher interest income rates than were previously realized.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Management’s Evaluation of our Disclosure Controls and Procedures</w:t>
      </w:r>
    </w:p>
    <w:p>
      <w:pPr>
        <w:spacing w:after="0" w:line="13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who serves as our Principal Executive Officer, and our Chief Financial Officer, who serves as our Principal Financial Officer, has evaluated the effectiveness of our disclosure controls and procedures as of June 30, 2024, the end of the period covered by this Quarterly Report. Based upon such evaluation, our Chief Executive Officer and Chief Financial Officer have concluded that our disclosure controls and procedures were effective at the reasonable assurance level as of such date.</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period covered by this Quarterly Report that have materially affected, or are reasonably likely to materially affect, our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unaudited condensed consolidated financial statements and related notes included elsewhere in this Quarterly Report on Form 10-Q, the Quarterly Report. This discussion and analysis and other parts of this Quarterly Report contain forward-looking statements based upon current activities, plans and expectations that involve risks, uncertainties and assumptions, such as express or implied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Part II, Item 1A, “Risk Factors” and elsewhere in this Quarterly Report. You should carefully read the “Risk Factors” section of this Quarterly Report to gain an understanding of the important factors that could cause actual results to differ materially from our forward-looking statements. Please also see the section entitled “Special Note Regarding Forward-Looking Statements.”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biopharmaceutical company with a limited operating history and have not generated any revenue to date from drug sales, and may never become profitable.</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Biopharmaceutical drug development is a highly speculative undertaking and involves a substantial degree of risk. Since our formation in 2015 and our initial funding in 2016, our operations to date have been limited primarily to organizing and staffing our company, business planning, raising capital, researching and developing our drug discovery technology, developing our pipeline, building our intellectual property portfolio, undertaking preclinical studies and conducting Phase 1 clinical trials of our product candidates. We have never generated any revenue from drug sales. We have not obtained regulatory approvals for any of our current product candidates. Typically, it takes many years to develop one new pharmaceutical drug from the time it is discovered to when it is available for treating patients. Consequently, any predictions we make about our future success or viability may not be as accurate as they could be if we had a longer operating history. In addition, as a business with a limited operating history, we may encounter unforeseen expenses, difficulties, complications, delays and other known and unknown factors, such as the pandemics or developments relating to macroeconomic conditions. We will need to transition from a company with a research and development focus to a company capable of supporting late-stage development and commercial activities. We may not be successful in such a transition.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our inception and anticipate that we will incur continued losses for the foreseeable future.</w:t>
      </w:r>
    </w:p>
    <w:p>
      <w:pPr>
        <w:spacing w:after="0" w:line="22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Since inception, we have focused substantially all of our efforts and financial resources on developing our proprietary targeted protein degradation drug discovery platform, or the PegasusTM platform, and initial product candidates as well as supporting our collaborations and partnerships. To date, we have financed our operations primarily through the issuance and sale of our convertible preferred stock to outside investors and collaborators in private equity financings, upfront payments under our collaborations and our initial public offering (IPO), follow-on offerings, PIPE offering and at-the market sales program. From our inception through June 30, 2024, we raised an aggregate of approximately $1.45 billion of gross proceeds from such transactions and through our collaborations. As of June 30, 2024, our cash and cash equivalents and investments were $702.4 million. We have incurred net losses in each year since our inception, and we had an accumulated deficit of $621.4 million as of June 30, 2024. For the years ended December 31, 2023, 2022 and 2021, we reported net losses of $147.0 million, $154.8 million, $100.2 million, respectively. We reported net losses of $42.1 million and $90.6 million for the three and six months ended June 30, 2024 respectively, and $38.8 million and $79.7 million for the three and six months ended June 30, 2023, respectively. Substantially all of our operating losses have resulted from costs incurred in connection with our research and development programs and from general and administrative costs associated with our operations. We expect to continue to incur significant expenses and increasing operating losses over the next several years and for the foreseeable future. Our prior losses, combined with expected future losses, have had and will continue to have an adverse effect on our stockholders’ deficit and working capital. We expect our expenses to significantly increase in connection with our ongoing activities, as we: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7" w:name="page38"/>
    <w:bookmarkEnd w:id="37"/>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complete preclinical studies and clinical trials for current or future product candidates</w:t>
      </w:r>
    </w:p>
    <w:p>
      <w:pPr>
        <w:spacing w:after="0" w:line="10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submit Investigational New Drug applications, or INDs, with the FDA, for future product candidates</w:t>
      </w:r>
      <w:r>
        <w:rPr>
          <w:rFonts w:ascii="Times New Roman" w:cs="Times New Roman" w:eastAsia="Times New Roman" w:hAnsi="Times New Roman"/>
          <w:sz w:val="21"/>
          <w:szCs w:val="21"/>
          <w:color w:val="auto"/>
        </w:rPr>
        <w:t>;</w:t>
      </w:r>
    </w:p>
    <w:p>
      <w:pPr>
        <w:spacing w:after="0" w:line="11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scale up our capabilities to support our ongoing preclinical activities and clinical trials for our product candidates and commercialization of any of our product candidates for which we may obtain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facilities to support continued growth in our research, development and commercialization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research and development related activities to expand our product pipeline;</w:t>
      </w:r>
    </w:p>
    <w:p>
      <w:pPr>
        <w:spacing w:after="0" w:line="12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improve the capabilities of our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our product candidates that successfully complete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to manufacture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staff, including clinical, scientific and management personnel;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continuing to operate as a public company.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if we obtain marketing approval for our current or future product candidates, we will incur significant expenses relating to sales, marketing, product manufacturing and distribution. Because of the numerous risks and uncertainties associated with developing pharmaceutical drugs, we are unable to predict the extent of any future losses or when we will become profitable, if at all. Even if we do become profitable, we may not be able to sustain or increase our profitability on a quarterly or annual basis.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Future Financial Condition</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substantial additional funding. If we are unable to raise capital when needed or on attractive terms, we would be forced to delay, scale back or discontinue some of our product candidate development programs or future commercialization efforts.</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development of pharmaceutical drugs is capital-intensive. We are engaged in clinical development activities on various programs and are also currently advancing multiple development candidates through preclinical development across a number of potential indications. We expect our expenses to increase substantially in connection with our ongoing activities, particularly as we continue the research and development of, advance the preclinical and clinical activities of, and seek marketing approval for, our current or future product candidates. In addition, if we obtain marketing approval for any of our current or future product candidates, we expect to incur significant commercialization expenses related to sales, marketing, product manufacturing and distribution to the extent that such sales, marketing, product manufacturing and distribution are not the responsibility of our collaborators. We may also need to raise additional funds sooner if we choose to pursue additional indications and/or geographies for our current or future product candidates or otherwise expand more rapidly than we presently anticipate.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scale back or discontinue the development and commercialization of one or more of our product candidates, and may be unable to expand our operations or otherwise capitalize on our business opportunities, as desired, which could materially affect our business, financial condition and results of operations.</w:t>
      </w:r>
    </w:p>
    <w:p>
      <w:pPr>
        <w:spacing w:after="0" w:line="18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of June 30, 2024, we had approximately $702.4 million of cash and cash equivalents and investments. In August 2020, we completed an IPO of our common stock by issuing 9,987,520 shares of our common stock, including the exercise in full by the underwriters of their option to purchase up to 1,302,720 additional shares of common stock, at a public offering price of $20.00 per share. The aggregate gross proceeds to us from the offering, before deducting underwriting discounts and commissions, and other estimated offering expenses payable by us, were approximately $199.8 million. Concurrent with the IPO, we announced the sale of 676,354 common shares at the public offering price per share in a private placement to Vertex. The aggregate gross proceeds to us from the concurrent private placement were approximately $13.5 million. The concurrent private placement also closed in August 2020. In July 2021, we completed a follow-on offering of our common stock and an additional private placement transaction with Vertex resulting, in the aggregate, in net proceeds of approximately, $243.1 million. In August 2022, we completed a PIPE offering of our common stock and pre-funded warrants resulting in gross proceeds of $150.0 million. In January 2024, we completed a follow-on offering of our common stock and pre-funded warrants resulting in gross proceeds of $316.2 million before deducting underwriting discounts and commissions and estimated offering expenses. In February 2024, we received $50 million before deduction sales commissions from sales of common stock under our sales agreement with Cowen and Company, LLC. We expect that the approximately $702.4 million of cash and cash equivalents and investments at June 30, 2024, will be sufficient to fund our operations into the first half of 2027. We have based this estimate on assumptions that may prove to be wrong, and we could use our capital resources sooner than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spacing w:after="0" w:line="282" w:lineRule="auto"/>
        <w:rPr>
          <w:sz w:val="20"/>
          <w:szCs w:val="20"/>
          <w:color w:val="auto"/>
        </w:rPr>
      </w:pPr>
      <w:r>
        <w:rPr>
          <w:rFonts w:ascii="Times New Roman" w:cs="Times New Roman" w:eastAsia="Times New Roman" w:hAnsi="Times New Roman"/>
          <w:sz w:val="18"/>
          <w:szCs w:val="18"/>
          <w:color w:val="auto"/>
        </w:rPr>
        <w:t>we currently expect. This estimate also assumes that we do not obtain any additional funding through collaborations or other strategic alliances. Our future capital requirements will depend on, and could increase significantly as a result of, many factors, including:</w:t>
      </w:r>
    </w:p>
    <w:p>
      <w:pPr>
        <w:spacing w:after="0" w:line="54" w:lineRule="exact"/>
        <w:rPr>
          <w:sz w:val="20"/>
          <w:szCs w:val="20"/>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our current or future product candidates, including additional expenses attributable to adjusting our development plans (including any supply related matters);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collaborations on favorable terms, if at all;</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any existing or additional collaboration agreements we obtain;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future collaboration agreements, if any;</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current or future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commercial production;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and marketing capabilities if we obtain regulatory clearances to market our current or future product candidates.</w:t>
      </w:r>
    </w:p>
    <w:p>
      <w:pPr>
        <w:spacing w:after="0" w:line="3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years to complete, and we may never generate the necessary data or results required to obtain marketing approval and achieve drug sales. In addition, our current or future product candidates, if approved, may not achieve commercial success. Our commercial revenues, if any, will be derived from sales of drugs that we do not expect to be commercially available for many years, if at all. Accordingly, we will need to continue to rely on additional funding to achieve our business objectives.</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current or future product candidates. Disruptions in the financial markets in general may make equity and debt financing more difficult to obtain and may have a material adverse effect on our ability to meet our fundraising needs. We cannot guarantee that future financing will be available in sufficient amounts or on terms favorable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current or future product candidates or otherwise agree to terms unfavorable to us, any of which may have a material adverse effect on our business, operating results and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as a result of operating as a public company, and our management will be required to devote substantial time to new compliance initiatives.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a public company, we will continue to incur significant legal, accounting and other expenses that we did not incur as a private company. We are subject to the reporting requirements of the Securities Exchange Act of 1934, as amended, or the Exchange Act, which require, among other things, that we file with the Securities and Exchange Commission, or the SEC, annual, quarterly and current reports with respect to our business and financial condition. In addition, the Sarbanes-Oxley Act of 2002, as amended, or Sarbanes-Oxley Act, as well as rules subsequently adopted by the SEC and The Nasdaq Global Market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We were required to implement these requirements beginning in 2022 and incurred unexpected expenses in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jc w:val="both"/>
        <w:spacing w:after="0" w:line="266" w:lineRule="auto"/>
        <w:rPr>
          <w:sz w:val="20"/>
          <w:szCs w:val="20"/>
          <w:color w:val="auto"/>
        </w:rPr>
      </w:pPr>
      <w:r>
        <w:rPr>
          <w:rFonts w:ascii="Times New Roman" w:cs="Times New Roman" w:eastAsia="Times New Roman" w:hAnsi="Times New Roman"/>
          <w:sz w:val="18"/>
          <w:szCs w:val="18"/>
          <w:color w:val="auto"/>
        </w:rPr>
        <w:t>connection with such implementation.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rules and regulations applicable to public companies substantially increase our legal and financial compliance costs and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1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FDIC, as receiver. Since that date, SVB has announced they have been acquired by First Citizens Bank and have resumed mostly normal operations. Similarly, on March 12, 2023, Signature Bank and Silvergate Capital Corp. were each swept into receivership. Since then, additional financial institutions have experienced similar failures and have been placed into receivership. In addition, if any of our customers,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In this regard, counterparties to SVB credit agreements and arrangements,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w:t>
      </w:r>
    </w:p>
    <w:p>
      <w:pPr>
        <w:spacing w:after="0" w:line="18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whom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0" w:name="page41"/>
    <w:bookmarkEnd w:id="40"/>
    <w:p>
      <w:pPr>
        <w:ind w:right="500"/>
        <w:spacing w:after="0" w:line="282" w:lineRule="auto"/>
        <w:rPr>
          <w:sz w:val="20"/>
          <w:szCs w:val="20"/>
          <w:color w:val="auto"/>
        </w:rPr>
      </w:pPr>
      <w:r>
        <w:rPr>
          <w:rFonts w:ascii="Times New Roman" w:cs="Times New Roman" w:eastAsia="Times New Roman" w:hAnsi="Times New Roman"/>
          <w:sz w:val="18"/>
          <w:szCs w:val="18"/>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54"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access to deposits or other financial assets or the uninsured loss of deposits or other financial assets;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lost access to working capital sources and/or delays, inability or reductions in our ability to enter into new credit facilities or other working capital resources;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breach of contractual obligations that require us to maintain letters of credit or other credit support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breach of financial covenants in any credit agreements or credit arrangements;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cross-defaults in other credit agreements, credit arrangements or operating or financing agreements.</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89"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supplier may determine that it will no longer deal with us as a customer. In addition, a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Any supplier bankruptcy or insolvency, or any breach or default by a supplier, or the loss of any significant supplier relationships, could result in material losses to us and may have a material adverse impact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Drug Development and Regulatory Approval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Preclinical and Clinical Development</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very early in our development efforts and our IRAK4, STAT3 and MDM2 programs are in early clinical development. If we are unable to advance them through the clinic for safety or effective reasons or commercialize our product candidates or experience significant delays in doing so, our business will be materially harmed.</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while we have generated collaboration revenue, we have not generated any revenue from our product candidates, and we do not expect to generate any revenue from the sale of drugs in the near future. We do not expect to generate revenue from product sales unless and until we complete the development of, obtain marketing approval for, and begin to sell, one or more of our product candidates. We are also unable to predict when, if ever, we will be able to generate revenue from such product candidates due to the numerous risks and uncertainties associated with drug development, including the uncertainty of:</w:t>
      </w:r>
    </w:p>
    <w:p>
      <w:pPr>
        <w:spacing w:after="0" w:line="75"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ongoing or planned clinical trials of our product candidates;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preclinical studies and timing of IND clearances of future product candidates, and/or clinical trial costs for current and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successful initiation, enrollment of and completion of clinical trials for current and future product candidates, including our ability to generate positive data from any such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and successful completion of all safety studies required to obtain U.S. and foreign marketing approval for our product candidates;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ind w:left="1020" w:right="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development of any additional development programs we identify in-house or acquire through collaborations or other arrangements;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manufacturing capabilities or make arrangements with third-party manufacturers for clinical supply and commercial manufacturing;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or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acceptance of our product candidates, if and when approved, by patients, the medical community and third-party payors;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existing collaborations as well as the terms and timing of any additional collaboration, license or other arrangement, including the terms and timing of any payments thereunder;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and defend intellectual property rights and claims;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continued acceptable safety profile of our product candidates following approval.</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expect to incur significant sales and marketing costs as we prepare to commercialize our current or future product candidates. Even if we initiate and successfully complete pivotal or registration-enabling clinical trials of our current or future product candidates, and our current or future product candidates are approved for commercial sale, and despite expending these costs, our current or future product candidates may not be commercially successful. We may not achieve profitability soon after generating drug sales, if ever. If we are unable to generate revenue, we will not become profitable and may be unable to continue operations without continued funding.</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product candidates based on our Pegasus platform is novel and unproven, which makes it difficult to predict the time, cost of development and likelihood of successfully developing any products.</w:t>
      </w:r>
    </w:p>
    <w:p>
      <w:pPr>
        <w:spacing w:after="0" w:line="166"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Our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utilizes a method known as targeted protein degradation, or TPD, to discover and develop product candidates. Our future success depends on the successful development of this novel therapeutic approach. No product candidate using a heterobifunctional degrader has been approved in the United States or Europe, and the data underlying the feasibility of developing such therapeutic products is both preliminary and limited. In addition, we have not yet succeeded and may not succeed in demonstrating the efficacy and safety of any of our product candidates in clinical trials or in obtaining marketing approval thereafter. In particular, our ability to successfully achieve TPD with a therapeutic result requires the successful development of heterobifunctional molecules that were intentionally designed with a rational drug development process and developing those molecules with the right combination of protein targets and E3 ligases. This is a complex process requiring a number of component parts or biological mechanisms to work in unison to achieve the desired effect. We cannot be certain that we will be able to discover degraders by matching the right target with the ideal E3 ligase and the right linker in a timely manner, or at all. All of our product candidates are in preclinical or early clinical development. As such, there may be adverse effects from treatment with any of our current or future product candidates that we cannot predict at this time.</w:t>
      </w:r>
    </w:p>
    <w:p>
      <w:pPr>
        <w:spacing w:after="0" w:line="199" w:lineRule="exact"/>
        <w:rPr>
          <w:sz w:val="20"/>
          <w:szCs w:val="20"/>
          <w:color w:val="auto"/>
        </w:rPr>
      </w:pPr>
    </w:p>
    <w:p>
      <w:pPr>
        <w:jc w:val="both"/>
        <w:ind w:firstLine="509"/>
        <w:spacing w:after="0" w:line="230" w:lineRule="auto"/>
        <w:rPr>
          <w:sz w:val="20"/>
          <w:szCs w:val="20"/>
          <w:color w:val="auto"/>
        </w:rPr>
      </w:pPr>
      <w:r>
        <w:rPr>
          <w:rFonts w:ascii="Times New Roman" w:cs="Times New Roman" w:eastAsia="Times New Roman" w:hAnsi="Times New Roman"/>
          <w:sz w:val="18"/>
          <w:szCs w:val="18"/>
          <w:color w:val="auto"/>
        </w:rPr>
        <w:t>As a result of these factors, it is more difficult for us to predict the time and cost of product candidate development, and we cannot predict whether the application of our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or any similar or competitive platforms, will result in the development and marketing approval of any products. Any development problems we experience in the future related to our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or any of our research programs may cause significant delays or unanticipated costs or may prevent the development of a commercially viable product. Any of these factors may prevent us from completing our preclinical studies and clinical trials or commercializing any product candidates we may develop on a timely or profitable basis, if at all.</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82"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A key element of our strategy is to apply our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and product pipeline to address a broad array of targets and new therapeutic areas. The therapeutic discovery activities that we are conducting may not be successful in identifying product candidates that are useful in treating oncology, inflammation, immunology or genetic diseases. Our research programs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19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focus on a limited number of research programs and product candidates. We are currently focused on our immunology portfolio, consisting of IRAK4, STAT6 and TYK2 programs, which target key signaling pathways implicated in multiple inflammatory and autoimmune diseases, as well as our oncology portfolio, consisting of our STAT3 and MDM2 programs, which target numerous cancers. In some instances, we may decide to discontinue our investment in programs. For example, in November 2023, we announced the decision to discontinue the development of our KT-413 (IRAKIMID) program in order to focus resources to support our growing immunology pipeline. As a result, we may forego or delay pursuit of opportunities with other current or future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current or future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22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the successful development of our lead programs. We cannot be certain that we will be able to obtain regulatory approval for, or successfully commercialize, any of our current or future product candidates.</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currently have no product candidates approved for sale and may never be able to develop marketable product candidates. Our business depends heavily on the successful development, regulatory approval and commercialization of our current or future product candidates. The preclinical studies and clinical trials of our current or future product candidates are, and the manufacturing and marketing of our current or future product candidates will be, subject to extensive and rigorous review and regulation by numerous government authorities in the U.S. and in other countries where we intend to test or, if approved, market any of our current or future product candidates. Before obtaining regulatory approvals for the commercial sale of any of our current or future product candidates, we must demonstrate through preclinical studies and clinical trials that each product candidate is safe and effective for use in each target indication. Drug development is a long, expensive and uncertain process, and delay or failure can occur at any stage of any of our preclinical studies and clinical trials. This process can take many years and may include post-marketing studies and surveillance, which will require the expenditure of substantial resources. Of the large number of drugs in development in the U.S., only a small percentage will successfully complete the FDA regulatory approval process and will be commercialized, with similarly low rates of success for drugs in development in the European Union obtaining regulatory approval from the European Commission following scientific evaluation by the European Medicines Agency, or EMA. Accordingly, even if we are able to obtain the requisite financing to continue to fund our development and preclinical studies and clinical trials, we cannot assure you that any of our current or future product candidates will be successfully developed or commercialized. For example, in December 2020, we submitted an IND application for KT-474 to initiate a first-in-human Phase 1 randomized, double-blind, placebo-controlled clinical trial in healthy volunteers and patients with HS or AD. The program was initially placed on partial clinical hold regarding the multiple ascending dose, or MAD, portion of the Phase 1 trial, pending FDA review of the interim data in healthy volunteers from the SAD portion of the trial. In June 2021, the FDA lifted the partial clinical hold on the MAD portion of the Phase 1 trial of KT-474 following review of interim SAD results, and the Phase 1 trial has since been completed.</w:t>
      </w:r>
    </w:p>
    <w:p>
      <w:pPr>
        <w:spacing w:after="0" w:line="19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not permitted to market our current or future product candidates in the U.S. until we receive approval of a New Drug Application, or an NDA, from the FDA, in the European Union, or EU, until we receive approval of a marketing authorization application, or an MAA, from the European Commission following scientific evaluation by the EMA, or in any other foreign countries until we receive the requisite approval from such countries. Obtaining approval of an NDA or MAA is a complex, lengthy, expensive and uncertain process, and the FDA or EMA may delay, limit or deny approval of any of our current or future product candidates for many reasons, including, among others:</w:t>
      </w:r>
    </w:p>
    <w:p>
      <w:pPr>
        <w:spacing w:after="0" w:line="75" w:lineRule="exact"/>
        <w:rPr>
          <w:sz w:val="20"/>
          <w:szCs w:val="20"/>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our current or future product candidates are safe and effective in treating their target indications to the satisfaction of the FDA or applicable foreign regulatory agency;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preclinical studies and clinical trials may not meet the level of statistical or clinical significance required by the FDA or applicable foreign regulatory agency for marketing approval;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3" w:name="page44"/>
    <w:bookmarkEnd w:id="43"/>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disagree with the number, design, size, conduct or implementation of our preclinical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require that we conduct additional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not approve the formulation, labeling or specifications of any of our current or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research organizations, or CROs, that we retain to conduct our preclinical studies and clinical trials may take actions outside of our control that materially adversely impact our preclinical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find the data from preclinical studies and clinical trials insufficient to demonstrate that our current or future product candidates’ clinical and other benefits outweigh their safety risks;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disagree with our interpretation of data from our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not accept data generated at our preclinical studies and clinical trial sites;</w:t>
      </w:r>
    </w:p>
    <w:p>
      <w:pPr>
        <w:spacing w:after="0" w:line="15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NDA, if and when submitted,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development of a Risk Evaluation and Mitigation Strategy, or REMS, as a condition of approval or post-approval;</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applicable foreign regulatory agency may determine that the manufacturing processes or facilities of third-party manufacturers with which we contract do not conform to applicable requirements, including current Good Manufacturing Practices, or cGMPs;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be delayed in its review processes due to staffing or other constraints;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change its approval policies or adopt new regulations.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jeopardize our ability to obtain regulatory approval for and successfully market our current or future product candidates. Any such setback in our pursuit of regulatory approval would have a material adverse effect on our business and prospects.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initiation or enrollment of patients in clinical trials, our receipt of necessary regulatory approvals could be delayed or prevented.</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There may be delays in trial initiation, and we may not be able to locate and enroll a sufficient number of eligible patients to participate in these trials as required by the FDA or similar regulatory authorities outside the U.S. Moreover, some of our competitors have ongoing clinical trials for current or future product candidates that treat the same patient populations as our current or future product candidates, and patients who would otherwise be eligible for our clinical trials may instead enroll in clinical trials of our competitors’ current or future product candidates.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Patient enrollment may be affected by other factors including:</w:t>
      </w:r>
    </w:p>
    <w:p>
      <w:pPr>
        <w:spacing w:after="0" w:line="117"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companies for clinical sites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participants to enroll in our clinical trials in our countries of interest;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clinical trial in question;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 appropriate screening test for the indications we are pursuing;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and completion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we may not be able to control, such as potential pandemics that may limit subjects, principal investigators or staff or clinical site availability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For example, in June 2024, we announced positive interim results from our Phase 1 trial of KT-333 and in November 2023, we announced positive interim results from our Phase 1a trial of KT-253. However, there can be no assurance that the final topline data from either trial will be consistent with such results or otherwise viewed as positive.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trials. Interim data from clinical trials that we may complete, including data from of our clinical trials, are subject to the risk that one or more of the clinical outcomes may materially change as patient enrollment continues and more patient data become available or as patients from our clinical trials continue other treatments for their diseases.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19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results of operations, prospects or financial condition.</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Positive results from early preclinical studies and clinical trials of our current or future product candidates are not necessarily predictive of the results of later preclinical studies and clinical trials of our current or future product candidates. If we cannot replicate the positive results from our preclinical studies of our current or future product candidates in our future clinical trials, we may be unable to successfully develop, obtain regulatory approval for and commercialize our current or future product candidates.</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Positive results from our preclinical studies of our current or future product candidates, and any positive results we may obtain from our early clinical trials of our current or future product candidates, including the ongoing clinical trials of KT-474, KT-333 and KT-253 may not necessarily be predictive of the results from required later preclinical studies and clinical trials. Similarly, even if we are able to complete our planned preclinical studies or clinical trials of our current or future product candidates according to our current development timeline, the positive results from such preclinical studies and/or clinical trials of our current or future product candidates, including KT-474, KT-621, KT-294, KT-333 and KT-253, may not be replicated in subsequent preclinical studies or clinical trials. In particular, while we have conducted certain preclinical studies of KT-621 and KT-294, we do not know whether either of these product candidates will perform in our planned clinical trials as it has performed in these prior preclinical studies. For example, in preclinical studies, (i) KT-621 demonstrated full inhibiination of IL-4/IL-13 pathway in all relevant human cell contexts with picomolar potency that was superior to dupilumab, and equivalent or superior activity to dupilumab, and (ii) KT-294 demonstrated picomolar to nanomolar potencies across all relevant human cell types evaluated. However, there is no guarantee these preclinical results will be replicated in clinical trials. Many companies in the pharmaceutical and biotechnology industries have suffered significant setbacks in late-stage clinical trials after achieving positive results in early-stage development, and we cannot be certain that we will not face similar setbacks.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jc w:val="both"/>
        <w:spacing w:after="0" w:line="255" w:lineRule="auto"/>
        <w:rPr>
          <w:sz w:val="20"/>
          <w:szCs w:val="20"/>
          <w:color w:val="auto"/>
        </w:rPr>
      </w:pPr>
      <w:r>
        <w:rPr>
          <w:rFonts w:ascii="Times New Roman" w:cs="Times New Roman" w:eastAsia="Times New Roman" w:hAnsi="Times New Roman"/>
          <w:sz w:val="18"/>
          <w:szCs w:val="18"/>
          <w:color w:val="auto"/>
        </w:rPr>
        <w:t>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approval from the FDA or comparable foreign regulatory authority. If we fail to produce positive results in our planned preclinical studies or clinical trials of any of our current or future product candidates, the development timeline and regulatory approval and commercialization prospects for our current or future product candidates, and, correspondingly, our business and financial prospects, would be materially adversely affected.</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Additionally, our planned or future clinical trials may utilize an “open-label” trial design, such as the open-label patient portion of our completed Phase 1 clinical trial of KT-474 and ongoing Phase 1 clinical trials of KT-333 and KT-253.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including our completed Phase 1 trial of KT-474 and ongoing Phase 1 clinical trials of KT-333 and KT-253, may not be predictive of future clinical trial results with any of our product candidates for which we include an open-label clinical trial when studied in a controlled environment with a placebo or active control.</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and ability to achieve profitability will be adversely affected, possibly materially.</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precise incidence and prevalence for the indications being pursued by our current and future product candidates are currently unknown. Our projections of both the number of people who have these diseases, as well as the subset of people with these diseases who have the potential to benefit from treatment with our product candidates, are based on estimates. We are developing KT-474 for the treatment of a broad set of immunology-inflammation diseases, such as HS, an inflammatory skin disease, AD, and rheumatoid arthritis. The total addressable market opportunity for our product candidates will ultimately depend upon, among other things, their proven safety and efficacy, the diagnosis criteria included in the final label for each, whether our product candidates are approved for sale for these indications, acceptance by the medical community and patient access, product pricing and reimbursement. The number of patients for our product candidates in the United States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an infectious disease may materially and adversely affect our business and our financial results and could cause a disruption to the development of our product candidate.</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Public health crises such as pandemics or similar outbreaks could adversely impact our business. For example, in December 2019, a novel strain of a virus named SARS-CoV-2 (severe acute respiratory syndrome coronavirus 2), or coronavirus, which causes COVID-19, surfaced in Wuhan, China and has since spread worldwide, including to Eastern Massachusetts where our primary office and laboratory space is located. The pandemic and policies and regulations implemented by governments in response to the pandemic, most of which have been lifted, have had a significant impact, both direct and indirect, on businesses and commerce. The coronavirus pandemic has evolved considerably, and led to the implementation of various responses, including government-imposed quarantines, travel restrictions and other public health safety measures which now have been lifted. The extent to which any future pandemic impacts our operations or those of our third-party partners, including our preclinical studies or clinical trial operations, will also depend on future developments, which are highly uncertain and cannot be predicted with confidence, including the duration of the outbreak, new information that will emerge concerning the severity of disease and the actions to contain the disease or treat its impact, among others. For example, similar to other biopharmaceutical companies, we may experience delays in enrolling subjects in our clinical trials. Infectious diseases may also affect employees of third-party CROs located in affected geographies that we rely upon to carry out our clinical trials. In addition, the patient populations that our lead and other core product candidates target may be particularly susceptible to infectious diseases or its variants, which may make it more difficult for us to identify patients able to enroll in our clinical trials and may impact the ability of enrolled patients to complete any such trials. Any negative impact that any future infectious disease spread has to patient enrollment or treatment, or the execution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Additionally, timely enrollment in clinical trials is dependent upon clinical trial sites which will be adversely affected by global health matters, such as pandemics. Some factors from any public health crisis that may delay or otherwise adversely affect enrollment in the clinical trials of our product candidates, as well as our business generally, include:</w:t>
      </w:r>
    </w:p>
    <w:p>
      <w:pPr>
        <w:spacing w:after="0" w:line="68" w:lineRule="exact"/>
        <w:rPr>
          <w:sz w:val="20"/>
          <w:szCs w:val="20"/>
          <w:color w:val="auto"/>
        </w:rPr>
      </w:pPr>
    </w:p>
    <w:p>
      <w:pPr>
        <w:jc w:val="both"/>
        <w:ind w:left="102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prospective clinical trials;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travel that could interrupt key trial and business activities, such as clinical trial site initiations and monitoring, domestic and international travel by employees, contractors or patients to clinical trial sites, including any government-imposed travel restrictions or quarantines that will impact the ability or willingness of patients, employees or contractors to travel to our clinical trial sites or secure visas or entry permissions, a loss of face-to-face meetings and other interactions with potential partners, any of which could delay or adversely impact the conduct or progress of our clinical trials;</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negative affect on the operations of our third-party manufacturers and the supply chain for our product candidates. For example, in February 2020, one of our vendors for active pharmaceutical ingredient, or API, starting materials based in Wuhan, China ceased its operations for several weeks due to the COVID-19 pandemic, which caused a minor delay in the delivery of API starting materials to a separate vendor who manufactures API;</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global shipping affecting the transport of clinical trial materials, such as patient samples, investigational drug product and conditioning drugs and other supplies used in our current and prospective clinical trials;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caused by potential workplace, laboratory and office closures and an increased reliance on employees working from home, disruptions to or delays in ongoing laboratory experiments and operations, staffing shortages, travel limitations or mass transit disruptions, any of which could adversely impact our business operations or delay necessary interactions with local regulators, ethics committees and other important agencies and contractors.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cannot presently predict the scope and severity of additional planned and potential shutdowns or disruptions of businesses and government agencies, such as the SEC or FDA. Any of these factors, and other factors related to any such disruptions that are unforeseen, could have a material adverse effect on our business and our results of operations and financial condition. Further, uncertainty around these and related issues could lead to adverse effects on the economy of the United States and other economies, which could impact our ability to raise the necessary capital needed to develop and commercialize our product candidates. Other global health concerns could also result in social, economic, and labor instability in the countries in which we or the third parties with whom we engage operate.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or future product candidates may cause adverse or other undesirable side effects that could delay or prevent their regulatory approval, limit the commercial profile of an approved label, or result in significant negative consequences following marketing approval, if any.</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All of our product candidates are in preclinical or early clinical development, and there may be adverse effects from treatment with any of our current or future product candidates that we cannot predict at this time. Undesirable side effects caused by our current or future product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many treatments for inflammatory and autoimmune diseases, cancer or other diseases, it is likely that there may be adverse side effects associated with the use of our product candidates. Additionally, a potential risk in any protein degradation product is that healthy proteins or proteins not targeted for degradation will be degraded or that the degradation of the targeted protein in itself could cause adverse events, undesirable side effects, or unexpected characteristics. It is possible that healthy proteins or proteins not targeted for degradation could be degraded using our degrader molecules in any of our current or future clinical studies. There is also the potential risk of delayed adverse events following treatment using any of our current or future product candidates.</w:t>
      </w:r>
    </w:p>
    <w:p>
      <w:pPr>
        <w:spacing w:after="0" w:line="18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These side effects could arise due to off-target activity, allergic reactions in trial subjects, or unwanted on-target effects in the body. Results of our clinical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current or future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 our current or future product candidates could cause undesirable side effects in clinical trials related to on-target toxicity. If on-target toxicity is observed, or if our current or future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early-stage testing for treating cancer or other diseases have later been found to cause side effects that prevented further development of the compound.</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 clinical trials by their nature utilize a sample of the potential patient population. With a limited number of patients and limited duration of exposure, rare and severe side effects of our current or future product candidates may only be uncovered with a significantly larger number of patients exposed to the product candidate. If our current or future product candidates receive marketing approval and we or others identify undesirable side effects caused by such current or future product candidates after such approval, a number of potentially significant negative consequences could result, including:</w:t>
      </w:r>
    </w:p>
    <w:p>
      <w:pPr>
        <w:spacing w:after="0" w:line="72"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limit their approval of such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such current or future product candidates are distributed or administered, conduct additional clinical trials or change the labeling of the current or future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REMS plan to mitigate risks, which could include medication guides, physician communication plans, or elements to assure safe use, such as restricted distribution methods, patient registries and other risk minimization tools;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current or future product candidates from the marketplace;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current or future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believe that any of these events could prevent us from achieving or maintaining market acceptance of the affected product candidates and could substantially increase the costs of commercializing our current or future product candidates, if approved, and significantly impact our ability to successfully commercialize our current or future product candidates and generate revenues.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Manufacturing our current or future product candidates is complex and we may encounter difficulties in production. If we encounter such difficulties, our ability to provide supply of our current or future product candidates for preclinical studies and clinical trials or for commercial purposes could be delayed or stopped.</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process of manufacturing our current or future product candidates is complex and highly regulated. We do not have our own manufacturing facilities or personnel and currently rely, and expect to continue to rely, on third parties for the manufacture of our current or future product candidates. These third-party contract manufacturing organizations, or CMOs, may not be able to provide adequate resources or capacity to meet our needs and may incorporate their own proprietary processes into our product candidate manufacturing processes. We have limited control and oversight of a third party’s proprietary process, and a third party may elect to modify its process without our consent or knowledge. These modifications, such as any impacting the product formulation, could negatively impact our manufacturing, including by resulting in product loss or failure that requires additional manufacturing runs or a change in manufacturer, either of which could significantly increase the cost of and significantly delay the manufacture of our current or future product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Legislative proposals are pending that, if enacted, could negatively impact U.S. companies and institutions that accept U.S. funding for projects that utilize biotechnology equipment and services produced or provided by certain biotechnology providers having relationships with foreign adversaries and which pose a threat to national security. This includes proposed legislation currently pending in the U.S. Senate and House of Representatives. The potential downstream adverse impacts on entities having only commercial relationships with any impacted biotechnology providers is unknown but may include supply chain disruptions or delays. Though we do not currently receive U.S. government funding, we are currently evaluating steps to mitigate any potential impact of any future stricter legislation towards foreign entities providing services to U.S. based companies. Depending on the terms of the final legislation enacted, these steps could result in additional costs and potential delays in development timelines resulting from related transition efforts.</w:t>
      </w:r>
    </w:p>
    <w:p>
      <w:pPr>
        <w:spacing w:after="0" w:line="18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If any CMO with whom we contract fails to perform its obligations, we may be forced to enter into an agreement with a different CMO, which we may not be able to do on reasonable terms, if at all. This could significantly delay our clinical trials supply as we establish alternative supply sources. In some cases, the technical skills required to manufacture our product candidates or products, if approved,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 that such CMO owns independently. This would increase our reliance on such CMO or require us to obtain a license from such CMO in order to have another CMO manufacture our product candidates. In addition, as our current or future product candidates progress through preclinical studies and clinical trials towards potential approval and commercialization, it is expected that various aspects of the manufacturing process will be altered in an effort to optimize processes and results. Such changes may require amendments to be made to regulatory applications which may further delay the timeframes under which modified manufacturing processes can be used for any of our current or future product candidates and additional bridging studies or trials may be required between our prior clinical supply used in our clinical trials and that of any new manufacturer. We may be unsuccessful in demonstrating the comparability of clinical supplies which could require the conduct of additional clinical trials. Any such delay could have a material adverse impact on our business, results of operations and prospects.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Regulatory Approval</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for our current or future product candidates, we will not be able to commercialize, or will be delayed in commercializing, our current or future product candidates, and our ability to generate revenue will be materially impaired.</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current or future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U.S. and by comparable authorities in other countries. Before we can commercialize any of our current and future product candidates, we must obtain marketing approval from the regulatory authorities in the relevant jurisdictions. We have not received approval to market any of our current product candidates from regulatory authorities in any jurisdiction, and it is possible that none of our current product candidates, nor any product candidates we may seek to develop in the future, will ever obtain regulatory approval. As a company, we have only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drug manufacturing process to, and inspection of manufacturing facilities and often clinical sites by, the relevant regulatory authority. Our current or future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process of obtaining regulatory approvals, both in the U.S.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NDA or equivalent application type outside the U.S.,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The U.S. Supreme Court’s decision in July 2024 to overturn established case law giving deference to regulatory agencies’ interpretations of ambiguous statutory language has introduced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uncertainty regarding the extent to which FDA’s regulations, policies and decisions may become subject to increasing legal challenges, delays or changes.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current or future product candidates could be delayed in receiving, or fail to receive, regulatory approval for many reasons, including the following</w:t>
      </w:r>
      <w:r>
        <w:rPr>
          <w:rFonts w:ascii="Times New Roman" w:cs="Times New Roman" w:eastAsia="Times New Roman" w:hAnsi="Times New Roman"/>
          <w:sz w:val="21"/>
          <w:szCs w:val="21"/>
          <w:color w:val="auto"/>
        </w:rPr>
        <w:t>:</w:t>
      </w:r>
    </w:p>
    <w:p>
      <w:pPr>
        <w:spacing w:after="0" w:line="87"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current or future product candidates may not be sufficient to support the submission of an NDA or other submission or to obtain regulatory approval in the U.S. or elsewhere;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Even if we were to obtain approval, regulatory authorities may approve any of our current or future product candidates for fewer or more limited indications than we request, may not approve the price we intend to charge for our drugs,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current or future product candidates.</w:t>
      </w:r>
    </w:p>
    <w:p>
      <w:pPr>
        <w:spacing w:after="0" w:line="18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current or future product candidates, the commercial prospects for our current or future product candidates may be harmed and our ability to generate revenues will be materially impaired.</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Breakthrough Therapy Designation and/or Fast Track Designation for any of our current or future product candidates. These designations, even if granted by the FDA, may not lead to a faster development, regulatory review or approval process, and such designations do not increase the likelihood that any of our product candidates will receive marketing approval in the United States.</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may seek a Breakthrough Therapy Designation for one or more of our current or future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priority review and accelerated approval. Designation as a breakthrough therapy is within the discretion of the FDA. Accordingly, even if we believe one of our current or future product candidates meets the criteria for designation as a breakthrough therapy, the FDA may disagree and instead determine not to make such designation. In any event, the receipt of a Breakthrough Therapy Designation for a current or future product candidate may not result in a faster development process, review or approval compared to therapies considered for approval under conventional FDA procedures and does not assure ultimate approval by the FDA. In addition, even if one or more of our current or future product candidates qualify as breakthrough therapies, the FDA may later decide that such product candidates no longer meet the conditions for qualification or decide that the time period for FDA review or approval will not be shortened.</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may seek Fast Track Designation for one or more of our current or future product candidates. In the third quarter of 2023, the U.S. Food and Drug Administration granted Fast Track designation to KT-333 for the treatment of both relapsed/refractory CTCL and relapsed/refractory PTCL. If a drug is intended for the treatment of a serious or life-threatening condition and the drug demonstrates the potential to address unmet medical needs for this condition, the drug sponsor may apply for Fast Track Designation. The FDA has broad discretion whether or not to grant this designation, so even if we believe a particular current or future product candidate is eligible for this designation, we cannot assure you that the FDA would decide to grant it. Even if we do receive Fast Track Designation for certain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current or future product candidates, we may not experience a faster development process, review or approval compared to conventional FDA procedures.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may withdraw Fast Track Designation if it believes that the designation is no longer supported by data from our clinical development program.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Fast Track Designation alone does not guarantee qualification for the FDA’s priority review procedures.</w:t>
      </w:r>
    </w:p>
    <w:p>
      <w:pPr>
        <w:spacing w:after="0" w:line="20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approval of KT-474, KT-621, KT-294, KT-333, KT-253 or any other future product candidate, where applicable, under the FDA’s accelerated approval pathway. This pathway may not lead to a faster development or regulatory review or approval process and it does not increase the likelihood that our product candidates will receive marketing approval.</w:t>
      </w:r>
    </w:p>
    <w:p>
      <w:pPr>
        <w:spacing w:after="0" w:line="1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may seek accelerated approval of KT-474, KT-621, KT-294, KT-333, KT-253 or future product candidates.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accelerated approval, the FDA likely would require that we perform adequate and well-controlled post-marketing clinical trials, and under FDORA the FDA is now permitted to require, as appropriate, that such trials be underway prior to approval or within a specific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Thus, even if we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w:t>
      </w:r>
    </w:p>
    <w:p>
      <w:pPr>
        <w:spacing w:after="0" w:line="1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obtained orphan drug designation for some of our product candidates. We may also seek Orphan Drug Designation for certain of our other current or future product candidates, and we may be unsuccessful or may be unable to maintain the benefits associated with Orphan Drug Designation, including the potential for market exclusivity.</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FDA has granted Orphan Drug Designation for KT-333 for the treatment of peripheral T cell lymphoma and cutaneous T cell lymphoma and for KT-253 for the treatment of acute myeloid leukemia. As part of our business strategy, we may also seek Orphan Drug Designation for certain indications of our other current or future product candidates, and we may be unsuccessful. Regulatory authorities in some jurisdictions, including the U.S.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In the U.S., Orphan Drug Designation entitles a party to financial incentives such as opportunities for grant funding towards clinical trial costs, tax advantages and user-fee waivers.</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Similarly, in the European Union, the European Commission, upon the recommendation of the EMA’s Committee for Orphan Medicinal Products, may grant orphan designation with respect products that are intended for the diagnosis, prevention or treatment of life-threatening or chronically debilitating conditions affecting not more than 5 in 10,000 persons in the European Union and for which no satisfactory method of diagnosis, prevention, or treatment has been authorized (or the product would be of significant benefit to those affected by the applicable condition). Additionally, designation may be granted for products intended for the diagnosis, prevention, or treatment of a life-threatening, seriously debilitating or serious and chronic condition when, without incentives, it is unlikely that sales of the product in the European Union would be sufficient to justify the necessary investment in developing the product. In the European Union, orphan designation entitles a party to financial incentives such as reduction of fees or fee waivers.</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U.S. and ten years in the European Union. The exclusivity period in the European Union can be reduced to six years if at the end of the fifth year, it is established that a product no longer meets the criteria for Orphan Designation, including where it is shown that the product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1" w:name="page52"/>
    <w:bookmarkEnd w:id="51"/>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Even if we obtain Orphan Drug exclusivity for a product, that exclusivity may not effectively protect the product from competition because competing drugs containing a different active ingredient can be approved for the same condition. In addition,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August 3, 2017, the U.S.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 Moreover, in the Consolidated Appropriations Act of 2021, Congress did not further change this interpretation when it clarified that the interpretation codified in FDARA would apply in cases where the FDA issued an orphan designation before the enactment of FDARA but where product approval came after the enactment of FDARA.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current or future product candidates, we will be subject to ongoing obligations and continued regulatory review, which may result in significant additional expense. Additionally, our current or future product candidates, if approved, could be subject to labeling and other restrictions and market withdrawal and we may be subject to penalties if we fail to comply with regulatory requirements or experience unanticipated problems with our product candidates when and if any of them are approved.</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If the FDA or a comparable foreign regulatory authority approves any of our current or future product candidates, the manufacturing processes, labeling, packaging, distribution, tracking and tracing, adverse event reporting, storage, advertising, promotion and recordkeeping for the drug will be subject to extensive and ongoing regulatory requirements. These requirements include submissions of safety and other post-marketing information and reports, registration requirements, and continued compliance with cGMPs and Good Clinical Practices, or GCPs, for any clinical trials that we conduct post-approval.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Any regulatory approvals that we receive for our current or future product candidates may also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Additionally, under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The FDA closely regulates the post-approval marketing and promotion of pharmaceutical and biological products to ensure such products are marketed only for the approved indications and in accordance with the provisions of the approved labeling. Later discovery of previously unknown problems with a drug, including adverse events of unanticipated severity or frequency, or with our third-party manufacturers or manufacturing processes, or failure to comply with regulatory requirements, may result in, among other things:</w:t>
      </w:r>
    </w:p>
    <w:p>
      <w:pPr>
        <w:spacing w:after="0" w:line="87"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drug, withdrawal of the drug from the market, or voluntary drug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drug license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seizure or detention, or refusal to permit the import or export of drugs;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current or future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product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Foreign Regulatory Approval and Foreign Markets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our current or future product candidates in the U.S., we may never receive regulatory approval to market our current or future product candidates outside of the U.S.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plan to seek regulatory approval of our current or future product candidates outside of the U.S. In order to market any product outside of the U.S., however,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substantially from that required to obtain FDA approval. The marketing approval processes in other countries generally implicate all of the risks detailed above regarding FDA approval in the U.S. as well as other risks. In particular, in many countries outside of the U.S.,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current or future product candidates in such foreign markets. Any such impairment would reduce the size of our potential market, which could have a material adverse impact on our business, results of operations and prospects.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penetrate foreign markets, where we would be subject to additional regulatory burdens and other risks and uncertainties that could materially adversely affect our business.</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not permitted to market or promote any of our current or future product candidates before we receive regulatory approval from the applicable regulatory authority in that foreign market, and we may never receive such regulatory approval for any of our current or future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current or future product candidates, and we cannot predict success in these jurisdictions. If we obtain approval of our current or future product candidates and ultimately commercialize our current or future product candidates in foreign markets, we would be subject to additional risks and uncertainties, including:</w:t>
      </w:r>
    </w:p>
    <w:p>
      <w:pPr>
        <w:spacing w:after="0" w:line="79" w:lineRule="exact"/>
        <w:rPr>
          <w:sz w:val="20"/>
          <w:szCs w:val="20"/>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 such that obtaining regulatory approvals outside of the U.S. may take longer and be more costly than obtaining approval in the U.S.;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our current or future product candidates in foreign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53" w:name="page54"/>
    <w:bookmarkEnd w:id="53"/>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potentially relevant third-party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Foreign Corrupt Practices Act of 1977 or comparable foreign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22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Foreign sales of our current or future product candidates could also be adversely affected by the imposition of governmental controls, political and economic instability, trade restrictions and changes in tariffs.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conduct clinical trials for current or future product candidates outside the U.S., and the FDA and comparable foreign regulatory authorities may not accept data from such trials.</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in the future choose to conduct one or more clinical trials outside the U.S., including in Europe.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basis for marketing approval in the U.S., the FDA will generally not approve the application on the basis of foreign data alone unless (i) the data are applicable to the U.S. population and U.S. medical practice,</w:t>
      </w:r>
    </w:p>
    <w:p>
      <w:pPr>
        <w:spacing w:after="0" w:line="3" w:lineRule="exact"/>
        <w:rPr>
          <w:sz w:val="20"/>
          <w:szCs w:val="20"/>
          <w:color w:val="auto"/>
        </w:rPr>
      </w:pPr>
    </w:p>
    <w:p>
      <w:pPr>
        <w:jc w:val="both"/>
        <w:ind w:firstLine="8"/>
        <w:spacing w:after="0" w:line="251" w:lineRule="auto"/>
        <w:tabs>
          <w:tab w:leader="none" w:pos="27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Among other matters, U.S. and foreign anti-corruption, including the Foreign Corrupt Practices Act (FCPA), anti-money laundering, export control, sanctions, and other trade laws and regulations, which we collectively refer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Anti-corruption and anti-bribery laws have been enforced aggressively in recent years and are interpreted broadly. Violations of Trade Laws can result in substantial criminal fines and civil penalties, imprisonment, the loss of trade privileges, debarment, tax reassessments, breach of contract and fraud litigation, reputational harm, and other consequences. As we increase our activities outside the United States, which may include increased interactions with</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4" w:name="page55"/>
    <w:bookmarkEnd w:id="54"/>
    <w:p>
      <w:pPr>
        <w:jc w:val="both"/>
        <w:spacing w:after="0" w:line="258" w:lineRule="auto"/>
        <w:rPr>
          <w:sz w:val="20"/>
          <w:szCs w:val="20"/>
          <w:color w:val="auto"/>
        </w:rPr>
      </w:pPr>
      <w:r>
        <w:rPr>
          <w:rFonts w:ascii="Times New Roman" w:cs="Times New Roman" w:eastAsia="Times New Roman" w:hAnsi="Times New Roman"/>
          <w:sz w:val="18"/>
          <w:szCs w:val="18"/>
          <w:color w:val="auto"/>
        </w:rPr>
        <w:t>officials and employees of government agencies or state-owned or -affiliated entities,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and financial condition. We have direct or indirect interactions with officials and employees of government agencies or government-affiliated hospitals, universities, and other organizations.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if any.</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some countries, particularly in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In addition, many countries outside the U.S. have limited government support programs that provide for reimbursement of products such as our product candidates, with an emphasis on private payors for access to commercial products. If reimbursement of our product candidates is unavailable or limited in scope or amount, or if pricing is set at unsatisfactory levels, our business could be materially harmed.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Compliance with Healthcare and Other Regulations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current or future product candidates, such drugs may become subject to unfavorable pricing regulations or third-party coverage and reimbursement policies, which would harm our business.</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products for which we may obtain regulatory approval. In the U.S. and in other countries, sales of any products for which we may receive regulatory marketing approval for commercial sale will depend, in part, on the availability of coverage and reimbursement from third-party payors. Third-party payors include government healthcare programs (e.g., Medicare and Medicaid), managed care providers, private health insurers, health maintenance organizations and other organizations. These third-party payors decide which medications they will pay for and establish reimbursement levels. The availability of coverage and extent of reimbursement by governmental and other third-party payors is essential for most patients to be able to afford treatments such as targeted protein degradation therapies.</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us to establish or maintain pricing sufficient to realize a sufficient return on our investment. Government authorities and third-party payors, such as private health insurers and health maintenance organizations, decide which medications they will pay for and establish reimbursement levels.</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our products will be covered and reimbursed under Medicare. Private payors tend to follow CMS to a substantial degree. Factors payors consider in determining reimbursement are based on whether the product is:</w:t>
      </w:r>
    </w:p>
    <w:p>
      <w:pPr>
        <w:spacing w:after="0" w:line="79"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ability to commercialize any current or future product candidates successfully also will depend in part on the extent to which coverage and reimbursement for these current or future product candidates and related treatments will be available from government authorities, private health insurers and other organizations. Moreover, a payor’s decision to provide coverage for a product does not imply that an adequate reimbursement rate will be approved. We cannot be sure that coverage will be available for any product candidate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jc w:val="both"/>
        <w:spacing w:after="0" w:line="282" w:lineRule="auto"/>
        <w:rPr>
          <w:sz w:val="20"/>
          <w:szCs w:val="20"/>
          <w:color w:val="auto"/>
        </w:rPr>
      </w:pPr>
      <w:r>
        <w:rPr>
          <w:rFonts w:ascii="Times New Roman" w:cs="Times New Roman" w:eastAsia="Times New Roman" w:hAnsi="Times New Roman"/>
          <w:sz w:val="18"/>
          <w:szCs w:val="18"/>
          <w:color w:val="auto"/>
        </w:rPr>
        <w:t>that we commercialize. If coverage is available, but reimbursement is available only to limited levels, we may not be able to successfully commercialize any product candidate for which we obtain marketing approval.</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U.S., no uniform policy exists for coverage and reimbursement for products among third-party payors. Therefore, decisions regarding the extent of coverage and amount of reimbursement to be provided can differ significantly from payor to payor. The process for determining whether a payor will provide coverage for a product may be separate from the process for setting the reimbursement rate a payor will pay for the product. One third-party payor’s decision to cover a particular product or service does not ensure that other payors will also provide coverage for the medical product or service. Third-party payors may limit coverage to specific products on an approved list or formulary, which may not include all FDA-approved products for a particular indication. Also, third-party payors may refuse to include a particular branded product on their formularies or otherwise restrict patient access to a branded drug when a less costly generic equivalent or other alternative is available.</w:t>
      </w:r>
    </w:p>
    <w:p>
      <w:pPr>
        <w:spacing w:after="0" w:line="18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or ASP, and best price. Penalties may apply in some cases when such metrics are not submitted accurately and timely. Further, these prices for drugs may be reduced by mandatory discounts or rebates required by government healthcare programs.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Despite our best efforts, our product candidates may not be considered medically necessary or cost-effective. If third-party payors do not consider a product to be cost-effective compared to other available therapies, they may not cover an approved product as a benefit under their plans or, if they do, the level of payment may not be sufficient to allow us to sell our products at a profit. A decision by a third-party payor not to cover a product could reduce physician utilization once the product is approved and have a material adverse effect on sales, our operations and financial condition.</w:t>
      </w:r>
    </w:p>
    <w:p>
      <w:pPr>
        <w:spacing w:after="0" w:line="19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Finally, in some foreign countries, the proposed pricing for a product candidate must be approved before it may be lawfully marketed. The requirements governing product pricing vary widely from country to country. For example, in the EU pricing and reimbursement of pharmaceutical products are regulated at a national level under the individual EU Member States’ social security systems. Some foreign countries provide options to restrict the range of medicinal products for which their national health insurance systems provide reimbursement and can control the prices of medicinal products for human use. To obtain reimbursement or pricing approval, some of these countries may require the completion of clinical trials that compare the cost effectiveness of a particular product candidate to currently available therapies. A country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products will allow favorable reimbursement and pricing arrangements for any of our product candidates. Even if approved for reimbursement, historically, product candidates launched in some foreign countries, such as some countries in the EU, do not follow price structures of the U.S. and prices generally tend to be significantly lower.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and future healthcare legislative reform measures may have a material adverse effect on our business and results of operations.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Changes in regulations, statutes or the interpretation of existing regulations could impact our business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and in some foreign jurisdictions, there have been, and likely will continue to be, a number of legislative and regulatory changes and proposed changes intended to broaden access to healthcare, improve the quality of healthcare, and contain or lower the cost of healthcare. For example, in March 2010, the Patient Protection and Affordable Care Act, as amended by the Health Care and Education Reconciliation Act, or the ACA, was passed, which substantially changed the way healthcare is financed by both governmental and private insurers, and significantly impacted the U.S. pharmaceutical industry. The ACA, among other things, subjects biological products to potential competition by lower-cost biosimilars, expands the types of entities eligible for the 340B drug discount program, addresses a new methodology by which rebates owed by manufacturers under the Medicaid Drug Rebate Program are calculated for drugs that are inhaled, infused, instilled, implanted or injected, increases rebates owed by manufacturers under the Medicaid Drug Rebate Program and extends the rebate program to individuals enrolled in Medicaid managed care organizations,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jc w:val="both"/>
        <w:spacing w:after="0" w:line="258" w:lineRule="auto"/>
        <w:rPr>
          <w:sz w:val="20"/>
          <w:szCs w:val="20"/>
          <w:color w:val="auto"/>
        </w:rPr>
      </w:pPr>
      <w:r>
        <w:rPr>
          <w:rFonts w:ascii="Times New Roman" w:cs="Times New Roman" w:eastAsia="Times New Roman" w:hAnsi="Times New Roman"/>
          <w:sz w:val="18"/>
          <w:szCs w:val="18"/>
          <w:color w:val="auto"/>
        </w:rPr>
        <w:t>establishes annual fees and taxes on manufacturers of certain branded prescription drugs, and creates a new Medicare Part D coverage gap discount program, in which manufacturers must agree to offer 50% (increased to 70% pursuant to the Bipartisan Budget Act of 2018, or BBA, effective as of January 2019)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Since its enactment, there have been judicial, administrative, executive and Congressional legislative challenges to certain aspects of the ACA, and we expect there will be additional challenges and amendments to the ACA in the future. On June 17, 2021, the U.S. Supreme Court dismissed the most recent judicial challenge to the ACA brought by several states without specifically ruling on the constitutionality of the ACA. In addition, President Biden has issued multiple executive orders that have sought to address the issue of prescription drug costs. It is unclear how other healthcare reform measures of the Biden administration or other efforts, if any, to challenge, repeal or replace the ACA will impact our business.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For example,</w:t>
      </w:r>
    </w:p>
    <w:p>
      <w:pPr>
        <w:spacing w:after="0" w:line="117" w:lineRule="exact"/>
        <w:rPr>
          <w:sz w:val="20"/>
          <w:szCs w:val="20"/>
          <w:color w:val="auto"/>
        </w:rPr>
      </w:pPr>
    </w:p>
    <w:p>
      <w:pPr>
        <w:jc w:val="both"/>
        <w:ind w:left="102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Budget Control Act of 2011, among other things, created measures for spending reductions by Congress that included, along with subsequent legislation, aggregate reductions of Medicare payments to providers of up to 2% per fiscal year will remain in effect through 2032 unless additional Congressional action is taken.</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American Taxpayer Relief Act of 2012 among other things, further reduced Medicare payments to several providers, including hospitals, imaging centers and cancer treatment centers, and increased the statute of limitations period for the government to recover overpayments to providers from three to five years. The BBA also amended the ACA, effective January 1, 2019, by increasing the point-of-sale discount that is owed by pharmaceutical manufacturers who participate in Medicare Part D and closing the coverage gap in most Medicare drug plans, commonly referred to as the “donut hole.”</w:t>
      </w:r>
    </w:p>
    <w:p>
      <w:pPr>
        <w:spacing w:after="0" w:line="7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American Rescue Plan Act of 2021 eliminates the statutory Medicaid drug rebate cap, currently set at 100% of a drug’s average manufacturer price, for single source and innovator multiple source drugs, effective January 1, 2024.</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53"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Inflation Reduction Act of 2022, or IRA, includes several provisions that may impact our business to varying degrees, including provisions that reduce the annual out-of-pocket spending cap for Medicare Part D beneficiaries from $7,050 to $2,000 starting in 2025, thereby effectively eliminating the coverage gap; impose new manufacturer financial liability on many drugs reimbursed under Medicare Part D; allow the U.S. government to negotiate Medicare Part B and Part D pricing for certain high-cost drugs and biologics without generic or biosimilar competition; and require companies to pay rebates to Medicare for drug prices that increase faster than inflation.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that challenges the constitutionality of the IRA’s Medicare drug price negotiation program. The effects of the IRA on our business and the healthcare industry in general is not yet known.</w:t>
      </w:r>
    </w:p>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 For example, CMS may develop new payment and delivery models, such as bundled payment models. Recently, there has been heightened governmental scrutiny over the manner in which manufacturers set prices for their marketed products. Such scrutiny has resulted in several recent U.S. Congressional inquiries and has further resulted in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87" w:lineRule="exact"/>
        <w:rPr>
          <w:sz w:val="20"/>
          <w:szCs w:val="20"/>
          <w:color w:val="auto"/>
        </w:rPr>
      </w:pPr>
    </w:p>
    <w:p>
      <w:pPr>
        <w:jc w:val="both"/>
        <w:ind w:firstLine="559"/>
        <w:spacing w:after="0" w:line="258" w:lineRule="auto"/>
        <w:rPr>
          <w:sz w:val="20"/>
          <w:szCs w:val="20"/>
          <w:color w:val="auto"/>
        </w:rPr>
      </w:pPr>
      <w:r>
        <w:rPr>
          <w:rFonts w:ascii="Times New Roman" w:cs="Times New Roman" w:eastAsia="Times New Roman" w:hAnsi="Times New Roman"/>
          <w:sz w:val="18"/>
          <w:szCs w:val="18"/>
          <w:color w:val="auto"/>
        </w:rPr>
        <w:t>Additionally, 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 On December 2, 2020, HHS published a regulation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jc w:val="both"/>
        <w:spacing w:after="0" w:line="255" w:lineRule="auto"/>
        <w:rPr>
          <w:sz w:val="20"/>
          <w:szCs w:val="20"/>
          <w:color w:val="auto"/>
        </w:rPr>
      </w:pPr>
      <w:r>
        <w:rPr>
          <w:rFonts w:ascii="Times New Roman" w:cs="Times New Roman" w:eastAsia="Times New Roman" w:hAnsi="Times New Roman"/>
          <w:sz w:val="18"/>
          <w:szCs w:val="18"/>
          <w:color w:val="auto"/>
        </w:rPr>
        <w:t>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the IRA further delayed implementation of this rule to January 1, 2032.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the U.S. Supreme Court’s decision in July 2024 to overturn established case law giving deference to regulatory agencies’ interpretations of ambiguous statutory language has introduced uncertainty regarding the extent to which FDA’s regulations, policies and decisions may become subject to increasing legal challenges, delays or changes.</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financial condition, results of operations and prospects.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which could negatively affect our business, financial condition, results of operations and prospects.</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We cannot predict the likelihood, nature or extent of government regulation that may arise from future legislation or administrative action in the United States.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health care providers, physicians,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future profits and earnings.</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current or future product candidates for which we obtain marketing approval. Our business operations and any current or future arrangements with third-party payors and customers may expose us to broadly applicable federal and state laws relating to fraud and abuse, as well as other healthcare laws and regulations. 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Such laws include, without limitation, state and federal anti-kickback, fraud and abuse, false claims, and transparency laws and regulations related to drug pricing and payments and other transfers of value made to physicians and other healthcare providers. If our operations are found to be in violation of any of such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 These laws may impact, among other things, the business or financial arrangements and relationships through which we market, sell and distribute any current or future product candidates for which we obtain marketing approval. See the section of the Annual Report titled “Government Regulation -other Regulatory Matters – Other Healthcare Laws” for additional information.</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jc w:val="both"/>
        <w:spacing w:after="0" w:line="253" w:lineRule="auto"/>
        <w:rPr>
          <w:sz w:val="20"/>
          <w:szCs w:val="20"/>
          <w:color w:val="auto"/>
        </w:rPr>
      </w:pPr>
      <w:r>
        <w:rPr>
          <w:rFonts w:ascii="Times New Roman" w:cs="Times New Roman" w:eastAsia="Times New Roman" w:hAnsi="Times New Roman"/>
          <w:sz w:val="18"/>
          <w:szCs w:val="18"/>
          <w:color w:val="auto"/>
        </w:rPr>
        <w:t>of any of these laws or any other governmental regulations that may apply to us, we may be subject to significant civil, criminal and administrative penalties, damages, fines, disgorgement, contractual damages, reputational harm, diminished profits and future earnings, imprisonment, exclusion from government funded healthcare programs, such as Medicare and Medicaid, and the curtailment or restructuring of our operations, as well as additional reporting obligations and oversight if we become subject to a corporate integrity agreement or similar settlement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 If any of the physicians or other healthcare providers or entities with whom we expect to do business is found to be not in compliance with applicable laws, they may be subject to similar actions, penalties, and sanctions.</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 Member States, such as the U.K. Bribery Act 2010. Infringement of these laws could result in substantial fines and imprisonment. 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In addition, we may incur substantial costs in order to comply with current or future environmental, health and safety laws and regulations. Current or future environmental laws and regulations may impair our research, development and production efforts, which could harm our business, prospects, financial condition or results of operations.</w:t>
      </w:r>
    </w:p>
    <w:p>
      <w:pPr>
        <w:spacing w:after="0" w:line="22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non-compliance with regulatory standards and requirements and insider trading laws.</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U.S. and abroad; or laws that require the reporting of financial information or data accurately. In particular, sales, marketing, patient support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Other activities subject to these laws include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jc w:val="both"/>
        <w:spacing w:after="0" w:line="266" w:lineRule="auto"/>
        <w:rPr>
          <w:sz w:val="20"/>
          <w:szCs w:val="20"/>
          <w:color w:val="auto"/>
        </w:rPr>
      </w:pPr>
      <w:r>
        <w:rPr>
          <w:rFonts w:ascii="Times New Roman" w:cs="Times New Roman" w:eastAsia="Times New Roman" w:hAnsi="Times New Roman"/>
          <w:sz w:val="18"/>
          <w:szCs w:val="18"/>
          <w:color w:val="auto"/>
        </w:rPr>
        <w:t>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Because of the breadth of these laws and the narrowness of the statutory exceptions and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criminal, civil and administrative sanctions including monetary penalties, damages, fines, disgorgement, individual imprisonment, reputational harm,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w:t>
      </w:r>
    </w:p>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our current or future product candidates, our current or future product candidates may not achieve broad market acceptance, which would limit the revenue that we generate from their sales.</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commercial success of our current or future product candidates, if approved by the FDA or other applicable regulatory authorities, will depend upon the awareness and acceptance of our current or future product candidates among the medical community, including physicians, patients and healthcare payors. Market acceptance of our current or future product candidates, if approved, will depend on a number of factors, including, among others:</w:t>
      </w:r>
    </w:p>
    <w:p>
      <w:pPr>
        <w:spacing w:after="0" w:line="68" w:lineRule="exact"/>
        <w:rPr>
          <w:sz w:val="20"/>
          <w:szCs w:val="20"/>
          <w:color w:val="auto"/>
        </w:rPr>
      </w:pPr>
    </w:p>
    <w:p>
      <w:pPr>
        <w:jc w:val="both"/>
        <w:ind w:left="1020" w:right="2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current or future product candidates as demonstrated in clinical trials, and, if required by any applicable regulatory authority in connection with the approval for the applicable indications, to provide patients with incremental health benefits, as compared with other available medicines;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for our current or future product candidates by the FDA or other applicable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current or future product candidates are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 already approved or expected to be commercially launched in the near future;</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current or future product candidates over current treatment options or alternative treatments, including future alternative treatments;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or treatment methods and of physicians to prescribe these therapies or methods;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dose such product candidates in combination with other therapeutic agents, and related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and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 effectiveness;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strategies;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our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third-party coverage or reimbursement;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third-party coverage.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0" w:name="page61"/>
    <w:bookmarkEnd w:id="60"/>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our current or future product candidates are approved but do not achieve an adequate level of acceptance by patients, physicians and payors, we may not generate sufficient revenue from our current or future product candidates to become or remain profitable. Before granting reimbursement approval, healthcare payors may require us to demonstrate that our current or future product candidates, in addition to treating these target indications, also provide incremental health benefits to patients. Our efforts to educate the medical community, patient organizations and third-party payors about the benefits of our current or future product candidates may require significant resources and may never be successful.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drugs before or more successfully than we do.</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development and commercialization of new drugs is highly competitive. We face and will continue to face competition from third parties that use protein degradation, antibody therapy, inhibitory nucleic acid, gene editing or gene therapy development platforms and from companies focused on more traditional therapeutic modalities, such as small molecule inhibitors. Potential competitors also include academic institutions, government agencies and other public and private research organizations that conduct research, seek patent protection and establish collaborative arrangements for research, development, manufacturing and commercialization of new drugs.</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Competitors in our efforts to develop small molecule protein degraders therapies for patients, include, but are not limited to, Arvinas, Inc., C4 Therapeutics, Inc., Foghorn Therapeutics Inc. and Nurix Therapeutics, Inc., some of which have entered clinical development. Further, several large pharmaceutical companies have disclosed preclinical and clinical investments in this field. Our competitors will also include companies that are or will be developing other targeted protein degradation methods as well as small molecule, antibody, or gene therapies for the same indications that we are targeting. In addition to the competitors we face in developing small molecule protein degraders, we will also face competition in the indications we expect to pursue with our IRAK4, STAT6, TYK2, STAT3 and MDM2 programs. Many of these indications already have approved standards of care which may include more traditional therapeutic modalities. In order to compete effectively with these existing therapies, we will need to demonstrate that our protein degrader therapies are favorable to existing therapeutics.</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Many of our current or future competitors have significantly greater financial resources and expertise in research and development, manufacturing, preclinical testing, conducting clinical trials, obtaining regulatory approvals and reimbursement and marketing approved drugs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sales, marketing and management personnel and establishing clinical trial sites and patient registration for clinical trials, as well as in acquiring technologies complementary to, or necessary for, our programs.</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current or future product candidates, if approved, are likely to be their efficacy, safety, convenience, price, the level of generic competition and the availability of reimbursement from government and other third-party payors.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current or future product candidates that we may develop.</w:t>
      </w:r>
    </w:p>
    <w:p>
      <w:pPr>
        <w:spacing w:after="0" w:line="159" w:lineRule="exact"/>
        <w:rPr>
          <w:sz w:val="20"/>
          <w:szCs w:val="20"/>
          <w:color w:val="auto"/>
        </w:rPr>
      </w:pPr>
    </w:p>
    <w:p>
      <w:pPr>
        <w:jc w:val="both"/>
        <w:ind w:firstLine="563"/>
        <w:spacing w:after="0" w:line="261"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current or future product candidates in human clinical trials and will face an even greater risk if we commercially sell any current or future product candidates that we may develop. If we cannot successfully defend ourselves against claims that our current or future product candidates caused injuries, we could incur substantial liabilities. Regardless of merit or eventual outcome, liability claims may result in:</w:t>
      </w:r>
    </w:p>
    <w:p>
      <w:pPr>
        <w:spacing w:after="0" w:line="72"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current or future product candidates that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1" w:name="page62"/>
    <w:bookmarkEnd w:id="61"/>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current or future product candidates that we may develop.</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do not yet maintain product liability insurance, and we anticipate that we will need to increase our insurance coverage when we begin clinical trials and if we successfully commercialize any product candidate. Insurance coverage is increasingly expensive. We may not be able to maintain product liability insurance coverage at a reasonable cost or in an amount adequate to satisfy any liability that may arise.</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are unable to establish sales and marketing and patient support capabilities or enter into agreements with third parties to sell and market our current or future product candidates, we may not be successful in commercializing our current or future product candidates if and when they are approved, and we may not be able to generate any revenue.</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do not currently have a sales or marketing infrastructure and have no experience in the sales, marketing, patient support or distribution of drugs. To achieve commercial success for any approved product candidate for which we retain sales and marketing responsibilities, we must build our sales, marketing, patient support, managerial and other non-technical capabilities or make arrangements with third parties to perform these services. In the future, we may choose to build a focused sales and marketing infrastructure to sell, or participate in sales activities with our collaborators for, some of our current or future product candidates if and when they are approved.</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There are risks involved with both establishing our own sales and marketing and patient support capabilities and entering into arrangements with third parties to perform these services. For example, recruiting and training a sales force is expensive and time consuming and could delay any drug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current or future product candidates on our own include:</w:t>
      </w:r>
    </w:p>
    <w:p>
      <w:pPr>
        <w:spacing w:after="0" w:line="117"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drugs;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drugs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patient support and distribution services, our drug revenues or the profitability of these drug revenues to us are likely to be lower than if we were to market and sell any current or future product candidates that we develop ourselves. In addition, we may not be successful in entering into arrangements with third parties to sell and market our current or future product candidates or may be unable to do so on terms that are favorable to us. We likely will have little control over such third parties, and any of them may fail to devote the necessary resources and attention to sell and market our current or future product candidates effectively. If we do not establish sales and marketing capabilities successfully, either on our own or in collaboration with third parties, we will not be successful in commercializing our current or future product candidates. Further, our business, results of operations, financial condition and prospects will be materially adversely affected.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ongoing and planned preclinical studies and clinical trials for our current and future product candidates. If these third parties do not successfully carry out their contractual duties, comply with regulatory requirements or meet expected deadlines, we may not be able to obtain marketing approval for or commercialize our current and potential future product candidates and our business could be substantially harmed.</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utilize and depend upon independent investigators and collaborators, such as medical institutions, CROs, contract manufacturing organizations and strategic partners to help conduct our preclinical studies. We do not have the ability to independently conduct clinical trials. We rely on medical institutions, clinical investigators, contract laboratories, and other third parties, including collaboration partners, to conduct or otherwise support clinical trials for our current product candidates, and we expect to rely on such third parties for our future product candidates. We rely heavily on these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preclinical studies or clinical trials, we could be subject to untitled and warning letters or enforcement action that may include civil penalties up to and including criminal prosecution.</w:t>
      </w:r>
    </w:p>
    <w:p>
      <w:pPr>
        <w:spacing w:after="0" w:line="1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and any third parties that we contract with are required to comply with regulations and requirements, including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requirements through periodic inspections of clinical trial sponsors, principal investigators and trial sites. If we or the third parties we contract with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will comply with GCP. In addition, our clinical trials must be conducted with current or future product candidates produced under cGMP regulations. Our failure or the failure of third parties that we may contract with to comply with these regulations may require us to repeat some aspects of a specific, or an entire, clinical trial,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Although we designed the Phase 1 trials of KT-474, KT-333 and KT-253, and intend to design other clinical trials for our current or future product candidates, or be involved in the design when other parties sponsor the trials, we anticipate that third parties will conduct all of our clinical trials. As a result, many important aspects of our clinical development, including their conduct and timing will be outside of our direct control. Our reliance on third parties to conduct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79"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clinical trials and may subject us to unexpected cost increases that are beyond our control. If our CROs do not perform clinical trials in a satisfactory manner, breach their obligations to us or fail to comply with regulatory requirements, the development, marketing approval and commercialization of our current or future product candidates may be delayed, we may not be able to obtain marketing approval and commercialize our current or future product candidates, or our development programs may be materially and irreversibly harmed. If we are unable to rely on clinical data collected by our CROs, we could be required to repeat, extend the duration of, or increase the size of clinical trials we conduct and this could significantly delay commercialization and require significantly greater expenditures.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on commercially reasonable terms, or at all. If our CROs do not successfully carry out their contractual duties or obligations or meet expected deadlines, if they need to be replaced or if the quality or accuracy of the clinical data they obtain are compromised due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3" w:name="page64"/>
    <w:bookmarkEnd w:id="63"/>
    <w:p>
      <w:pPr>
        <w:jc w:val="both"/>
        <w:spacing w:after="0" w:line="261" w:lineRule="auto"/>
        <w:rPr>
          <w:sz w:val="20"/>
          <w:szCs w:val="20"/>
          <w:color w:val="auto"/>
        </w:rPr>
      </w:pPr>
      <w:r>
        <w:rPr>
          <w:rFonts w:ascii="Times New Roman" w:cs="Times New Roman" w:eastAsia="Times New Roman" w:hAnsi="Times New Roman"/>
          <w:sz w:val="18"/>
          <w:szCs w:val="18"/>
          <w:color w:val="auto"/>
        </w:rPr>
        <w:t>to the failure to adhere to our clinical protocols, regulatory requirements or for other reasons, any clinical trials such CROs are associated with may be extended, delayed or terminated, and we may not be able to obtain marketing approval for or successfully commercialize our current or future product candidates. As a result, we believe that our financial results and the commercial prospects for our current or future product candidates in the subject indication would be harmed, our costs could increase and our ability to generate revenue could be delayed.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the API, drug product, and starting materials used in our product candidates are limited in number, and the loss of any of these suppliers could significantly harm our business.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drug substance and drug product in our product candidates are supplied to us from a small number of suppliers, and in some cases sole source suppliers. Our ability to successfully develop our current or future product candidates, and to ultimately supply our commercial drugs in quantities sufficient to meet the market demand, depends in part on our ability to obtain the drug product and drug substance for these drugs in accordance with regulatory requirements and in sufficient quantities for commercialization and clinical testing. We do not currently have arrangements in place for a redundant or second-source supply of all drug product or drug substance in the event any of our current suppliers of such drug product and drug substance cease their operations for any reason. Any delays in the delivery of our drug substance, drug product or starting materials could have an adverse effect and potentially harm our business. For example, in February 2020, one of our vendors for API starting materials based in Wuhan, China ceased its operations for several weeks due to the COVID-19 pandemic, which caused a minor delay in the delivery of API starting materials to a separate vendor who manufactures API.</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Legislative proposals are pending that, if enacted, could negatively impact U.S. companies and institutions that accept U.S. funding for projects that utilize biotechnology equipment and services produced or provided by certain biotechnology providers having relationships with foreign adversaries and which pose a threat to national security. This includes proposed legislation currently pending in the U.S. Senate, following a vote by the Senate Homeland Security and Government Affairs Committee in March of this year. The potential downstream adverse impacts on entities having only commercial relationships with any impacted biotechnology providers is unknown but may include supply chain disruptions or delays. Though we do not currently receive U.S. government funding, we are currently evaluating steps to mitigate any potential impact of any future stricter legislation towards foreign entities providing services to U.S. based companies. Depending on the terms of the final legislation enacted, these steps could result in additional costs and potential delays in development timelines resulting from related transition efforts.</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For all of our current or future product candidates, we intend to identify and qualify additional manufacturers to provide such API, drug product and drug substance prior to submission of an NDA to the FDA and/or an MAA to the EMA. We are not certain, however, that our single-source and dual 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Establishing additional or replacement suppliers for the drug product and drug substance used in our current or future product candidates, if required, may not be accomplished quickly. If we are able to find a replacement supplier, such replacement supplier would need to be qualified and may require additional regulatory approval, which could result in further delay. While we seek to maintain adequate inventory of the drug product and drug substance used in our current or future product candidates, any interruption or delay in the supply of components or materials, or our inability to obtain such API, drug product and drug substance from alternate sources at acceptable prices in a timely manner, could impede, delay, limit or prevent our development efforts, which could harm our business, results of operations, financial condition and prospects.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success is dependent on our executive management team’s ability to successfully pursue business development, strategic partnerships and investment opportunities as our company matures. We may also form or seek strategic alliances or acquisitions or enter into additional collaboration and licensing arrangements in the future, and we may not realize the benefits of such collaborations, alliances, acquisitions or licensing arrangements.</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entered into a collaboration and licensing arrangement with Sanofi and may in the future form or seek strategic alliances or acquisitions, create joint ventures, or enter into additional collaboration and licensing arrangements with third parties that we believe will complement or augment our development and commercialization efforts with respect to our current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4" w:name="page65"/>
    <w:bookmarkEnd w:id="64"/>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we face significant competition in seeking appropriate strategic partners and the negotiation process is time-consuming and complex. Moreover, we may not be successful in our efforts to establish a strategic partnership or acquisition or other alternative arrangements for our current or future product candidates because they may be deemed to be at too early of a stage of development for collaborative effort and third parties may not view our current or future product candidates as having the requisite potential to demonstrate safety, potency, purity and efficacy and obtain marketing approval.</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Further, collaborations involving our technologies or current or future product candidates are subject to numerous risks, which may include the following:</w:t>
      </w:r>
    </w:p>
    <w:p>
      <w:pPr>
        <w:spacing w:after="0" w:line="54"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a collaboration;</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current or future product candidates or may elect not to continue or renew development or commercialization of our current or future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current or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their marketing and distribution;</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our current or future product candidates,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current or future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products that results from our collaborating with them, and in such cases, we would not have the exclusive right to commercialize such intellectual property;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pay milestones and royalties due to the company in a timely manner.</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a result, we may not be able to realize the benefit of our existing collaboration and licensing arrangements or any future strategic partnerships or acquisitions, collaborations or license arrangements we may enter into if we are unable to successfully integrate them with our existing operations and company culture, which could delay our timelines or otherwise adversely affect our business. We also cannot be certain that, following a strategic transaction, license, collaboration or other business development partnership, we will achieve the revenue or specific net income that justifies such transaction. Any delays in entering into new collaborations or strategic partnership agreements related to our current or future product candidates could delay the development and commercialization of our current or future product candidates in certain geographies or for certain indications, which would harm our business prospects, financial condition and results of operations.</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discussed elsewhere in our Annual Report on Form 10-K and this Quarterly Report on Form 10-Q, our collaboration partner, Sanofi, is conducting a randomized Phase 2 clinical trial evaluating KT-474 in HS and a second randomized Phase 2 trial in AD. Sanofi will have significant discretion in determining the efforts and resources that it will apply to advance those clinical trials. As a result of the factors noted above, we may not be able to realize the benefit of our existing collaboration and licensing arrangements or any future strategic partnerships or acquisitions, collaborations or license arrangements we may enter into, which could delay our timelines or otherwise adversely affect our business.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5" w:name="page66"/>
    <w:bookmarkEnd w:id="65"/>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manufacturing process needs to comply with FDA regulations relating to the quality and reliability of such processes. Any failure to comply with relevant regulations could result in delays in or termination of our preclinical and clinical programs and suspension or withdrawal of any regulatory approvals.</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product candidates as a result of a failure of our facilities or the facilities or operations of third parties to comply with regulatory requirements or pass any regulatory authority inspection could significantly impair our ability to develop and commercialize our current or future product candidates, including leading to significant delays in the availability of our product candidates for our clinical trials or the termination of or suspension of a clinical trial, or the delay or prevention of a filing or approval of marketing applications for our current or future product candidates. Significant non-compliance could also result in the imposition of sanctions, including warning or untitled letters, fines, injunctions, civil penalties, failure of regulatory authorities to grant marketing approvals for our current or future product candidates, delays, suspension or withdrawal of approvals, license revocation, seizures or recalls of products, operating restrictions and criminal prosecutions, any of which could damage our reputation and our business.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third-party manufacturers use hazardous and biological materials in a manner that causes injury or violates applicable law, we may be liable for damages.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research and development activities involve the controlled use of potentially hazardous substances, including chemical materials, by our third-party manufacturers. Our manufacturers are subject to federal, state and local laws and regulations in the U.S.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180"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patent or other intellectual property protection in the U.S. and other countries for our current or future product candidates and our core technologies, including our proprietary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our initial IRAK4, STAT3 and MDM2 programs, which are our most advanced development programs, as well as our proprietary compound library and other know-how. We seek to protect our proprietary and intellectual property position by, among other methods, filing patent applications in the U.S. and abroad related to our proprietary technology, inventions and improvements that are important to the development and implementation of our business. We also rely on trade secrets, know-how and continuing technological innovation to develop and maintain our proprietary and intellectual property position.</w:t>
      </w:r>
    </w:p>
    <w:p>
      <w:pPr>
        <w:spacing w:after="0" w:line="19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own patent applications and patents related to our platform E3 ligase ligand technology and our novel bifunctional degrader compounds, including claims to compositions of matter, pharmaceutical compositions, methods of use, methods of treatment, and other related methods.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June 30, 2024, our patent portfolio covering novel compounds, and the methods of making and using thereof, included 107 patent families. Patent term adjustments, supplementary protection certificate filings, or patent term extensions could result in later expiration dates in various countries, while terminal disclaimers could result in earlier expiration dates in the U.S.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6" w:name="page67"/>
    <w:bookmarkEnd w:id="66"/>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The degree of patent protection we require to successfully commercialize our current or future product candidates may be unavailable or severely limited in some cases and may not adequately protect our rights or permit us to gain or keep any competitive advantage. We cannot provide any assurances that any of our pending patent applications that mature into issued patents will include claims with a scope sufficient to protect our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and our current or future product candidates. In addition, if the breadth or strength of protection provided by our patent applications or any patents we may own or in-license is threatened, it could dissuade companies from collaborating with us to license, develop or commercialize current or future product candidates.</w:t>
      </w:r>
    </w:p>
    <w:p>
      <w:pPr>
        <w:spacing w:after="0" w:line="19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addition, the laws of foreign countries may not protect our rights to the same extent as the laws of the U.S. For example, in jurisdictions outside the U.S.,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 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at least 18 months after the earliest priority date of the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19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or technologies,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patents may be challenged in the courts or patent offices in the U.S. and abroad. We may become involved in opposition, derivation, reexamination, inter partes review, or post-grant review proceedings challenging our patent rights or the patent rights of others from whom we may in the future obtain licenses to such rights, in the U.S. Patent and Trademark Office, or USPTO, the European Patent Office, or EPO, or in other countries. In addition, we may be subject to third-party submissions to the USPTO, the EPO, or elsewhere, that may reduce the scope or preclude the granting of claims from our pending patent applications. Competitors may challenge our issued patents or may file patent applications before we do. Competitors may also claim that we are infringing their patents and that we therefore cannot practice our technology as claimed under our patents or patent applications. Competitors may also contest our patents by showing an administrative patent authority or judge that the invention was not patent-eligible, was not novel, was obvious, and/or lacked inventive step, and/or that the patent application failed to meet relevant requirements relating to description, basis, enablement, and/or support; in litigation, a competitor could assert that our patents are not valid or are unenforceable for a number of reasons. If a court or administrative patent authority agrees, we would lose our protection of those challenged patents.</w:t>
      </w:r>
    </w:p>
    <w:p>
      <w:pPr>
        <w:spacing w:after="0" w:line="19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7" w:name="page68"/>
    <w:bookmarkEnd w:id="67"/>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drugs in a non-infringing manner. For example, a third party may develop a competitive drug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 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w:t>
      </w:r>
    </w:p>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will not obtain patent or other intellectual property protection for all current or future product candidates in all jurisdictions throughout the world, and we may not be able to adequately enforce our intellectual property rights even in the jurisdictions where we seek protection.</w:t>
      </w:r>
    </w:p>
    <w:p>
      <w:pPr>
        <w:spacing w:after="0" w:line="169"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We may not be able to pursue patent coverage of our current or future product candidates, the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or other technologies in all countries. Filing, prosecuting and defending patents on current or future product candidates, the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and other technologies in all countries throughout the world would be prohibitively expensive, and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infringing on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pharmaceutical products, which 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0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may not obtain or grant licenses or sublicenses to intellectual property rights in all markets on equally or sufficiently favorable terms with third parties.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jc w:val="both"/>
        <w:spacing w:after="0" w:line="254" w:lineRule="auto"/>
        <w:rPr>
          <w:sz w:val="20"/>
          <w:szCs w:val="20"/>
          <w:color w:val="auto"/>
        </w:rPr>
      </w:pPr>
      <w:r>
        <w:rPr>
          <w:rFonts w:ascii="Times New Roman" w:cs="Times New Roman" w:eastAsia="Times New Roman" w:hAnsi="Times New Roman"/>
          <w:sz w:val="18"/>
          <w:szCs w:val="18"/>
          <w:color w:val="auto"/>
        </w:rPr>
        <w:t>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current or any future agreements under which we may license intellectual property rights from third parties or otherwise experience disruptions to our business relationships with our licensors, we could lose license rights that are important to our business.</w:t>
      </w:r>
    </w:p>
    <w:p>
      <w:pPr>
        <w:spacing w:after="0" w:line="175"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We are dependent on patents, know-how and proprietary technology, both our own and in-licensed from Sanofi and other collaborators. Our commercial success depends upon our ability to develop, manufacture, market and sell our current or future product candidates and use our and our licensors’ proprietary technologies without infringing the proprietary rights of third parties. Sanofi and other collaborators may have the right to terminate their respective license agreements in full in the event that we materially breach or default in the performance of any of the obligations under such license agreements. Any termination of these licenses, or if the underlying patents fail to provide the intended exclusivity, could result in the loss of significant rights and could harm our ability to commercialize our current or future product candidates, the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or other technologies,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Disputes may also arise between us and our current or future licensors regarding intellectual property subject to a license agreement, including:</w:t>
      </w:r>
    </w:p>
    <w:p>
      <w:pPr>
        <w:spacing w:after="0" w:line="117"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misappropriate or otherwise violate intellectual property rights of the licensor that are not subject to the licensing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any patented technology;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current or future licensors and us and our partners.</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current or future licensing arrangements on acceptable terms, we may be unable to successfully develop and commercialize the affected current or future product candidates or technologies, which could have a material adverse effect on our business, financial conditions, results of operations and prospects.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9" w:name="page70"/>
    <w:bookmarkEnd w:id="6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72"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that we own or may in-license may not lead to issued patents;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should they issue, that we may own or in-license, may not provide us with any competitive advantages, may be narrowed in scope, or may be challenged and held invalid or unenforceable;</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compete with us in jurisdictions where we do not pursue and obtain patent protection;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licensors or collaborators, might not have been the first to make the inventions covered by a patent application that we own or may in-license;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licensors or collaborators, might not have been the first to file patent applications covering a particular invention;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misappropriating or otherwise violating our intellectual property rights;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and/or maintain necessary licenses on reasonable terms or at all;</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trade secrets or know-how;</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the confidentiality of our trade secrets or other proprietary information;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or in-license additional proprietary technologies that are patentable;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financial condition, results of operations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Patent Protection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including patent term, depends on compliance with various procedural, document submission, deadlines, fee payment and other requirements imposed by governmental patent agencies, and our patent protection could be reduced or eliminated if we miss a filing deadline for patent protection on these inventions or otherwise fail to comply with these requirements.</w:t>
      </w:r>
    </w:p>
    <w:p>
      <w:pPr>
        <w:spacing w:after="0" w:line="1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0" w:name="page71"/>
    <w:bookmarkEnd w:id="70"/>
    <w:p>
      <w:pPr>
        <w:jc w:val="both"/>
        <w:spacing w:after="0" w:line="282" w:lineRule="auto"/>
        <w:rPr>
          <w:sz w:val="20"/>
          <w:szCs w:val="20"/>
          <w:color w:val="auto"/>
        </w:rPr>
      </w:pPr>
      <w:r>
        <w:rPr>
          <w:rFonts w:ascii="Times New Roman" w:cs="Times New Roman" w:eastAsia="Times New Roman" w:hAnsi="Times New Roman"/>
          <w:sz w:val="18"/>
          <w:szCs w:val="18"/>
          <w:color w:val="auto"/>
        </w:rPr>
        <w:t>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current or future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Different laws govern the extension of patents on approved pharmaceutical products in Europe and other jurisdictions. However, we may not be granted a patent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For example, we may not be granted an extension in the U.S. if all of our patents covering an approved product expire more than fourteen years from the date of NDA approval for a product covered by those patents.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current or future product candidates.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are therefore costly, time consuming and inherently uncertain.</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our Trademarks, Trade Names and Trade Secrets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for our products or company name are not adequately protected in one or more countries where we intend to market our products, we may delay the launch of product brand names, use different or less effective trademarks or tradenames in different countries, or face other potentially adverse consequences to building our product brand recognition.</w:t>
      </w:r>
    </w:p>
    <w:p>
      <w:pPr>
        <w:spacing w:after="0" w:line="1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trademarks or trade name may be challenged, infringed, diluted, circumvented, declared generic, or determined to be infringing on other marks. In such a circumstance, we may not be able to protect our rights to these marks or may be forced to stop using product names, which we need for name recognition by potential partners and customers in our markets of interest.</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during the trademark registration process, we may receive Office Actions from the USPTO or from comparable agencies in foreign jurisdictions refusing registration of our trademarks. For example, in April 2021 and October 2022, respectively, the USPTO issued preliminary office action refusals against our applications to register E3 LIGASE WHOLE BODY ATLAS and E3 HUMAN ATLAS and our K &amp; Design logo mark. While E3 LIGASE WHOLE BODY ATLAS and E3 HUMAN ATLAS have since been published and notices of allowance issued, we do not yet know whether the USPTO will issue a subsequent office action against our application for our logo mark, to which we will have to respond, and which we may not ultimately be able to overcome, or if this application will be approved for publication as well.</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USPTO and in comparable agencies in many foreign jurisdictions, third parties are also given an opportunity to oppose pending trademark applications and/or to seek the cancellation of registered trademarks. For example, in November 2019, Novartis AG filed actions in the U.S. and European Union trademark offices opposing our applications to register KYMERA and KYMERA THERAPEUTICS for pharmaceuticals and drug development services on the basis of its claimed rights in the KYMRIAH mark. This dispute was amicably settled in October 2020 and the involved applications for KYMERA and KYMERA THERAPEUTICS are now registered or allowed in the United States and have proceeded to registration in the European Union.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and enforce our trade secrets, our business and competitive position would be harmed.</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Furthermore, the laws of some foreign countries do not protect proprietary rights and trade secrets to the same extent or in the same manner as the laws of the U.S. As a result, we may encounter significant problems in protecting and defending our intellectual property both in the U.S.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w:t>
      </w:r>
    </w:p>
    <w:p>
      <w:pPr>
        <w:spacing w:after="0" w:line="18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case of employees, we enter into agreements providing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Intellectual Property Litigation and Infringement Claims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Competitors may infringe any intellectual property we may own or in-license, including our patents and trademarks. In addition, any intellectual property we may own or in-license also may become the subject of a dispute, including those based on inventorship, priority, validity or unenforceability.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any intellectual property we may own or in-license is not valid or is unenforceable or that the other party’s use of our technology that may be patented falls under the safe harbor to patent infringement under 35 U.S.C. §271(e)(1). There is also the risk that, even if the validity of these patents is upheld, the court may refuse to stop the other party from using the technology at issue on the grounds that any patents we may own or in-license do not cover the technology in question or that such third party’s activities do not infringe our patent applications or any patents we may own or in-license. An adverse result in any litigation or defense proceedings could put one or more of any patents or other intellectual property we may own or in-license at risk of being invalidated, held unenforceable, or interpreted narrowly and could put our own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9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Post-grant proceedings provoked by third parties or brought by the USPTO may be necessary to determine the validity or priority of inventions with respect to our patent applications or any patents we may own or in-license. These proceedings are expensive and an unfavorable outcome could result in a loss of our current patent rights and could require us to cease using the related technology or 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2" w:name="page73"/>
    <w:bookmarkEnd w:id="72"/>
    <w:p>
      <w:pPr>
        <w:jc w:val="both"/>
        <w:spacing w:after="0" w:line="254" w:lineRule="auto"/>
        <w:rPr>
          <w:sz w:val="20"/>
          <w:szCs w:val="20"/>
          <w:color w:val="auto"/>
        </w:rPr>
      </w:pPr>
      <w:r>
        <w:rPr>
          <w:rFonts w:ascii="Times New Roman" w:cs="Times New Roman" w:eastAsia="Times New Roman" w:hAnsi="Times New Roman"/>
          <w:sz w:val="18"/>
          <w:szCs w:val="18"/>
          <w:color w:val="auto"/>
        </w:rPr>
        <w:t>attempt to license rights to it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U.S.</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not be able to detect infringement against any intellectual property we may own or in-license. Even if we detect infringement by a third party of any intellectual property we may own or in-license, we may choose not to pursue litigation against or settlement with the third party. If we later sue such third party for infringement, the third party may have certain legal defenses available to it, which otherwise would not be available except for the delay between when the infringement was first detected and when the suit was brought. Such legal defenses may make it impossible for us to enforce any patents or other intellectual property we may own or in-license against such third party.</w:t>
      </w:r>
    </w:p>
    <w:p>
      <w:pPr>
        <w:spacing w:after="0" w:line="18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Intellectual property litigation and administrative office challenges in one or more countries could cause us to spend substantial resources and distract our personnel from their normal responsibilities. Even if resolved in our favor, litigation or other legal proceedings relating to intellectual property claims may cause us to incur significant expenses, and could distract our technical and management personnel from their normal responsibilities. In August 2021, we initiated a US patent office proceeding, a post-grant review, to challenge a third-party patent unrelated to our current product candidates. In response, the owner of the challenged third-party patent disclaimed that patent in full. We may challenge additional third-party patents in the future.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preclinical studies and future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such disputes could adversely impact our business reputation and/or protection of our proprietary technology.</w:t>
      </w:r>
    </w:p>
    <w:p>
      <w:pPr>
        <w:spacing w:after="0" w:line="183"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inter partes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the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and other technologies that we have developed, are developing or may develop in the future do not or will not infringe, misappropriate or otherwise violate existing or future patents or other intellectual property rights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3" w:name="page74"/>
    <w:bookmarkEnd w:id="73"/>
    <w:p>
      <w:pPr>
        <w:jc w:val="both"/>
        <w:spacing w:after="0" w:line="243" w:lineRule="auto"/>
        <w:rPr>
          <w:sz w:val="20"/>
          <w:szCs w:val="20"/>
          <w:color w:val="auto"/>
        </w:rPr>
      </w:pPr>
      <w:r>
        <w:rPr>
          <w:rFonts w:ascii="Times New Roman" w:cs="Times New Roman" w:eastAsia="Times New Roman" w:hAnsi="Times New Roman"/>
          <w:sz w:val="18"/>
          <w:szCs w:val="18"/>
          <w:color w:val="auto"/>
        </w:rPr>
        <w:t>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the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or other technologies, are rightfully owned by their former or concurrent employer. Litigation may be necessary to defend against these claims.</w:t>
      </w:r>
    </w:p>
    <w:p>
      <w:pPr>
        <w:spacing w:after="0" w:line="19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While certain activities related to development and preclinical and clinical testing of our current or future product candidates may be subject to safe harbor of patent infringement under 35 U.S.C. §271(e)(1), upon receiving FDA approval for such candidates we or any of our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a third party claims that we infringe, misappropriate or otherwise violate its intellectual property rights, we may face a number of issues, including, but not limited to:</w:t>
      </w:r>
    </w:p>
    <w:p>
      <w:pPr>
        <w:spacing w:after="0" w:line="54" w:lineRule="exact"/>
        <w:rPr>
          <w:sz w:val="20"/>
          <w:szCs w:val="20"/>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41"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current or future product candidates, or from using our proprietary technologies, including our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unless the third-party licenses its product rights to us, which it is not required to do on commercially reasonable terms or at all;</w:t>
      </w:r>
    </w:p>
    <w:p>
      <w:pPr>
        <w:spacing w:after="0" w:line="90"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Patents issued in the U.S.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U.S. may be maintained in secrecy until the patents are issued, patent applications in the U.S. and many foreign jurisdictions are typically not published until 18 months after their earliest priority filing date, and publications in the scientific literature often lag behind actual discoveries, we cannot be certain that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4" w:name="page75"/>
    <w:bookmarkEnd w:id="74"/>
    <w:p>
      <w:pPr>
        <w:jc w:val="both"/>
        <w:spacing w:after="0" w:line="248" w:lineRule="auto"/>
        <w:rPr>
          <w:sz w:val="20"/>
          <w:szCs w:val="20"/>
          <w:color w:val="auto"/>
        </w:rPr>
      </w:pPr>
      <w:r>
        <w:rPr>
          <w:rFonts w:ascii="Times New Roman" w:cs="Times New Roman" w:eastAsia="Times New Roman" w:hAnsi="Times New Roman"/>
          <w:sz w:val="18"/>
          <w:szCs w:val="18"/>
          <w:color w:val="auto"/>
        </w:rPr>
        <w:t>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or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may be impaired or delayed, which could in turn significantly harm our business. Even if we obtain a license, it may be nonexclusive, thereby giving our competitors access to the same technologies licensed to us.</w:t>
      </w:r>
    </w:p>
    <w:p>
      <w:pPr>
        <w:spacing w:after="0" w:line="19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 licenses at a reasonable cost or on reasonable terms, if at all. In that event, we would be unable to further develop and commercialize our current or future product candidates or technologies, which could harm our business significantly.</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U.S. remain confidential until patents issue. As mentioned above, patent applications in the U.S.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spacing w:after="0" w:line="196"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or technologies that are held to be infringing. We might, if possible, also be forced to redesign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5" w:name="page76"/>
    <w:bookmarkEnd w:id="75"/>
    <w:p>
      <w:pPr>
        <w:jc w:val="both"/>
        <w:spacing w:after="0" w:line="266" w:lineRule="auto"/>
        <w:rPr>
          <w:sz w:val="20"/>
          <w:szCs w:val="20"/>
          <w:color w:val="auto"/>
        </w:rPr>
      </w:pPr>
      <w:r>
        <w:rPr>
          <w:rFonts w:ascii="Times New Roman" w:cs="Times New Roman" w:eastAsia="Times New Roman" w:hAnsi="Times New Roman"/>
          <w:sz w:val="18"/>
          <w:szCs w:val="18"/>
          <w:color w:val="auto"/>
        </w:rPr>
        <w:t>current or future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Growth and Other Risks Related to Our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Employee Matters and Managing Growth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and business development expertise of Nello Mainolfi, Ph.D., our President and Chief Executive Officer, Jared Gollob, M.D., our Chief Medical Officer, Bruce Jacobs, our Chief Financial Officer, Ellen Chiniara, our Chief Legal Officer and Jeremy Chadwick, our Chief Operating Officer, as well as the other principal members of our management, scientific and clinical teams. Although we have entered into employment letter agreements with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continue to develop and expand our company, and we may encounter difficulties in managing this development and expansion, which could disrupt our operations.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of June 30, 2024, we had 181 full-time employees, and we expect to increase our number of employees and the scope of our operations. To manage our anticipated development and expansion, we must continue to implement and improve our managerial, operational and financial systems, expand our facilities and continue to recruit and train additional qualified personnel.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The expansion of our operations may lead to significant costs and may divert financial resources from other projects, such as the development of our current or future product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current or future product candidates, if approved, and compete effectively will depend, in part, on our ability to effectively manage the future development and expansion of our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6" w:name="page77"/>
    <w:bookmarkEnd w:id="7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unforeseen global events, natural disasters, and our business continuity and disaster recovery plans may not adequately protect us from a serious disaster.</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Unforeseen global events, such as macroeconomic conditions, outbreaks of violence, or geopolitical instability could adversely impact our business. Such conflicts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Additionally, any unplanned event, such as flood, fire, explosion, earthquake, extreme weather condition, medical epidemics or pandemics,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and have significant negative consequences on our financial and operating conditions. Loss of access to these facilities may result in increased costs, delays in the development of our product candidates or interruption of our business operations. Natural disasters or pandemics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our investors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1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intend to sublease our current space in Watertown, Massachusetts for occupancy now that we have moved to our new facility. If we are unable to sublease our space on favorable terms or if our subtenants are unable to meet their obligations under any sublease, we may be responsible for unexpected costs, which could impact our financial performance.</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currently lease 34,522 square feet of research and development and office space in Watertown, Massachusetts, which lease expires on March 31, 2030. In December 2021, we entered into a lease for 100,624 square feet of office and laboratory space in Watertown, Massachusetts, which we began occupying in February 2024. We intend to sublease our original space to third parties. In the event that we are unable to sublease our excess space on favorable terms, or at all, or if we are able to sublease our space but our subtenants fail to make lease payments to us or otherwise default on their obligations to us, we could incur unanticipated payment obligations or further impairment.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Data and Privacy</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third-party CROs or other contractors or consultants, may fail or suffer security breaches, which could result in a material disruption of our current or future product candidates’ development programs.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data from preclinical studies or clinical trials for our current or future product candidates could result in delays in our regulatory approval efforts and significantly increase our costs to recover or reproduce the data. To the extent that any disruption or security breach results in a loss of or damage to our data or applications, other data or applications relating to our technology or current or future product candidates, or inappropriate disclosure of confidential or proprietary information, we could incur liabilities and the further development of our current or future product candidates could be delayed.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7" w:name="page78"/>
    <w:bookmarkEnd w:id="7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our information systems from cyberattacks, which could result in the disclosure of confidential or proprietary information, including personal data, damage our reputation, and subject us to significant financial and legal exposure.</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rely on information technology systems that we or our third-party providers operate to process, transmit and store electronic information in our day-to-day operations. In connection with our product discovery efforts, we may collect and use a variety of personal data, such as names, mailing addresses, email addresses, phone numbers and clinical trial information. A successful cyberattack could result in the theft or destruction of intellectual property, data or other misappropriation of assets, or otherwise compromise our confidential or proprietary information and disrupt our operations. 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security,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 Any failure to prevent or mitigate security breaches or improper access to, use of, or disclosure of our clinical data or patients’ personal data could result in significant liability under state (e.g., state breach notification laws), federal (e.g., HIPAA, as amended by HITECH), and international law (e.g., the EU General Data Protection Regulation, or GDPR) and may cause a material adverse impact to our reputation, affect our ability to use collected data, conduct new studies and potentially disrupt our business.</w:t>
      </w:r>
    </w:p>
    <w:p>
      <w:pPr>
        <w:spacing w:after="0" w:line="19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rely on our third-party providers to implement effective security measures and identify and correct for any such failures, deficiencies or breaches. We also rely on our employees and consultants to safeguard their security credentials and follow our policies and procedures regarding use and access of computers and other devices that may contain our sensitive information.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losses described above, as well as disputes with physicians, patients and our partners, regulatory sanctions or penalties, increases in operating expenses, expenses or lost revenues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may continue to be volatile and fluctuate substantially, and investors may lose all or part of their investment.</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stock price has been volatile and may continue to be subject to wide fluctuations in response to various factors. The stock market in general and the market for biopharmaceutical companies in particular have experienced extreme volatility that has often been unrelated to the operating performance of particular companies, including in connection with conflicts in various regions of the world, increasing inflation rates, and interest rate changes, which have resulted in decreased stock prices for many companies notwithstanding the lack of a fundamental change in their underlying business models or prospects. As a result of this volatility, you may lose all or part of your investment. The market price for our common stock may be influenced by many factors, including:</w:t>
      </w:r>
    </w:p>
    <w:p>
      <w:pPr>
        <w:spacing w:after="0" w:line="79"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drugs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of our current or future product candidates or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current or future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current or future product candidates or drugs;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8" w:name="page79"/>
    <w:bookmarkEnd w:id="78"/>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our collaboration agreements, including announcements regarding our collaboration agreement with Sanofi;</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shares of our common stock to fluctuate substantially, regardless of our actual operating performance, which may limit or prevent investors from selling their shares at or above the price paid for the shares and may otherwise negatively affect the liquidity of our common stock. The realization of any of the above risks or any of a broad range of other risks, including those described in this section, could have a significant and material adverse impact on the market price of our common stock. The price of our common stock may be disproportionately affected as investors may favor traditional profit-making industries and companies during the times of market uncertainty and instability.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stock price.</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widely reported, global credit and financial markets have experienced extreme volatility and disruptions in the past several years, including severely diminished liquidity and credit availability,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or do not improve, it may make any necessary debt or equity financing more difficult, more costly, and more dilutive. Furthermore, our stock price may decline due in part to the volatility of the stock market and the general economic downturn.</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Failure to secure any necessary financing in a timely manner and on favorable terms could have a material adverse effect on our growth strategy, financial performance and stock price and could require us to delay, scale back or discontinue the development and commercialization of one or more of our product candidates or delay our pursuit of potential in-licenses or acquisitions.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current or future product candidates.</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private and public equity offerings, debt financings, collaborations, strategic alliances and marketing, distribution or licensing arrangements. We do not currently have any committed external source of funds. To the extent that we raise additional capital through the sale of common stock or securities convertible or exchangeable into common stock, your ownership interest will be diluted, and the terms of these securities may include liquidation or other preferences that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marketing, distribution or licensing arrangements with third parties, we may have to relinquish valuable rights to our intellectual property, future revenue streams, research programs or current or future product candidates or to grant licenses on terms that may not be favorable to us. If we are unable to raise additional funds through equity or debt financings when needed, we may be required to delay, scale back or discontinue the development and commercialization of one or more of our product candidates, delay our pursuit of potential in-licenses or acquisitions or grant rights to develop and market current or future product candidates that we would otherwise prefer to develop and market ourselves.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9" w:name="page80"/>
    <w:bookmarkEnd w:id="79"/>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5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We do not have control over these analysts. Although we have obtained research coverage from certain analysts, there can be no assurance that analysts will continue to cover us or provide favorable coverage. If one or more of the analysts covering our business downgrade their evaluations of our stock, the price of our stock could decline. In addition, if one or more of these analysts cease to cover our stock, we could lose visibility in the market for our stock, which in turn could cause our stock price to decline.</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principal stockholders and their affiliates exercise significant influence over our company, which will limit your ability to influence corporate matters and could delay or prevent a change in corporate control.</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of June 30, 2024, the existing holdings of our executive officers, directors, principal stockholders and their affiliates represent beneficial ownership, in the aggregate, of approximately 28% of our outstanding common stock. As a result, these stockholders, if they act together, will be able to influence our management and affairs and the outcome of matters submitted to our stockholders for approval, including the election of directors and any merger, consolidation or sale of all or substantially all of our assets. This may prevent or discourage unsolicited acquisition proposals or offers for our common stock that you may feel are in your best interest as one of our stockholders. Some of these persons or entities may have interests different than yours. For example, because many of these stockholders purchased their shares at prices substantially below the current trading price of our stock and have held their shares for a longer period, they may be more interested in selling our Company to an acquirer than other investors or they may want us to pursue strategies that deviate from the interests of other stockholders. Additionally, from time to time, any of our non-affiliated shareholders may accumulate or acquire significant positions in our common stock and may similarly be able to influence our business or matters submitted to our stockholders for approval.</w:t>
      </w:r>
    </w:p>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concentration of voting power among these stockholders may also have an adverse effect on the price of our common stock by delaying, deferring or preventing a change of control of us; impeding a merger, consolidation, takeover or other business combination involving us; or discouraging a potential acquirer from making a tender offer or otherwise attempting to obtain control of us.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issued a substantial number of warrants and equity awards from our equity plans which are exercisable into shares of our common stock which could result in substantial dilution to the ownership interests of our existing stockholders.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of June 30, 2024, approximately 11,640,594 shares of our common stock were reserved for issuance upon exercise of pre-funded warrants. Additionally, 10,539,421 shares of our common stock were reserved for issuance upon exercise of outstanding stock options and vested restricted stock units. The exercise or conversion of these securities will result in a significant increase in the number of outstanding shares and substantially dilute the ownership interests of our existing stockholders. The shares underlying the equity awards from our equity plans are registered on a Form S-8 registration statement. As a result, upon vesting these shares can be freely exercised and sold in the public market upon issuance, subject to volume limitations applicable to affiliates. The exercise of options and the subsequent sale of the underlying common stock could cause a decline in our stock price.</w:t>
      </w:r>
    </w:p>
    <w:p>
      <w:pPr>
        <w:spacing w:after="0" w:line="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1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Additional capital will be needed in the future to continue our planned operations. To the extent we issue additional equity securities to raise capital or pursuant to our equity incentive plans or other contractual obligations, our stockholders may experience substantial dilution. We may sell common stock, convertible securities or other equity securities in one or more transactions at prices and in a manner we determine from time to time. If we sell or issue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w:t>
      </w:r>
    </w:p>
    <w:p>
      <w:pPr>
        <w:spacing w:after="0" w:line="183"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 addition, sales of a substantial number of shares of our outstanding common stock in the public market could occur at any time. These sales, or the perception in the market that the holders of a large number of shares of common stock intend to sell shares, could reduce the market price of our common stock. Persons who were our stockholders prior to our initial public offering continue to hold a substantial number of shares of our common stock that many of them are now able to sell in the public market. Significant portions of these shares are held by a relatively small number of stockholders, none of whom have entered into agreements restricting their ability to sell their shares. Sales by our stockholders of a substantial number of shares or distributions of their holdings to their respective limited partners and other equity holders, or the expectation that such sales or distributions, or the expectation that such sales may occur, could significantly reduce the market price of our common stock.</w:t>
      </w:r>
    </w:p>
    <w:p>
      <w:pPr>
        <w:spacing w:after="0" w:line="18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Further, because we expect we will need to raise additional capital to fund our future activities, we may in the future sell substantial amounts of common stock or securities convertible into or exchangeable for common stock. Future issuances of common stock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0" w:name="page81"/>
    <w:bookmarkEnd w:id="80"/>
    <w:p>
      <w:pPr>
        <w:jc w:val="both"/>
        <w:spacing w:after="0" w:line="257" w:lineRule="auto"/>
        <w:rPr>
          <w:sz w:val="20"/>
          <w:szCs w:val="20"/>
          <w:color w:val="auto"/>
        </w:rPr>
      </w:pPr>
      <w:r>
        <w:rPr>
          <w:rFonts w:ascii="Times New Roman" w:cs="Times New Roman" w:eastAsia="Times New Roman" w:hAnsi="Times New Roman"/>
          <w:sz w:val="18"/>
          <w:szCs w:val="18"/>
          <w:color w:val="auto"/>
        </w:rPr>
        <w:t>common stock-related securities, together with the exercise of outstanding stock options or warrants, the vesting and settlement of outstanding restricted stock units, and new equity awards granted under our equity incentive plans, if any, may result in further dilution. Pursuant to the sales agreement, or Sales Agreement, with Cowen and Company, LLC, or Cowen, we may offer and sell up to an aggregate amount of $250.0 million of our common stock from time to time in “at-the-market” offerings, subject to the limitations thereof. As of June 30, 2024, approximately $50 million worth of common stock had been sold under the Sales Agreement. To the extent that we sell additional shares of our common stock in the future pursuant to the Sales Agreement, investors purchasing shares of our common stock could experience further dilution</w:t>
      </w:r>
      <w:r>
        <w:rPr>
          <w:rFonts w:ascii="Times New Roman" w:cs="Times New Roman" w:eastAsia="Times New Roman" w:hAnsi="Times New Roman"/>
          <w:sz w:val="21"/>
          <w:szCs w:val="21"/>
          <w:color w:val="auto"/>
        </w:rPr>
        <w: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Shares issued upon the exercise of stock options outstanding or settlement of restricted stock units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Certain holders of our common stock have rights, subject to conditions, to require us to file registration statements covering their shares or to include their shares in registration statements that we may file for ourselves or other stockholders. We have also filed registration statements on Form S-8 registering the issuance of shares of common stock issued or reserved for future issuance under our equity compensation plans. Shares registered under this registration statement on Form S-8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or issuance of our common stock to, or through, Cowen may cause significant dilution and the sale of the shares of common stock acquired by Cowen, or the perception that such sales may occur, could cause the price of our common stock to fall.</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October 1, 2021, we entered into a Sales Agreement with Cowen, pursuant to which we may offer and sell our common stock, subject to certain limitations in the Sales Agreement and compliance with applicable law, at any time throughout the term of the Agreement. The number of shares that are sold by Cowen after delivering a placement notice will fluctuate based on the market price of the common stock during the sales period and limits we set with Cowen. Because the price per share of each share sold will fluctuate based on the market price of our common stock during the sales period, it is not possible at this stage to predict the number of shares that will be ultimately issued. Sales to, or through, Cowen by us could result in substantial dilution to the interests of other holders of our common stock. Additionally, the sale of a substantial number of shares of our common stock, or the anticipation of such sales, could make it more difficult for us to sell equity or equity-related securities in the future at a time and at a price that we might otherwise wish to effect sales. From October 1, 2021 through June 30, 2024, we have sold 1,519,453 shares of common stock through the Cowen Sales Agreement.</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investors’ sole source of gain.</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investors’ sole source of gain for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at an increased risk of securities class action litigation.</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harm our business. Additionally,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Furthermore, during the course of litigation, there could be negative public announcements of the results of hearings, motions or other interim proceedings or developments, which could have a negative effect on the market price of our common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Risks Related to Tax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may adversely affect us or our investors.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These changes could subject us to additional income-based taxes and non-income taxes (such as payroll, sales, use, value-added, net worth, property, and goods and services taxes), which in turn could materially affect our financial position and results of operations. For example, under Section 174 of the Code, in taxable years beginning after December 31, 2021, expenses that are incurred for research and development in the U.S. will be capitalized and amortized, which may have an adverse effect on our cash flow. Additionally, new, changed, modified, or newly interpreted or applied tax laws could increase our customers’ and our compliance, operating and other costs, as well as the costs of our products. In recent years, many such changes have been made and changes are likely to continue to occur in the future.</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we expand the scale of our business activities, any changes in the U.S. and non-U.S. taxation of such activities may increase our effective tax rate and harm our business, financial condition and results of operations. You are urged to consult your tax advisor regarding the implications of potential changes in tax laws on an investment in our common stock.</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to offset future taxable income may be subject to certain limitations, and, as a result, unavailable to reduce our future tax liability</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As of December 31, 2023, we had federal and state net operating loss carryforwards of $160.5 million and $161.3 million, respectively, which begin to expire in various amounts in 2036 (other than federal net operating loss carryforwards arising in taxable years beginning after December 31, 2017, which are not subject to expiration but the deductibility of such federal NOLs may be limited to 80% of our taxable income annually for tax years beginning after December 31, 2020). As of December 31, 2023, we also had federal and state research and development tax credit carryforwards of $19.5 million and $8.1 million, respectively, which begin to expire in 2036. These net operating loss and tax credit carryforwards could expire unused and be unavailable to offset future income tax liabilities. In addition, in general, under Sections 382 and 383 of the Internal Revenue Code of 1986, as amended, or the Code, a corporation that undergoes an “ownership change” is subject to limitations on its ability to utilize its pre-change net operating losses or tax credits, or NOLs or credits, to offset future taxable income or taxes. For these purposes, an ownership change generally occurs where the aggregate stock ownership of one or more stockholders or groups of stockholders who own at least 5% of a corporation’s stock increases by more than 50 percentage points over the lowest ownership percentage of such stockholders or groups of stockholders within a specified testing period. Our existing NOLs or credits may be subject to limitations arising from previous ownership changes. In addition, future changes in our stock ownership, many of which are outside of our control, could result in an ownership change under Sections 382 and 383 of the Code and limit our ability to utilize NOLs or credit. Our NOLs or credits may also be impaired under state law. Accordingly, we may not be able to utilize a material portion of our NOLs or credits. Furthermore, our ability to utilize our NOLs or credits is conditioned upon our attaining profitability and generating U.S. federal and state taxable income. As described above under “Risk Factors— Risks Related to our Financial Position and Need for Additional Capital,” we have incurred significant net losses since our inception and anticipate that we will continue to incur significant losses for the foreseeable future; and therefore, we do not know whether or when we will generate the U.S. federal or state taxable income necessary to utilize our NOLs or credit carryforwards that are subject to limitation by Sections 382 and 383 of the Code.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Controls and Reporting Requirements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our operating results and our ability to operate our business could be harmed.</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Pursuant to Section 404 of the Sarbanes-Oxley Act of 2002, or Section 404, we are required to furnish a report by our management on our internal control over financial reporting, including an attestation report on internal control over financial reporting issued by our independent registered public accounting firm.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2" w:name="page83"/>
    <w:bookmarkEnd w:id="82"/>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To achieve compliance with Section 404, we have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 investors’ perceptions that our internal controls are inadequate or that we are unable to produce accurate financial statements on a timely basis may harm our stock price and make it more difficult for us to effectively market and sell any of our present or future product candidates that may receive regulatory approval.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Charter and Bylaws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fourth amended and restated certificate of incorporation and our second amended and restated bylaws contain provisions that could delay or prevent a change of control of our company or changes in our board of directors that our stockholders might consider favorable. Some of these provisions include</w:t>
      </w:r>
      <w:r>
        <w:rPr>
          <w:rFonts w:ascii="Times New Roman" w:cs="Times New Roman" w:eastAsia="Times New Roman" w:hAnsi="Times New Roman"/>
          <w:sz w:val="21"/>
          <w:szCs w:val="21"/>
          <w:color w:val="auto"/>
        </w:rPr>
        <w:t>:</w:t>
      </w:r>
    </w:p>
    <w:p>
      <w:pPr>
        <w:spacing w:after="0" w:line="57" w:lineRule="exact"/>
        <w:rPr>
          <w:sz w:val="20"/>
          <w:szCs w:val="20"/>
          <w:color w:val="auto"/>
        </w:rPr>
      </w:pPr>
    </w:p>
    <w:p>
      <w:pPr>
        <w:ind w:left="10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 which requires that all stockholder actions be taken at a meeting of our stockholders;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board of directors acting pursuant to a resolution approved by the affirmative vote of a majority of the directors then in office;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our board of directors;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3" w:name="page84"/>
    <w:bookmarkEnd w:id="83"/>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Corporate Law, or DGCL, which may prohibit certain business combinations with stockholders owning 15% or more of our outstanding voting stock. These antitakeover provisions and other provisions in our fourth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22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specific courts as the exclusive forum for certain litigation that may be initiated by our stockholders, which could limit our stockholders’ ability to obtain a favorable judicial forum for disputes with us.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Pursuant to our amended and restated bylaws, unless we consent in writing to the selection of an alternative forum, the Court of Chancery of the State of Delaware is the sole and exclusive forum for any state law claims for (1) any derivative action or proceeding brought on our behalf; (2) any action asserting a claim of or based on a breach of a fiduciary duty owed by any director, officer or other employee of ours to us or our stockholders; (3) any action asserting a claim pursuant to any provision of the DGCL,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we consent in writing to the selection of an alternative forum, the United States District Court for the District of Massachusetts shall be the sole and exclusive forum for resolving any complaint asserting a cause of action arising under the Securities Act, or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recognize that the Delaware Forum Provision and the Federal Forum Provision in our amended and restated bylaws may impose additional litigation costs on stockholders in pursuing any such claims, particularly if the stockholders do not reside in or near the State of Delaware or the Commonwealth of Massachusetts, as applicable. Additionally, the forum selection clauses in our amended and restated bylaws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and other state courts have upheld the validity of, that federal forum selection provisions purporting to require claims under the Securities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quarter ended June 30, 2024, we did not have any sales of unregistered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discloses any officer (as defined in Rule 16a-1(f) under the Securities Exchange Act of 1934, as amended) or director who adopted a Rule 10b5-1 trading arrangement or non-Rule 10b5-1 trading arrangement (as such terms are defined in Item 408 of Regulation S-K) during the three months ended June 30, 2024:</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2380" w:type="dxa"/>
            <w:vAlign w:val="bottom"/>
            <w:tcBorders>
              <w:top w:val="single" w:sz="8" w:color="auto"/>
              <w:left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1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Type of Trading</w:t>
            </w: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Action Taken</w:t>
            </w: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Duration or End</w:t>
            </w:r>
          </w:p>
        </w:tc>
        <w:tc>
          <w:tcPr>
            <w:tcW w:w="2200" w:type="dxa"/>
            <w:vAlign w:val="bottom"/>
            <w:tcBorders>
              <w:top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Aggregate Number of</w:t>
            </w:r>
          </w:p>
        </w:tc>
        <w:tc>
          <w:tcPr>
            <w:tcW w:w="2180" w:type="dxa"/>
            <w:vAlign w:val="bottom"/>
            <w:tcBorders>
              <w:top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Description of Trading</w:t>
            </w:r>
          </w:p>
        </w:tc>
      </w:tr>
      <w:tr>
        <w:trPr>
          <w:trHeight w:val="265"/>
        </w:trPr>
        <w:tc>
          <w:tcPr>
            <w:tcW w:w="2380" w:type="dxa"/>
            <w:vAlign w:val="bottom"/>
            <w:tcBorders>
              <w:left w:val="single" w:sz="8" w:color="auto"/>
              <w:bottom w:val="single" w:sz="8" w:color="auto"/>
              <w:right w:val="single" w:sz="8" w:color="auto"/>
            </w:tcBorders>
          </w:tcPr>
          <w:p>
            <w:pPr>
              <w:spacing w:after="0"/>
              <w:rPr>
                <w:sz w:val="23"/>
                <w:szCs w:val="23"/>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(Date of Action)</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 to be Sold</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r>
      <w:tr>
        <w:trPr>
          <w:trHeight w:val="189"/>
        </w:trPr>
        <w:tc>
          <w:tcPr>
            <w:tcW w:w="2380" w:type="dxa"/>
            <w:vAlign w:val="bottom"/>
            <w:tcBorders>
              <w:left w:val="single" w:sz="8" w:color="auto"/>
              <w:right w:val="single" w:sz="8" w:color="auto"/>
            </w:tcBorders>
          </w:tcPr>
          <w:p>
            <w:pPr>
              <w:ind w:left="40"/>
              <w:spacing w:after="0" w:line="189" w:lineRule="exact"/>
              <w:rPr>
                <w:sz w:val="20"/>
                <w:szCs w:val="20"/>
                <w:color w:val="auto"/>
              </w:rPr>
            </w:pPr>
            <w:r>
              <w:rPr>
                <w:rFonts w:ascii="Times New Roman" w:cs="Times New Roman" w:eastAsia="Times New Roman" w:hAnsi="Times New Roman"/>
                <w:sz w:val="18"/>
                <w:szCs w:val="18"/>
                <w:color w:val="auto"/>
              </w:rPr>
              <w:t>Pamela Esposito</w:t>
            </w:r>
          </w:p>
        </w:tc>
        <w:tc>
          <w:tcPr>
            <w:tcW w:w="17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Trading plan intended</w:t>
            </w:r>
          </w:p>
        </w:tc>
        <w:tc>
          <w:tcPr>
            <w:tcW w:w="134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Adoption (June</w:t>
            </w:r>
          </w:p>
        </w:tc>
        <w:tc>
          <w:tcPr>
            <w:tcW w:w="140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July 1, 2025</w:t>
            </w:r>
          </w:p>
        </w:tc>
        <w:tc>
          <w:tcPr>
            <w:tcW w:w="220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53,063</w:t>
            </w:r>
          </w:p>
        </w:tc>
        <w:tc>
          <w:tcPr>
            <w:tcW w:w="2180" w:type="dxa"/>
            <w:vAlign w:val="bottom"/>
            <w:tcBorders>
              <w:right w:val="single" w:sz="8" w:color="auto"/>
            </w:tcBorders>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9"/>
              </w:rPr>
              <w:t>Exercises of vested stock</w:t>
            </w:r>
          </w:p>
        </w:tc>
      </w:tr>
      <w:tr>
        <w:trPr>
          <w:trHeight w:val="218"/>
        </w:trPr>
        <w:tc>
          <w:tcPr>
            <w:tcW w:w="2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 satisfy the</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18, 2024)</w:t>
            </w:r>
          </w:p>
        </w:tc>
        <w:tc>
          <w:tcPr>
            <w:tcW w:w="140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options and sales of shares of</w:t>
            </w: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affirmative defense</w:t>
            </w:r>
          </w:p>
        </w:tc>
        <w:tc>
          <w:tcPr>
            <w:tcW w:w="13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the Company’s common</w:t>
            </w: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conditions of Securities</w:t>
            </w:r>
          </w:p>
        </w:tc>
        <w:tc>
          <w:tcPr>
            <w:tcW w:w="13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stock pursuant to the terms of</w:t>
            </w: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Exchange Act Rule</w:t>
            </w:r>
          </w:p>
        </w:tc>
        <w:tc>
          <w:tcPr>
            <w:tcW w:w="13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trading plan</w:t>
            </w:r>
          </w:p>
        </w:tc>
      </w:tr>
      <w:tr>
        <w:trPr>
          <w:trHeight w:val="234"/>
        </w:trPr>
        <w:tc>
          <w:tcPr>
            <w:tcW w:w="238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10b5- 1(c)</w:t>
            </w:r>
          </w:p>
        </w:tc>
        <w:tc>
          <w:tcPr>
            <w:tcW w:w="13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r>
      <w:tr>
        <w:trPr>
          <w:trHeight w:val="24"/>
        </w:trPr>
        <w:tc>
          <w:tcPr>
            <w:tcW w:w="238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bl>
    <w:p>
      <w:pPr>
        <w:spacing w:after="0" w:line="2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than as disclosed above, no other officer or director adopted, modified or terminated a Rule 10b5-1 trading arrangement or non-Rule 10b5-1 trading arrangement (as such terms are defined in Item 408 of Regulation S-K) during the three months ended June 30,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gridSpan w:val="9"/>
            <w:vMerge w:val="restart"/>
          </w:tcPr>
          <w:p>
            <w:pPr>
              <w:ind w:left="3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200" w:type="dxa"/>
            <w:vAlign w:val="bottom"/>
            <w:tcBorders>
              <w:bottom w:val="single" w:sz="8" w:color="auto"/>
            </w:tcBorders>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280">
              <w:r>
                <w:rPr>
                  <w:rFonts w:ascii="Times New Roman" w:cs="Times New Roman" w:eastAsia="Times New Roman" w:hAnsi="Times New Roman"/>
                  <w:sz w:val="18"/>
                  <w:szCs w:val="18"/>
                  <w:color w:val="0000FF"/>
                  <w:w w:val="99"/>
                </w:rPr>
                <w:t>Amendment No.1 to the 2020 Stock Option and Incentive Plan (Incorporated by reference to Exhibit 10.1 to the Registrant's Current Report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11"/>
          </w:tcPr>
          <w:p>
            <w:pPr>
              <w:spacing w:after="0" w:line="196" w:lineRule="exact"/>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on Form 8-K (File No. 001-39460) filed with the Securities and Exchange Commission on June 20, 2024.</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4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1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5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1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bottom w:val="single" w:sz="8" w:color="0000EE"/>
            </w:tcBorders>
          </w:tcPr>
          <w:p>
            <w:pPr>
              <w:spacing w:after="0"/>
              <w:rPr>
                <w:sz w:val="17"/>
                <w:szCs w:val="17"/>
                <w:color w:val="auto"/>
              </w:rPr>
            </w:pPr>
          </w:p>
        </w:tc>
        <w:tc>
          <w:tcPr>
            <w:tcW w:w="92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bottom w:val="single" w:sz="8" w:color="0000EE"/>
            </w:tcBorders>
          </w:tcPr>
          <w:p>
            <w:pPr>
              <w:spacing w:after="0"/>
              <w:rPr>
                <w:sz w:val="17"/>
                <w:szCs w:val="17"/>
                <w:color w:val="auto"/>
              </w:rPr>
            </w:pPr>
          </w:p>
        </w:tc>
        <w:tc>
          <w:tcPr>
            <w:tcW w:w="92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391"/>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92"/>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92"/>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91"/>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92"/>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1120" w:hanging="1099"/>
        <w:spacing w:after="0"/>
        <w:tabs>
          <w:tab w:leader="none" w:pos="11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w:t>
      </w:r>
    </w:p>
    <w:p>
      <w:pPr>
        <w:spacing w:after="0" w:line="211"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any compensatory plan, contract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90309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30" w:lineRule="exact"/>
        <w:rPr>
          <w:sz w:val="20"/>
          <w:szCs w:val="20"/>
          <w:color w:val="auto"/>
        </w:rPr>
      </w:pPr>
    </w:p>
    <w:p>
      <w:pPr>
        <w:jc w:val="both"/>
        <w:ind w:firstLine="8"/>
        <w:spacing w:after="0" w:line="266" w:lineRule="auto"/>
        <w:tabs>
          <w:tab w:leader="none" w:pos="14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will not be deemed “filed” for purposes of Section 18 of the Securities Exchange Act of 1934, as amended, or otherwise subject to the liability of that section. Such certification will not be deemed to be incorporated by reference into any filing under the Securities Act of 1933, as amended, except to the extent specifically incorporated by reference into such filing.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Kymera Therapeutics, Inc.</w:t>
      </w:r>
    </w:p>
    <w:p>
      <w:pPr>
        <w:spacing w:after="0" w:line="252" w:lineRule="exact"/>
        <w:rPr>
          <w:sz w:val="20"/>
          <w:szCs w:val="20"/>
          <w:color w:val="auto"/>
        </w:rPr>
      </w:pPr>
    </w:p>
    <w:p>
      <w:pPr>
        <w:ind w:left="20"/>
        <w:spacing w:after="0"/>
        <w:tabs>
          <w:tab w:leader="none" w:pos="5560" w:val="left"/>
          <w:tab w:leader="none" w:pos="772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Nello Mainolfi,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26035</wp:posOffset>
            </wp:positionV>
            <wp:extent cx="331724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Nello Mainolfi, Ph.D</w:t>
      </w: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47" w:lineRule="exact"/>
        <w:rPr>
          <w:sz w:val="20"/>
          <w:szCs w:val="20"/>
          <w:color w:val="auto"/>
        </w:rPr>
      </w:pPr>
    </w:p>
    <w:p>
      <w:pPr>
        <w:ind w:left="20"/>
        <w:spacing w:after="0"/>
        <w:tabs>
          <w:tab w:leader="none" w:pos="5560" w:val="left"/>
          <w:tab w:leader="none" w:pos="756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Bruce Jacobs, CFA,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26035</wp:posOffset>
            </wp:positionV>
            <wp:extent cx="331724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21"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Bruce Jacobs, CFA, MBA</w:t>
      </w:r>
    </w:p>
    <w:p>
      <w:pPr>
        <w:spacing w:after="0" w:line="23"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Nello Mainolfi, Ph.D., certify that:</w:t>
      </w:r>
    </w:p>
    <w:p>
      <w:pPr>
        <w:spacing w:after="0" w:line="225" w:lineRule="exact"/>
        <w:rPr>
          <w:sz w:val="20"/>
          <w:szCs w:val="20"/>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2024 of Kymera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 w:leader="none" w:pos="772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Nello Mainolfi,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Nello Mainolfi, Ph.D</w:t>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Bruce Jacobs, CFA, MBA, certify that:</w:t>
      </w:r>
    </w:p>
    <w:p>
      <w:pPr>
        <w:spacing w:after="0" w:line="225" w:lineRule="exact"/>
        <w:rPr>
          <w:sz w:val="20"/>
          <w:szCs w:val="20"/>
          <w:color w:val="auto"/>
        </w:rPr>
      </w:pPr>
    </w:p>
    <w:p>
      <w:pPr>
        <w:ind w:left="520" w:hanging="512"/>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2024 of Kymera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 w:leader="none" w:pos="756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Bruce Jacobs, CFO,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Bruce Jacobs, CFO, MBA</w:t>
      </w:r>
    </w:p>
    <w:p>
      <w:pPr>
        <w:spacing w:after="0" w:line="23"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Kymera Therapeutics, Inc. (the “Company”) on Form 10-Q for the period ending June 30,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5580" w:val="left"/>
          <w:tab w:leader="none" w:pos="766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Nello Mainolfi,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26035</wp:posOffset>
            </wp:positionV>
            <wp:extent cx="33858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21"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b w:val="1"/>
          <w:bCs w:val="1"/>
          <w:color w:val="auto"/>
        </w:rPr>
        <w:t>Nello Mainolfi, Ph.D</w:t>
      </w: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Kymera Therapeutics, Inc. (the “Company”) on Form 10-Q for the period ending June 30,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5580" w:val="left"/>
          <w:tab w:leader="none" w:pos="750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Bruce Jacobs, CFA,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26035</wp:posOffset>
            </wp:positionV>
            <wp:extent cx="33858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21"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Bruce Jacobs, CFA, MBA</w:t>
      </w:r>
    </w:p>
    <w:p>
      <w:pPr>
        <w:spacing w:after="0" w:line="23"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1" w:name="page92"/>
    <w:bookmarkEnd w:id="9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1."/>
      <w:numFmt w:val="decimal"/>
      <w:start w:val="1"/>
    </w:lvl>
  </w:abstractNum>
  <w:abstractNum w:abstractNumId="7">
    <w:nsid w:val="3A95F874"/>
    <w:multiLevelType w:val="hybridMultilevel"/>
    <w:lvl w:ilvl="0">
      <w:lvlJc w:val="left"/>
      <w:lvlText w:val="%1."/>
      <w:numFmt w:val="decimal"/>
      <w:start w:val="2"/>
    </w:lvl>
  </w:abstractNum>
  <w:abstractNum w:abstractNumId="8">
    <w:nsid w:val="8138641"/>
    <w:multiLevelType w:val="hybridMultilevel"/>
    <w:lvl w:ilvl="0">
      <w:lvlJc w:val="left"/>
      <w:lvlText w:val="%1."/>
      <w:numFmt w:val="decimal"/>
      <w:start w:val="13"/>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1)"/>
      <w:numFmt w:val="lowerRoman"/>
      <w:start w:val="2"/>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lvl w:ilvl="1">
      <w:lvlJc w:val="left"/>
      <w:lvlText w:val="%2"/>
      <w:numFmt w:val="decimal"/>
      <w:start w:val="104"/>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80" Type="http://schemas.openxmlformats.org/officeDocument/2006/relationships/hyperlink" Target="https://www.sec.gov/Archives/edgar/data/1815442/000119312524164550/d84150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2024-08-07T06:21:00Z</dcterms:created>
  <dcterms:modified xsi:type="dcterms:W3CDTF">2024-08-07T06:21:00Z</dcterms:modified>
</cp:coreProperties>
</file>