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2600" w:right="1600" w:hanging="2579"/>
        <w:spacing w:after="0" w:line="251" w:lineRule="auto"/>
        <w:tabs>
          <w:tab w:leader="none" w:pos="471" w:val="left"/>
        </w:tabs>
        <w:numPr>
          <w:ilvl w:val="0"/>
          <w:numId w:val="2"/>
        </w:numPr>
        <w:rPr>
          <w:rFonts w:ascii="MS PGothic" w:cs="MS PGothic" w:eastAsia="MS PGothic" w:hAnsi="MS PGothic"/>
          <w:sz w:val="34"/>
          <w:szCs w:val="34"/>
          <w:color w:val="auto"/>
          <w:highlight w:val="black"/>
          <w:vertAlign w:val="superscript"/>
        </w:rPr>
      </w:pPr>
      <w:r>
        <w:rPr>
          <w:rFonts w:ascii="Arial" w:cs="Arial" w:eastAsia="Arial" w:hAnsi="Arial"/>
          <w:sz w:val="17"/>
          <w:szCs w:val="17"/>
          <w:b w:val="1"/>
          <w:bCs w:val="1"/>
          <w:color w:val="auto"/>
        </w:rPr>
        <w:t>TRANSITION REPORT PURSUANT TO SECTION 13 OR 15(d) OF THE SECURITIES EXCHANGE ACT OF 1934 For the transition period from ___________________ to ___________________</w:t>
      </w:r>
    </w:p>
    <w:p>
      <w:pPr>
        <w:spacing w:after="0" w:line="33" w:lineRule="exact"/>
        <w:rPr>
          <w:rFonts w:ascii="MS PGothic" w:cs="MS PGothic" w:eastAsia="MS PGothic" w:hAnsi="MS PGothic"/>
          <w:sz w:val="34"/>
          <w:szCs w:val="34"/>
          <w:color w:val="auto"/>
          <w:highlight w:val="black"/>
          <w:vertAlign w:val="superscript"/>
        </w:rPr>
      </w:pPr>
    </w:p>
    <w:p>
      <w:pPr>
        <w:ind w:left="4200"/>
        <w:spacing w:after="0"/>
        <w:rPr>
          <w:rFonts w:ascii="MS PGothic" w:cs="MS PGothic" w:eastAsia="MS PGothic" w:hAnsi="MS PGothic"/>
          <w:sz w:val="34"/>
          <w:szCs w:val="34"/>
          <w:color w:val="auto"/>
          <w:highlight w:val="black"/>
          <w:vertAlign w:val="superscript"/>
        </w:rPr>
      </w:pPr>
      <w:r>
        <w:rPr>
          <w:rFonts w:ascii="Arial" w:cs="Arial" w:eastAsia="Arial" w:hAnsi="Arial"/>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KYMERA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19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81-2992166</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2">
            <w:col w:w="7140" w:space="720"/>
            <w:col w:w="3380"/>
          </w:cols>
          <w:pgMar w:left="320" w:top="692" w:right="339" w:bottom="1440" w:gutter="0" w:footer="0" w:header="0"/>
          <w:type w:val="continuous"/>
        </w:sectPr>
      </w:pPr>
    </w:p>
    <w:p>
      <w:pPr>
        <w:ind w:left="1480"/>
        <w:spacing w:after="0"/>
        <w:rPr>
          <w:sz w:val="20"/>
          <w:szCs w:val="20"/>
          <w:color w:val="auto"/>
        </w:rPr>
      </w:pPr>
      <w:r>
        <w:rPr>
          <w:rFonts w:ascii="Arial" w:cs="Arial" w:eastAsia="Arial" w:hAnsi="Arial"/>
          <w:sz w:val="18"/>
          <w:szCs w:val="18"/>
          <w:b w:val="1"/>
          <w:bCs w:val="1"/>
          <w:color w:val="auto"/>
        </w:rPr>
        <w:t>200 Arsenal Yards Blvd., Suite 230</w:t>
      </w:r>
    </w:p>
    <w:p>
      <w:pPr>
        <w:spacing w:after="0" w:line="27" w:lineRule="exact"/>
        <w:rPr>
          <w:sz w:val="24"/>
          <w:szCs w:val="24"/>
          <w:color w:val="auto"/>
        </w:rPr>
      </w:pPr>
    </w:p>
    <w:p>
      <w:pPr>
        <w:ind w:left="1760"/>
        <w:spacing w:after="0"/>
        <w:tabs>
          <w:tab w:leader="none" w:pos="8180" w:val="left"/>
        </w:tabs>
        <w:rPr>
          <w:sz w:val="20"/>
          <w:szCs w:val="20"/>
          <w:color w:val="auto"/>
        </w:rPr>
      </w:pPr>
      <w:r>
        <w:rPr>
          <w:rFonts w:ascii="Arial" w:cs="Arial" w:eastAsia="Arial" w:hAnsi="Arial"/>
          <w:sz w:val="18"/>
          <w:szCs w:val="18"/>
          <w:b w:val="1"/>
          <w:bCs w:val="1"/>
          <w:color w:val="auto"/>
        </w:rPr>
        <w:t>Watertown, Massachusetts</w:t>
      </w:r>
      <w:r>
        <w:rPr>
          <w:sz w:val="20"/>
          <w:szCs w:val="20"/>
          <w:color w:val="auto"/>
        </w:rPr>
        <w:tab/>
      </w:r>
      <w:r>
        <w:rPr>
          <w:rFonts w:ascii="Arial" w:cs="Arial" w:eastAsia="Arial" w:hAnsi="Arial"/>
          <w:sz w:val="16"/>
          <w:szCs w:val="16"/>
          <w:b w:val="1"/>
          <w:bCs w:val="1"/>
          <w:color w:val="auto"/>
        </w:rPr>
        <w:t>02472</w:t>
      </w:r>
    </w:p>
    <w:p>
      <w:pPr>
        <w:spacing w:after="0" w:line="13"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8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5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27, 2023, the registrant had 55,487,373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ind w:left="1323"/>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337" w:lineRule="exact"/>
        <w:rPr>
          <w:sz w:val="20"/>
          <w:szCs w:val="20"/>
          <w:color w:val="auto"/>
        </w:rPr>
      </w:pPr>
    </w:p>
    <w:p>
      <w:pPr>
        <w:ind w:left="503" w:hanging="503"/>
        <w:spacing w:after="0" w:line="277"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biopharmaceutical company with a limited operating history and have not generated any revenue to date from drug sales, and may never become profitable.</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operating losses in recent periods and anticipate that we will incur continued losses for the foreseeable future.</w:t>
      </w:r>
    </w:p>
    <w:p>
      <w:pPr>
        <w:spacing w:after="0" w:line="140" w:lineRule="exact"/>
        <w:rPr>
          <w:rFonts w:ascii="Arial" w:cs="Arial" w:eastAsia="Arial" w:hAnsi="Arial"/>
          <w:sz w:val="16"/>
          <w:szCs w:val="16"/>
          <w:color w:val="auto"/>
        </w:rPr>
      </w:pPr>
    </w:p>
    <w:p>
      <w:pPr>
        <w:ind w:left="503" w:hanging="503"/>
        <w:spacing w:after="0" w:line="308" w:lineRule="auto"/>
        <w:tabs>
          <w:tab w:leader="none" w:pos="503"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38" w:lineRule="exact"/>
        <w:rPr>
          <w:rFonts w:ascii="Arial" w:cs="Arial" w:eastAsia="Arial" w:hAnsi="Arial"/>
          <w:sz w:val="17"/>
          <w:szCs w:val="17"/>
          <w:color w:val="auto"/>
        </w:rPr>
      </w:pPr>
    </w:p>
    <w:p>
      <w:pPr>
        <w:jc w:val="both"/>
        <w:ind w:left="503" w:hanging="503"/>
        <w:spacing w:after="0" w:line="263"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very early in our development efforts and our IRAK4, STAT3 and MDM2 programs are still in early clinical development. If we are unable to advance them through the clinic for safety or efficacy reasons or commercialize our product candidates or experience significant delays in doing so, our business will be materially harmed.</w:t>
      </w:r>
    </w:p>
    <w:p>
      <w:pPr>
        <w:spacing w:after="0" w:line="80" w:lineRule="exact"/>
        <w:rPr>
          <w:rFonts w:ascii="Arial" w:cs="Arial" w:eastAsia="Arial" w:hAnsi="Arial"/>
          <w:sz w:val="18"/>
          <w:szCs w:val="18"/>
          <w:color w:val="auto"/>
        </w:rPr>
      </w:pPr>
    </w:p>
    <w:p>
      <w:pPr>
        <w:ind w:left="503" w:hanging="503"/>
        <w:spacing w:after="0" w:line="250" w:lineRule="auto"/>
        <w:tabs>
          <w:tab w:leader="none" w:pos="503"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approach to the discovery and development of product candidates based on our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is novel and unproven, which makes it difficult to predict the time, cost of development, and likelihood of successfully developing any products.</w:t>
      </w:r>
    </w:p>
    <w:p>
      <w:pPr>
        <w:spacing w:after="0" w:line="82" w:lineRule="exact"/>
        <w:rPr>
          <w:rFonts w:ascii="Arial" w:cs="Arial" w:eastAsia="Arial" w:hAnsi="Arial"/>
          <w:sz w:val="17"/>
          <w:szCs w:val="17"/>
          <w:color w:val="auto"/>
        </w:rPr>
      </w:pPr>
    </w:p>
    <w:p>
      <w:pPr>
        <w:ind w:left="503" w:hanging="503"/>
        <w:spacing w:after="0" w:line="277"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any pandemic or similar public health crises could cause a disruption to our supply chain or the development of our product candidates and adversely impact our business.</w:t>
      </w:r>
    </w:p>
    <w:p>
      <w:pPr>
        <w:spacing w:after="0" w:line="62" w:lineRule="exact"/>
        <w:rPr>
          <w:rFonts w:ascii="Arial" w:cs="Arial" w:eastAsia="Arial" w:hAnsi="Arial"/>
          <w:sz w:val="18"/>
          <w:szCs w:val="18"/>
          <w:color w:val="auto"/>
        </w:rPr>
      </w:pPr>
    </w:p>
    <w:p>
      <w:pPr>
        <w:jc w:val="both"/>
        <w:ind w:left="503" w:hanging="503"/>
        <w:spacing w:after="0" w:line="263"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75"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jc w:val="both"/>
        <w:ind w:left="503" w:hanging="503"/>
        <w:spacing w:after="0" w:line="263"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75"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current or future product candidates, we will be subject to ongoing obligations and continued regulatory review, which may result in significant additional expense.</w:t>
      </w:r>
    </w:p>
    <w:p>
      <w:pPr>
        <w:spacing w:after="0" w:line="62" w:lineRule="exact"/>
        <w:rPr>
          <w:rFonts w:ascii="Arial" w:cs="Arial" w:eastAsia="Arial" w:hAnsi="Arial"/>
          <w:sz w:val="18"/>
          <w:szCs w:val="18"/>
          <w:color w:val="auto"/>
        </w:rPr>
      </w:pPr>
    </w:p>
    <w:p>
      <w:pPr>
        <w:jc w:val="both"/>
        <w:ind w:left="503" w:hanging="503"/>
        <w:spacing w:after="0" w:line="259"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ongoing and planned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8" w:lineRule="exact"/>
        <w:rPr>
          <w:rFonts w:ascii="Arial" w:cs="Arial" w:eastAsia="Arial" w:hAnsi="Arial"/>
          <w:sz w:val="18"/>
          <w:szCs w:val="18"/>
          <w:color w:val="auto"/>
        </w:rPr>
      </w:pPr>
    </w:p>
    <w:p>
      <w:pPr>
        <w:jc w:val="both"/>
        <w:ind w:left="503" w:hanging="503"/>
        <w:spacing w:after="0" w:line="311" w:lineRule="auto"/>
        <w:tabs>
          <w:tab w:leader="none" w:pos="503"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4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64" w:lineRule="exact"/>
        <w:rPr>
          <w:sz w:val="20"/>
          <w:szCs w:val="20"/>
          <w:color w:val="auto"/>
        </w:rPr>
      </w:pPr>
    </w:p>
    <w:p>
      <w:pPr>
        <w:jc w:val="both"/>
        <w:ind w:left="1020" w:hanging="503"/>
        <w:spacing w:after="0" w:line="28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and future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2" w:lineRule="exact"/>
        <w:rPr>
          <w:rFonts w:ascii="Arial" w:cs="Arial" w:eastAsia="Arial" w:hAnsi="Arial"/>
          <w:sz w:val="17"/>
          <w:szCs w:val="17"/>
          <w:color w:val="auto"/>
        </w:rPr>
      </w:pPr>
    </w:p>
    <w:p>
      <w:pPr>
        <w:ind w:left="1020" w:hanging="503"/>
        <w:spacing w:after="0" w:line="23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construct Pegasus</w:t>
      </w:r>
      <w:r>
        <w:rPr>
          <w:rFonts w:ascii="Arial" w:cs="Arial" w:eastAsia="Arial" w:hAnsi="Arial"/>
          <w:sz w:val="24"/>
          <w:szCs w:val="24"/>
          <w:color w:val="auto"/>
          <w:vertAlign w:val="superscript"/>
        </w:rPr>
        <w:t>TM</w:t>
      </w:r>
      <w:r>
        <w:rPr>
          <w:rFonts w:ascii="Arial" w:cs="Arial" w:eastAsia="Arial" w:hAnsi="Arial"/>
          <w:sz w:val="18"/>
          <w:szCs w:val="18"/>
          <w:color w:val="auto"/>
        </w:rPr>
        <w:t>, our drug discovery platform, and to enable a rational and effective drug discovery and development engine;</w:t>
      </w:r>
    </w:p>
    <w:p>
      <w:pPr>
        <w:spacing w:after="0" w:line="9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the success of clinical studies under our IRAK4, IRAKIMiD, STAT3 and MDM2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submit investigational new drug applications to the FDA for current and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subsequent initiation of planned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ability to manufacture our drug substances, delivery vehicles, and product candidates for preclinical use, for clinical trials and on a larger scale for commercial use, if approved;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funding for our operations necessary to complete further development and commercialization of our product candidates;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any pandemics, including mitigation efforts and economic effects, on any of the foregoing or other aspects of our business operations, including but not limited to our preclinical studies and future clinical trials;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8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8"/>
              </w:rPr>
              <w:t>Condensed Consolidated Statements of Operations and Comprehensive Loss</w:t>
            </w:r>
          </w:p>
        </w:tc>
        <w:tc>
          <w:tcPr>
            <w:tcW w:w="3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OTHER INFORMATION</w:t>
            </w:r>
          </w:p>
        </w:tc>
        <w:tc>
          <w:tcPr>
            <w:tcW w:w="74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4"/>
              </w:rPr>
              <w:t>September 30,</w:t>
            </w:r>
          </w:p>
        </w:tc>
        <w:tc>
          <w:tcPr>
            <w:tcW w:w="180" w:type="dxa"/>
            <w:vAlign w:val="bottom"/>
          </w:tcPr>
          <w:p>
            <w:pPr>
              <w:spacing w:after="0"/>
              <w:rPr>
                <w:sz w:val="13"/>
                <w:szCs w:val="13"/>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December 31,</w:t>
            </w:r>
          </w:p>
        </w:tc>
      </w:tr>
      <w:tr>
        <w:trPr>
          <w:trHeight w:val="165"/>
        </w:trPr>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0"/>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81,051</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68,395</w:t>
            </w:r>
          </w:p>
        </w:tc>
        <w:tc>
          <w:tcPr>
            <w:tcW w:w="100" w:type="dxa"/>
            <w:vAlign w:val="bottom"/>
            <w:shd w:val="clear" w:color="auto" w:fill="CFF0FC"/>
          </w:tcPr>
          <w:p>
            <w:pPr>
              <w:spacing w:after="0"/>
              <w:rPr>
                <w:sz w:val="15"/>
                <w:szCs w:val="15"/>
                <w:color w:val="auto"/>
              </w:rPr>
            </w:pPr>
          </w:p>
        </w:tc>
      </w:tr>
      <w:tr>
        <w:trPr>
          <w:trHeight w:val="176"/>
        </w:trPr>
        <w:tc>
          <w:tcPr>
            <w:tcW w:w="8260" w:type="dxa"/>
            <w:vAlign w:val="bottom"/>
          </w:tcPr>
          <w:p>
            <w:pPr>
              <w:ind w:left="200"/>
              <w:spacing w:after="0"/>
              <w:rPr>
                <w:sz w:val="20"/>
                <w:szCs w:val="20"/>
                <w:color w:val="auto"/>
              </w:rPr>
            </w:pPr>
            <w:r>
              <w:rPr>
                <w:rFonts w:ascii="Arial" w:cs="Arial" w:eastAsia="Arial" w:hAnsi="Arial"/>
                <w:sz w:val="14"/>
                <w:szCs w:val="14"/>
                <w:color w:val="auto"/>
              </w:rPr>
              <w:t>Marketable securities (Note 4)</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276,774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338,771</w:t>
            </w:r>
          </w:p>
        </w:tc>
        <w:tc>
          <w:tcPr>
            <w:tcW w:w="100" w:type="dxa"/>
            <w:vAlign w:val="bottom"/>
          </w:tcPr>
          <w:p>
            <w:pPr>
              <w:spacing w:after="0"/>
              <w:rPr>
                <w:sz w:val="15"/>
                <w:szCs w:val="15"/>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assets</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3,778</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2,537</w:t>
            </w:r>
          </w:p>
        </w:tc>
        <w:tc>
          <w:tcPr>
            <w:tcW w:w="100" w:type="dxa"/>
            <w:vAlign w:val="bottom"/>
            <w:shd w:val="clear" w:color="auto" w:fill="CFF0FC"/>
          </w:tcPr>
          <w:p>
            <w:pPr>
              <w:spacing w:after="0"/>
              <w:rPr>
                <w:sz w:val="15"/>
                <w:szCs w:val="15"/>
                <w:color w:val="auto"/>
              </w:rPr>
            </w:pPr>
          </w:p>
        </w:tc>
      </w:tr>
      <w:tr>
        <w:trPr>
          <w:trHeight w:val="176"/>
        </w:trPr>
        <w:tc>
          <w:tcPr>
            <w:tcW w:w="826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14,091</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9,713</w:t>
            </w:r>
          </w:p>
        </w:tc>
        <w:tc>
          <w:tcPr>
            <w:tcW w:w="100" w:type="dxa"/>
            <w:vAlign w:val="bottom"/>
          </w:tcPr>
          <w:p>
            <w:pPr>
              <w:spacing w:after="0"/>
              <w:rPr>
                <w:sz w:val="15"/>
                <w:szCs w:val="15"/>
                <w:color w:val="auto"/>
              </w:rPr>
            </w:pPr>
          </w:p>
        </w:tc>
      </w:tr>
      <w:tr>
        <w:trPr>
          <w:trHeight w:val="169"/>
        </w:trPr>
        <w:tc>
          <w:tcPr>
            <w:tcW w:w="82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375,694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419,416</w:t>
            </w:r>
          </w:p>
        </w:tc>
        <w:tc>
          <w:tcPr>
            <w:tcW w:w="100" w:type="dxa"/>
            <w:vAlign w:val="bottom"/>
            <w:shd w:val="clear" w:color="auto" w:fill="CFF0FC"/>
          </w:tcPr>
          <w:p>
            <w:pPr>
              <w:spacing w:after="0"/>
              <w:rPr>
                <w:sz w:val="14"/>
                <w:szCs w:val="14"/>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4"/>
                <w:szCs w:val="14"/>
                <w:color w:val="auto"/>
              </w:rPr>
              <w:t>Marketable securities, non-current (Note 4)</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76,988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152,328</w:t>
            </w:r>
          </w:p>
        </w:tc>
        <w:tc>
          <w:tcPr>
            <w:tcW w:w="100" w:type="dxa"/>
            <w:vAlign w:val="bottom"/>
          </w:tcPr>
          <w:p>
            <w:pPr>
              <w:spacing w:after="0"/>
              <w:rPr>
                <w:sz w:val="15"/>
                <w:szCs w:val="15"/>
                <w:color w:val="auto"/>
              </w:rPr>
            </w:pPr>
          </w:p>
        </w:tc>
      </w:tr>
      <w:tr>
        <w:trPr>
          <w:trHeight w:val="176"/>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 (Note 6)</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36,145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13,334</w:t>
            </w:r>
          </w:p>
        </w:tc>
        <w:tc>
          <w:tcPr>
            <w:tcW w:w="100" w:type="dxa"/>
            <w:vAlign w:val="bottom"/>
            <w:shd w:val="clear" w:color="auto" w:fill="CFF0FC"/>
          </w:tcPr>
          <w:p>
            <w:pPr>
              <w:spacing w:after="0"/>
              <w:rPr>
                <w:sz w:val="15"/>
                <w:szCs w:val="15"/>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4"/>
                <w:szCs w:val="14"/>
                <w:color w:val="auto"/>
              </w:rPr>
              <w:t>Right-of-use assets, operating leases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54,955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8,909</w:t>
            </w:r>
          </w:p>
        </w:tc>
        <w:tc>
          <w:tcPr>
            <w:tcW w:w="100" w:type="dxa"/>
            <w:vAlign w:val="bottom"/>
          </w:tcPr>
          <w:p>
            <w:pPr>
              <w:spacing w:after="0"/>
              <w:rPr>
                <w:sz w:val="15"/>
                <w:szCs w:val="15"/>
                <w:color w:val="auto"/>
              </w:rPr>
            </w:pPr>
          </w:p>
        </w:tc>
      </w:tr>
      <w:tr>
        <w:trPr>
          <w:trHeight w:val="176"/>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non-current assets</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2,802</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3,017</w:t>
            </w:r>
          </w:p>
        </w:tc>
        <w:tc>
          <w:tcPr>
            <w:tcW w:w="100" w:type="dxa"/>
            <w:vAlign w:val="bottom"/>
            <w:shd w:val="clear" w:color="auto" w:fill="CFF0FC"/>
          </w:tcPr>
          <w:p>
            <w:pPr>
              <w:spacing w:after="0"/>
              <w:rPr>
                <w:sz w:val="15"/>
                <w:szCs w:val="15"/>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6,130</w:t>
            </w:r>
          </w:p>
        </w:tc>
        <w:tc>
          <w:tcPr>
            <w:tcW w:w="100" w:type="dxa"/>
            <w:vAlign w:val="bottom"/>
          </w:tcPr>
          <w:p>
            <w:pPr>
              <w:spacing w:after="0"/>
              <w:rPr>
                <w:sz w:val="15"/>
                <w:szCs w:val="15"/>
                <w:color w:val="auto"/>
              </w:rPr>
            </w:pPr>
          </w:p>
        </w:tc>
      </w:tr>
      <w:tr>
        <w:trPr>
          <w:trHeight w:val="209"/>
        </w:trPr>
        <w:tc>
          <w:tcPr>
            <w:tcW w:w="8260" w:type="dxa"/>
            <w:vAlign w:val="bottom"/>
            <w:tcBorders>
              <w:bottom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552,378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603,134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82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26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4,978</w:t>
            </w:r>
          </w:p>
        </w:tc>
        <w:tc>
          <w:tcPr>
            <w:tcW w:w="2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4,335</w:t>
            </w:r>
          </w:p>
        </w:tc>
        <w:tc>
          <w:tcPr>
            <w:tcW w:w="100" w:type="dxa"/>
            <w:vAlign w:val="bottom"/>
          </w:tcPr>
          <w:p>
            <w:pPr>
              <w:spacing w:after="0"/>
              <w:rPr>
                <w:sz w:val="15"/>
                <w:szCs w:val="15"/>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(Note 8)</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26,383</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27,502</w:t>
            </w:r>
          </w:p>
        </w:tc>
        <w:tc>
          <w:tcPr>
            <w:tcW w:w="100" w:type="dxa"/>
            <w:vAlign w:val="bottom"/>
            <w:shd w:val="clear" w:color="auto" w:fill="CFF0FC"/>
          </w:tcPr>
          <w:p>
            <w:pPr>
              <w:spacing w:after="0"/>
              <w:rPr>
                <w:sz w:val="15"/>
                <w:szCs w:val="15"/>
                <w:color w:val="auto"/>
              </w:rPr>
            </w:pPr>
          </w:p>
        </w:tc>
      </w:tr>
      <w:tr>
        <w:trPr>
          <w:trHeight w:val="176"/>
        </w:trPr>
        <w:tc>
          <w:tcPr>
            <w:tcW w:w="826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27,352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35,260</w:t>
            </w:r>
          </w:p>
        </w:tc>
        <w:tc>
          <w:tcPr>
            <w:tcW w:w="100" w:type="dxa"/>
            <w:vAlign w:val="bottom"/>
          </w:tcPr>
          <w:p>
            <w:pPr>
              <w:spacing w:after="0"/>
              <w:rPr>
                <w:sz w:val="15"/>
                <w:szCs w:val="15"/>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2,535</w:t>
            </w:r>
          </w:p>
        </w:tc>
        <w:tc>
          <w:tcPr>
            <w:tcW w:w="100" w:type="dxa"/>
            <w:vAlign w:val="bottom"/>
            <w:shd w:val="clear" w:color="auto" w:fill="CFF0FC"/>
          </w:tcPr>
          <w:p>
            <w:pPr>
              <w:spacing w:after="0"/>
              <w:rPr>
                <w:sz w:val="15"/>
                <w:szCs w:val="15"/>
                <w:color w:val="auto"/>
              </w:rPr>
            </w:pPr>
          </w:p>
        </w:tc>
      </w:tr>
      <w:tr>
        <w:trPr>
          <w:trHeight w:val="176"/>
        </w:trPr>
        <w:tc>
          <w:tcPr>
            <w:tcW w:w="8260" w:type="dxa"/>
            <w:vAlign w:val="bottom"/>
          </w:tcPr>
          <w:p>
            <w:pPr>
              <w:ind w:left="200"/>
              <w:spacing w:after="0"/>
              <w:rPr>
                <w:sz w:val="20"/>
                <w:szCs w:val="20"/>
                <w:color w:val="auto"/>
              </w:rPr>
            </w:pPr>
            <w:r>
              <w:rPr>
                <w:rFonts w:ascii="Arial" w:cs="Arial" w:eastAsia="Arial" w:hAnsi="Arial"/>
                <w:sz w:val="14"/>
                <w:szCs w:val="14"/>
                <w:color w:val="auto"/>
              </w:rPr>
              <w:t>Finance lease liabilities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15"/>
                <w:szCs w:val="15"/>
                <w:color w:val="auto"/>
              </w:rPr>
            </w:pPr>
          </w:p>
        </w:tc>
      </w:tr>
      <w:tr>
        <w:trPr>
          <w:trHeight w:val="175"/>
        </w:trPr>
        <w:tc>
          <w:tcPr>
            <w:tcW w:w="8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858</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26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63,166</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71,343</w:t>
            </w:r>
          </w:p>
        </w:tc>
        <w:tc>
          <w:tcPr>
            <w:tcW w:w="100" w:type="dxa"/>
            <w:vAlign w:val="bottom"/>
          </w:tcPr>
          <w:p>
            <w:pPr>
              <w:spacing w:after="0"/>
              <w:rPr>
                <w:sz w:val="14"/>
                <w:szCs w:val="14"/>
                <w:color w:val="auto"/>
              </w:rPr>
            </w:pPr>
          </w:p>
        </w:tc>
      </w:tr>
      <w:tr>
        <w:trPr>
          <w:trHeight w:val="176"/>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Non-current liabilities</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260" w:type="dxa"/>
            <w:vAlign w:val="bottom"/>
          </w:tcPr>
          <w:p>
            <w:pPr>
              <w:ind w:left="20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16,421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28,000</w:t>
            </w:r>
          </w:p>
        </w:tc>
        <w:tc>
          <w:tcPr>
            <w:tcW w:w="100" w:type="dxa"/>
            <w:vAlign w:val="bottom"/>
          </w:tcPr>
          <w:p>
            <w:pPr>
              <w:spacing w:after="0"/>
              <w:rPr>
                <w:sz w:val="15"/>
                <w:szCs w:val="15"/>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76,605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12,146</w:t>
            </w:r>
          </w:p>
        </w:tc>
        <w:tc>
          <w:tcPr>
            <w:tcW w:w="100" w:type="dxa"/>
            <w:vAlign w:val="bottom"/>
            <w:shd w:val="clear" w:color="auto" w:fill="CFF0FC"/>
          </w:tcPr>
          <w:p>
            <w:pPr>
              <w:spacing w:after="0"/>
              <w:rPr>
                <w:sz w:val="15"/>
                <w:szCs w:val="15"/>
                <w:color w:val="auto"/>
              </w:rPr>
            </w:pPr>
          </w:p>
        </w:tc>
      </w:tr>
      <w:tr>
        <w:trPr>
          <w:trHeight w:val="175"/>
        </w:trPr>
        <w:tc>
          <w:tcPr>
            <w:tcW w:w="8260" w:type="dxa"/>
            <w:vAlign w:val="bottom"/>
          </w:tcPr>
          <w:p>
            <w:pPr>
              <w:ind w:left="200"/>
              <w:spacing w:after="0"/>
              <w:rPr>
                <w:sz w:val="20"/>
                <w:szCs w:val="20"/>
                <w:color w:val="auto"/>
              </w:rPr>
            </w:pPr>
            <w:r>
              <w:rPr>
                <w:rFonts w:ascii="Arial" w:cs="Arial" w:eastAsia="Arial" w:hAnsi="Arial"/>
                <w:sz w:val="14"/>
                <w:szCs w:val="14"/>
                <w:color w:val="auto"/>
              </w:rPr>
              <w:t>Finance lease liabilities, net of current portion</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15"/>
                <w:szCs w:val="15"/>
                <w:color w:val="auto"/>
              </w:rPr>
            </w:pPr>
          </w:p>
        </w:tc>
      </w:tr>
      <w:tr>
        <w:trPr>
          <w:trHeight w:val="175"/>
        </w:trPr>
        <w:tc>
          <w:tcPr>
            <w:tcW w:w="8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26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156,843</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112,983</w:t>
            </w:r>
          </w:p>
        </w:tc>
        <w:tc>
          <w:tcPr>
            <w:tcW w:w="100" w:type="dxa"/>
            <w:vAlign w:val="bottom"/>
          </w:tcPr>
          <w:p>
            <w:pPr>
              <w:spacing w:after="0"/>
              <w:rPr>
                <w:sz w:val="14"/>
                <w:szCs w:val="14"/>
                <w:color w:val="auto"/>
              </w:rPr>
            </w:pPr>
          </w:p>
        </w:tc>
      </w:tr>
      <w:tr>
        <w:trPr>
          <w:trHeight w:val="175"/>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8260" w:type="dxa"/>
            <w:vAlign w:val="bottom"/>
          </w:tcPr>
          <w:p>
            <w:pPr>
              <w:ind w:left="200"/>
              <w:spacing w:after="0" w:line="143" w:lineRule="exact"/>
              <w:rPr>
                <w:sz w:val="20"/>
                <w:szCs w:val="20"/>
                <w:color w:val="auto"/>
              </w:rPr>
            </w:pPr>
            <w:r>
              <w:rPr>
                <w:rFonts w:ascii="Arial" w:cs="Arial" w:eastAsia="Arial" w:hAnsi="Arial"/>
                <w:sz w:val="14"/>
                <w:szCs w:val="14"/>
                <w:color w:val="auto"/>
                <w:w w:val="98"/>
              </w:rPr>
              <w:t>Common stock, $0.0001 par value; 150,000,000 shares authorized at September 30, 2023 and December 31, 2022, 55,450,239 and</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8260" w:type="dxa"/>
            <w:vAlign w:val="bottom"/>
          </w:tcPr>
          <w:p>
            <w:pPr>
              <w:ind w:left="200"/>
              <w:spacing w:after="0"/>
              <w:rPr>
                <w:sz w:val="20"/>
                <w:szCs w:val="20"/>
                <w:color w:val="auto"/>
              </w:rPr>
            </w:pPr>
            <w:r>
              <w:rPr>
                <w:rFonts w:ascii="Arial" w:cs="Arial" w:eastAsia="Arial" w:hAnsi="Arial"/>
                <w:sz w:val="14"/>
                <w:szCs w:val="14"/>
                <w:color w:val="auto"/>
              </w:rPr>
              <w:t>55,039,380 shares issued and outstanding at September 30, 2023 and December 31, 2022, respectively</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914,363</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878,884</w:t>
            </w:r>
          </w:p>
        </w:tc>
        <w:tc>
          <w:tcPr>
            <w:tcW w:w="100" w:type="dxa"/>
            <w:vAlign w:val="bottom"/>
            <w:shd w:val="clear" w:color="auto" w:fill="CFF0FC"/>
          </w:tcPr>
          <w:p>
            <w:pPr>
              <w:spacing w:after="0"/>
              <w:rPr>
                <w:sz w:val="15"/>
                <w:szCs w:val="15"/>
                <w:color w:val="auto"/>
              </w:rPr>
            </w:pPr>
          </w:p>
        </w:tc>
      </w:tr>
      <w:tr>
        <w:trPr>
          <w:trHeight w:val="175"/>
        </w:trPr>
        <w:tc>
          <w:tcPr>
            <w:tcW w:w="826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(516,384 )</w:t>
            </w:r>
          </w:p>
        </w:tc>
        <w:tc>
          <w:tcPr>
            <w:tcW w:w="18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(383,790 )</w:t>
            </w:r>
          </w:p>
        </w:tc>
      </w:tr>
      <w:tr>
        <w:trPr>
          <w:trHeight w:val="175"/>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(2,450 )</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(4,949 )</w:t>
            </w:r>
          </w:p>
        </w:tc>
      </w:tr>
      <w:tr>
        <w:trPr>
          <w:trHeight w:val="169"/>
        </w:trPr>
        <w:tc>
          <w:tcPr>
            <w:tcW w:w="826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395,535</w:t>
            </w:r>
          </w:p>
        </w:tc>
        <w:tc>
          <w:tcPr>
            <w:tcW w:w="26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490,151</w:t>
            </w:r>
          </w:p>
        </w:tc>
        <w:tc>
          <w:tcPr>
            <w:tcW w:w="100" w:type="dxa"/>
            <w:vAlign w:val="bottom"/>
            <w:tcBorders>
              <w:top w:val="single" w:sz="8" w:color="CFF0FC"/>
            </w:tcBorders>
          </w:tcPr>
          <w:p>
            <w:pPr>
              <w:spacing w:after="0"/>
              <w:rPr>
                <w:sz w:val="14"/>
                <w:szCs w:val="14"/>
                <w:color w:val="auto"/>
              </w:rPr>
            </w:pPr>
          </w:p>
        </w:tc>
      </w:tr>
      <w:tr>
        <w:trPr>
          <w:trHeight w:val="209"/>
        </w:trPr>
        <w:tc>
          <w:tcPr>
            <w:tcW w:w="8260" w:type="dxa"/>
            <w:vAlign w:val="bottom"/>
            <w:tcBorders>
              <w:bottom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552,378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603,134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-2630805</wp:posOffset>
            </wp:positionV>
            <wp:extent cx="105410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100" cy="1371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-1713865</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-1036320</wp:posOffset>
            </wp:positionV>
            <wp:extent cx="685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-264795</wp:posOffset>
            </wp:positionV>
            <wp:extent cx="685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Three and nine months ended September 30, 2023 and 2022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8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right"/>
              <w:ind w:right="97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38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7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Collaboration Revenue—from related parties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30,687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121,115</w:t>
            </w: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40,814</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32,198</w:t>
            </w:r>
          </w:p>
        </w:tc>
        <w:tc>
          <w:tcPr>
            <w:tcW w:w="100" w:type="dxa"/>
            <w:vAlign w:val="bottom"/>
          </w:tcPr>
          <w:p>
            <w:pPr>
              <w:spacing w:after="0"/>
              <w:rPr>
                <w:sz w:val="21"/>
                <w:szCs w:val="21"/>
                <w:color w:val="auto"/>
              </w:rPr>
            </w:pPr>
          </w:p>
        </w:tc>
      </w:tr>
      <w:tr>
        <w:trPr>
          <w:trHeight w:val="237"/>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62,237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54,433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176,925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(57,509 )</w:t>
            </w:r>
          </w:p>
        </w:tc>
        <w:tc>
          <w:tcPr>
            <w:tcW w:w="22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(44,882 )</w:t>
            </w:r>
          </w:p>
        </w:tc>
        <w:tc>
          <w:tcPr>
            <w:tcW w:w="20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(146,218 )</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(122,626 )</w:t>
            </w: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0"/>
                <w:szCs w:val="20"/>
                <w:color w:val="auto"/>
              </w:rPr>
            </w:pPr>
          </w:p>
        </w:tc>
      </w:tr>
      <w:tr>
        <w:trPr>
          <w:trHeight w:val="249"/>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and other expense</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(41 )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(36 )</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(144 )</w:t>
            </w: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(117 )</w:t>
            </w:r>
          </w:p>
        </w:tc>
      </w:tr>
      <w:tr>
        <w:trPr>
          <w:trHeight w:val="236"/>
        </w:trPr>
        <w:tc>
          <w:tcPr>
            <w:tcW w:w="57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income:</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13,624</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top w:val="single" w:sz="8" w:color="CFF0FC"/>
            </w:tcBorders>
          </w:tcPr>
          <w:p>
            <w:pPr>
              <w:spacing w:after="0"/>
              <w:rPr>
                <w:sz w:val="20"/>
                <w:szCs w:val="20"/>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(132,594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(119,943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7"/>
        </w:trPr>
        <w:tc>
          <w:tcPr>
            <w:tcW w:w="57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(1,930 )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(5,253 )</w:t>
            </w:r>
          </w:p>
        </w:tc>
      </w:tr>
      <w:tr>
        <w:trPr>
          <w:trHeight w:val="20"/>
        </w:trPr>
        <w:tc>
          <w:tcPr>
            <w:tcW w:w="5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(51,682 )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(44,932 )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(130,095 )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(125,196 )</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77"/>
        </w:trPr>
        <w:tc>
          <w:tcPr>
            <w:tcW w:w="57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(52,867</w:t>
            </w:r>
          </w:p>
        </w:tc>
        <w:tc>
          <w:tcPr>
            <w:tcW w:w="24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(43,002</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(132,594</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(119,943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(0.90 )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(0.79 )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(2.27 )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(2.28 )</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stock outstanding, basic and diluted</w:t>
            </w: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58,421,859</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54,535,514</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58,312,813</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52,600,103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-2811145</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-2811145</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-2811145</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-2811145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-2176780</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-2176780</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-2176780</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-2176780</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-1550670</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-1550670</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-1550670</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-1550670</wp:posOffset>
            </wp:positionV>
            <wp:extent cx="68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-1224915</wp:posOffset>
            </wp:positionV>
            <wp:extent cx="266573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65730" cy="17970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-890905</wp:posOffset>
            </wp:positionV>
            <wp:extent cx="2665730" cy="711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65730" cy="7112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2023 and 2022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for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900" w:type="dxa"/>
            <w:vAlign w:val="bottom"/>
            <w:gridSpan w:val="4"/>
            <w:vMerge w:val="restart"/>
          </w:tcPr>
          <w:p>
            <w:pPr>
              <w:jc w:val="right"/>
              <w:ind w:right="31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359"/>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34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90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Paid in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3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3"/>
              </w:rPr>
              <w:t>Gain/(Loss)</w:t>
            </w: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2022</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51,847,049</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ind w:right="458"/>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707,852</w:t>
            </w:r>
          </w:p>
        </w:tc>
        <w:tc>
          <w:tcPr>
            <w:tcW w:w="2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(305,923</w:t>
            </w:r>
          </w:p>
        </w:tc>
        <w:tc>
          <w:tcPr>
            <w:tcW w:w="280" w:type="dxa"/>
            <w:vAlign w:val="bottom"/>
            <w:shd w:val="clear" w:color="auto" w:fill="CFF0FC"/>
          </w:tcPr>
          <w:p>
            <w:pPr>
              <w:jc w:val="right"/>
              <w:ind w:right="1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(3,983</w:t>
            </w:r>
          </w:p>
        </w:tc>
        <w:tc>
          <w:tcPr>
            <w:tcW w:w="28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397,951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720" w:type="dxa"/>
            <w:vAlign w:val="bottom"/>
          </w:tcPr>
          <w:p>
            <w:pPr>
              <w:spacing w:after="0" w:line="143" w:lineRule="exact"/>
              <w:rPr>
                <w:sz w:val="20"/>
                <w:szCs w:val="20"/>
                <w:color w:val="auto"/>
              </w:rPr>
            </w:pPr>
            <w:r>
              <w:rPr>
                <w:rFonts w:ascii="Arial" w:cs="Arial" w:eastAsia="Arial" w:hAnsi="Arial"/>
                <w:sz w:val="14"/>
                <w:szCs w:val="14"/>
                <w:color w:val="auto"/>
              </w:rPr>
              <w:t>Issuance of common stock and accompanying pre-funded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tcPr>
          <w:p>
            <w:pPr>
              <w:spacing w:after="0"/>
              <w:rPr>
                <w:sz w:val="20"/>
                <w:szCs w:val="20"/>
                <w:color w:val="auto"/>
              </w:rPr>
            </w:pPr>
            <w:r>
              <w:rPr>
                <w:rFonts w:ascii="Arial" w:cs="Arial" w:eastAsia="Arial" w:hAnsi="Arial"/>
                <w:sz w:val="14"/>
                <w:szCs w:val="14"/>
                <w:color w:val="auto"/>
                <w:w w:val="95"/>
              </w:rPr>
              <w:t>warrants from private placement, net of issuance costs of $174</w:t>
            </w:r>
          </w:p>
        </w:tc>
        <w:tc>
          <w:tcPr>
            <w:tcW w:w="1000" w:type="dxa"/>
            <w:vAlign w:val="bottom"/>
          </w:tcPr>
          <w:p>
            <w:pPr>
              <w:jc w:val="right"/>
              <w:spacing w:after="0"/>
              <w:rPr>
                <w:sz w:val="20"/>
                <w:szCs w:val="20"/>
                <w:color w:val="auto"/>
              </w:rPr>
            </w:pPr>
            <w:r>
              <w:rPr>
                <w:rFonts w:ascii="Arial" w:cs="Arial" w:eastAsia="Arial" w:hAnsi="Arial"/>
                <w:sz w:val="14"/>
                <w:szCs w:val="14"/>
                <w:color w:val="auto"/>
              </w:rPr>
              <w:t>2,769,228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149,825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149,826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125,534</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964</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Arial" w:cs="Arial" w:eastAsia="Arial" w:hAnsi="Arial"/>
                <w:sz w:val="14"/>
                <w:szCs w:val="14"/>
                <w:color w:val="auto"/>
              </w:rPr>
              <w:t>Vesting restricted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9,618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9,076</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Arial" w:cs="Arial" w:eastAsia="Arial" w:hAnsi="Arial"/>
                <w:sz w:val="14"/>
                <w:szCs w:val="14"/>
                <w:color w:val="auto"/>
              </w:rPr>
              <w:t>Unrealized loss on marketable securities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148"/>
              <w:spacing w:after="0"/>
              <w:rPr>
                <w:sz w:val="20"/>
                <w:szCs w:val="20"/>
                <w:color w:val="auto"/>
              </w:rPr>
            </w:pPr>
            <w:r>
              <w:rPr>
                <w:rFonts w:ascii="Arial" w:cs="Arial" w:eastAsia="Arial" w:hAnsi="Arial"/>
                <w:sz w:val="14"/>
                <w:szCs w:val="14"/>
                <w:color w:val="auto"/>
              </w:rPr>
              <w:t>(1,930 )</w:t>
            </w:r>
          </w:p>
        </w:tc>
        <w:tc>
          <w:tcPr>
            <w:tcW w:w="2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(1,930 )</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(43,002 )</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(43,002 )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tcPr>
          <w:p>
            <w:pPr>
              <w:spacing w:after="0"/>
              <w:rPr>
                <w:sz w:val="20"/>
                <w:szCs w:val="20"/>
                <w:color w:val="auto"/>
              </w:rPr>
            </w:pPr>
            <w:r>
              <w:rPr>
                <w:rFonts w:ascii="Arial" w:cs="Arial" w:eastAsia="Arial" w:hAnsi="Arial"/>
                <w:sz w:val="14"/>
                <w:szCs w:val="14"/>
                <w:color w:val="auto"/>
              </w:rPr>
              <w:t>Balance at September 30, 2022</w:t>
            </w:r>
          </w:p>
        </w:tc>
        <w:tc>
          <w:tcPr>
            <w:tcW w:w="1000" w:type="dxa"/>
            <w:vAlign w:val="bottom"/>
          </w:tcPr>
          <w:p>
            <w:pPr>
              <w:jc w:val="right"/>
              <w:spacing w:after="0"/>
              <w:rPr>
                <w:sz w:val="20"/>
                <w:szCs w:val="20"/>
                <w:color w:val="auto"/>
              </w:rPr>
            </w:pPr>
            <w:r>
              <w:rPr>
                <w:rFonts w:ascii="Arial" w:cs="Arial" w:eastAsia="Arial" w:hAnsi="Arial"/>
                <w:sz w:val="14"/>
                <w:szCs w:val="14"/>
                <w:color w:val="auto"/>
              </w:rPr>
              <w:t>54,751,429</w:t>
            </w:r>
          </w:p>
        </w:tc>
        <w:tc>
          <w:tcPr>
            <w:tcW w:w="120" w:type="dxa"/>
            <w:vAlign w:val="bottom"/>
          </w:tcPr>
          <w:p>
            <w:pPr>
              <w:spacing w:after="0"/>
              <w:rPr>
                <w:sz w:val="14"/>
                <w:szCs w:val="14"/>
                <w:color w:val="auto"/>
              </w:rPr>
            </w:pPr>
          </w:p>
        </w:tc>
        <w:tc>
          <w:tcPr>
            <w:tcW w:w="7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867,717</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99"/>
              <w:spacing w:after="0"/>
              <w:rPr>
                <w:sz w:val="20"/>
                <w:szCs w:val="20"/>
                <w:color w:val="auto"/>
              </w:rPr>
            </w:pPr>
            <w:r>
              <w:rPr>
                <w:rFonts w:ascii="Arial" w:cs="Arial" w:eastAsia="Arial" w:hAnsi="Arial"/>
                <w:sz w:val="14"/>
                <w:szCs w:val="14"/>
                <w:color w:val="auto"/>
              </w:rPr>
              <w:t>(348,925 )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48"/>
              <w:spacing w:after="0"/>
              <w:rPr>
                <w:sz w:val="20"/>
                <w:szCs w:val="20"/>
                <w:color w:val="auto"/>
              </w:rPr>
            </w:pPr>
            <w:r>
              <w:rPr>
                <w:rFonts w:ascii="Arial" w:cs="Arial" w:eastAsia="Arial" w:hAnsi="Arial"/>
                <w:sz w:val="14"/>
                <w:szCs w:val="14"/>
                <w:color w:val="auto"/>
              </w:rPr>
              <w:t>(5,913 )</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512,885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1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2023</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55,390,259</w:t>
            </w:r>
          </w:p>
        </w:tc>
        <w:tc>
          <w:tcPr>
            <w:tcW w:w="900" w:type="dxa"/>
            <w:vAlign w:val="bottom"/>
            <w:gridSpan w:val="3"/>
            <w:shd w:val="clear" w:color="auto" w:fill="CFF0FC"/>
          </w:tcPr>
          <w:p>
            <w:pPr>
              <w:jc w:val="right"/>
              <w:ind w:right="45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902,574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(463,517 )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(3,635 )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435,428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4"/>
                <w:szCs w:val="14"/>
                <w:color w:val="auto"/>
              </w:rPr>
              <w:t>58,373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Vesting restricted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1,607</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Arial" w:cs="Arial" w:eastAsia="Arial" w:hAnsi="Arial"/>
                <w:sz w:val="14"/>
                <w:szCs w:val="14"/>
                <w:color w:val="auto"/>
              </w:rPr>
              <w:t>Issuance of shares under employee stock purchase plan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11,654</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Arial" w:cs="Arial" w:eastAsia="Arial" w:hAnsi="Arial"/>
                <w:sz w:val="14"/>
                <w:szCs w:val="14"/>
                <w:color w:val="auto"/>
              </w:rPr>
              <w:t>Unrealized gain on marketable securities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(52,867 )</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(52,867 )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tcPr>
          <w:p>
            <w:pPr>
              <w:spacing w:after="0" w:line="155" w:lineRule="exact"/>
              <w:rPr>
                <w:sz w:val="20"/>
                <w:szCs w:val="20"/>
                <w:color w:val="auto"/>
              </w:rPr>
            </w:pPr>
            <w:r>
              <w:rPr>
                <w:rFonts w:ascii="Arial" w:cs="Arial" w:eastAsia="Arial" w:hAnsi="Arial"/>
                <w:sz w:val="14"/>
                <w:szCs w:val="14"/>
                <w:color w:val="auto"/>
              </w:rPr>
              <w:t>Balance at September 30, 2023</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55,450,239</w:t>
            </w:r>
          </w:p>
        </w:tc>
        <w:tc>
          <w:tcPr>
            <w:tcW w:w="900" w:type="dxa"/>
            <w:vAlign w:val="bottom"/>
            <w:gridSpan w:val="3"/>
          </w:tcPr>
          <w:p>
            <w:pPr>
              <w:jc w:val="right"/>
              <w:ind w:right="458"/>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914,363</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99"/>
              <w:spacing w:after="0" w:line="155" w:lineRule="exact"/>
              <w:rPr>
                <w:sz w:val="20"/>
                <w:szCs w:val="20"/>
                <w:color w:val="auto"/>
              </w:rPr>
            </w:pPr>
            <w:r>
              <w:rPr>
                <w:rFonts w:ascii="Arial" w:cs="Arial" w:eastAsia="Arial" w:hAnsi="Arial"/>
                <w:sz w:val="14"/>
                <w:szCs w:val="14"/>
                <w:color w:val="auto"/>
              </w:rPr>
              <w:t xml:space="preserve">(516,384 </w:t>
            </w:r>
            <w:r>
              <w:rPr>
                <w:rFonts w:ascii="Arial" w:cs="Arial" w:eastAsia="Arial" w:hAnsi="Arial"/>
                <w:sz w:val="14"/>
                <w:szCs w:val="14"/>
                <w:color w:val="auto"/>
                <w:highlight w:val="white"/>
              </w:rPr>
              <w:t>)</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48"/>
              <w:spacing w:after="0" w:line="155" w:lineRule="exact"/>
              <w:rPr>
                <w:sz w:val="20"/>
                <w:szCs w:val="20"/>
                <w:color w:val="auto"/>
              </w:rPr>
            </w:pPr>
            <w:r>
              <w:rPr>
                <w:rFonts w:ascii="Arial" w:cs="Arial" w:eastAsia="Arial" w:hAnsi="Arial"/>
                <w:sz w:val="14"/>
                <w:szCs w:val="14"/>
                <w:color w:val="auto"/>
              </w:rPr>
              <w:t xml:space="preserve">(2,450 </w:t>
            </w:r>
            <w:r>
              <w:rPr>
                <w:rFonts w:ascii="Arial" w:cs="Arial" w:eastAsia="Arial" w:hAnsi="Arial"/>
                <w:sz w:val="14"/>
                <w:szCs w:val="14"/>
                <w:color w:val="auto"/>
                <w:highlight w:val="white"/>
              </w:rPr>
              <w:t>)</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395,535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-1242695</wp:posOffset>
            </wp:positionV>
            <wp:extent cx="7747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-1242695</wp:posOffset>
            </wp:positionV>
            <wp:extent cx="7747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-1242695</wp:posOffset>
            </wp:positionV>
            <wp:extent cx="68580"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-1242695</wp:posOffset>
            </wp:positionV>
            <wp:extent cx="6858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-1242695</wp:posOffset>
            </wp:positionV>
            <wp:extent cx="6858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-1242695</wp:posOffset>
            </wp:positionV>
            <wp:extent cx="6858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-145415</wp:posOffset>
            </wp:positionV>
            <wp:extent cx="7747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-145415</wp:posOffset>
            </wp:positionV>
            <wp:extent cx="7747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-145415</wp:posOffset>
            </wp:positionV>
            <wp:extent cx="6858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-145415</wp:posOffset>
            </wp:positionV>
            <wp:extent cx="6858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37"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90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36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4"/>
                <w:szCs w:val="14"/>
                <w:color w:val="auto"/>
              </w:rPr>
            </w:pPr>
          </w:p>
        </w:tc>
        <w:tc>
          <w:tcPr>
            <w:tcW w:w="1900" w:type="dxa"/>
            <w:vAlign w:val="bottom"/>
            <w:tcBorders>
              <w:bottom w:val="single" w:sz="8" w:color="auto"/>
            </w:tcBorders>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Paid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36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9"/>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51,536,181</w:t>
            </w:r>
          </w:p>
        </w:tc>
        <w:tc>
          <w:tcPr>
            <w:tcW w:w="1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689,275</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(228,982</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(660</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459,638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00" w:type="dxa"/>
            <w:vAlign w:val="bottom"/>
          </w:tcPr>
          <w:p>
            <w:pPr>
              <w:ind w:left="20"/>
              <w:spacing w:after="0" w:line="143" w:lineRule="exact"/>
              <w:rPr>
                <w:sz w:val="20"/>
                <w:szCs w:val="20"/>
                <w:color w:val="auto"/>
              </w:rPr>
            </w:pPr>
            <w:r>
              <w:rPr>
                <w:rFonts w:ascii="Arial" w:cs="Arial" w:eastAsia="Arial" w:hAnsi="Arial"/>
                <w:sz w:val="14"/>
                <w:szCs w:val="14"/>
                <w:color w:val="auto"/>
                <w:w w:val="95"/>
              </w:rPr>
              <w:t>Issuance of common stock and accompanying pre-funded warrants</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20"/>
              <w:spacing w:after="0"/>
              <w:rPr>
                <w:sz w:val="20"/>
                <w:szCs w:val="20"/>
                <w:color w:val="auto"/>
              </w:rPr>
            </w:pPr>
            <w:r>
              <w:rPr>
                <w:rFonts w:ascii="Arial" w:cs="Arial" w:eastAsia="Arial" w:hAnsi="Arial"/>
                <w:sz w:val="14"/>
                <w:szCs w:val="14"/>
                <w:color w:val="auto"/>
              </w:rPr>
              <w:t>from private placement, net of issuance costs of $174</w:t>
            </w:r>
          </w:p>
        </w:tc>
        <w:tc>
          <w:tcPr>
            <w:tcW w:w="940" w:type="dxa"/>
            <w:vAlign w:val="bottom"/>
          </w:tcPr>
          <w:p>
            <w:pPr>
              <w:jc w:val="right"/>
              <w:spacing w:after="0"/>
              <w:rPr>
                <w:sz w:val="20"/>
                <w:szCs w:val="20"/>
                <w:color w:val="auto"/>
              </w:rPr>
            </w:pPr>
            <w:r>
              <w:rPr>
                <w:rFonts w:ascii="Arial" w:cs="Arial" w:eastAsia="Arial" w:hAnsi="Arial"/>
                <w:sz w:val="14"/>
                <w:szCs w:val="14"/>
                <w:color w:val="auto"/>
              </w:rPr>
              <w:t>2,769,228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149,825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149,826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388,061</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Vesting restricted stock</w:t>
            </w:r>
          </w:p>
        </w:tc>
        <w:tc>
          <w:tcPr>
            <w:tcW w:w="940" w:type="dxa"/>
            <w:vAlign w:val="bottom"/>
          </w:tcPr>
          <w:p>
            <w:pPr>
              <w:jc w:val="right"/>
              <w:spacing w:after="0"/>
              <w:rPr>
                <w:sz w:val="20"/>
                <w:szCs w:val="20"/>
                <w:color w:val="auto"/>
              </w:rPr>
            </w:pPr>
            <w:r>
              <w:rPr>
                <w:rFonts w:ascii="Arial" w:cs="Arial" w:eastAsia="Arial" w:hAnsi="Arial"/>
                <w:sz w:val="14"/>
                <w:szCs w:val="14"/>
                <w:color w:val="auto"/>
              </w:rPr>
              <w:t>36,866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0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shares under employee stock</w:t>
            </w: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21,093</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26,571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26,571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(5,253 )</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(5,253 )</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(119,943 )</w:t>
            </w:r>
          </w:p>
        </w:tc>
        <w:tc>
          <w:tcPr>
            <w:tcW w:w="12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(119,943 )</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September 30, 2022</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54,751,429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867,717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(348,925</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(5,913</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512,885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400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940" w:type="dxa"/>
            <w:vAlign w:val="bottom"/>
          </w:tcPr>
          <w:p>
            <w:pPr>
              <w:jc w:val="right"/>
              <w:spacing w:after="0"/>
              <w:rPr>
                <w:sz w:val="20"/>
                <w:szCs w:val="20"/>
                <w:color w:val="auto"/>
              </w:rPr>
            </w:pPr>
            <w:r>
              <w:rPr>
                <w:rFonts w:ascii="Arial" w:cs="Arial" w:eastAsia="Arial" w:hAnsi="Arial"/>
                <w:sz w:val="14"/>
                <w:szCs w:val="14"/>
                <w:color w:val="auto"/>
              </w:rPr>
              <w:t>55,039,380</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878,884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(383,790 )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88"/>
              <w:spacing w:after="0"/>
              <w:rPr>
                <w:sz w:val="20"/>
                <w:szCs w:val="20"/>
                <w:color w:val="auto"/>
              </w:rPr>
            </w:pPr>
            <w:r>
              <w:rPr>
                <w:rFonts w:ascii="Arial" w:cs="Arial" w:eastAsia="Arial" w:hAnsi="Arial"/>
                <w:sz w:val="14"/>
                <w:szCs w:val="14"/>
                <w:color w:val="auto"/>
              </w:rPr>
              <w:t>(4,949 )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490,151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335,065</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Vesting restricted stock</w:t>
            </w:r>
          </w:p>
        </w:tc>
        <w:tc>
          <w:tcPr>
            <w:tcW w:w="940" w:type="dxa"/>
            <w:vAlign w:val="bottom"/>
          </w:tcPr>
          <w:p>
            <w:pPr>
              <w:jc w:val="right"/>
              <w:spacing w:after="0"/>
              <w:rPr>
                <w:sz w:val="20"/>
                <w:szCs w:val="20"/>
                <w:color w:val="auto"/>
              </w:rPr>
            </w:pPr>
            <w:r>
              <w:rPr>
                <w:rFonts w:ascii="Arial" w:cs="Arial" w:eastAsia="Arial" w:hAnsi="Arial"/>
                <w:sz w:val="14"/>
                <w:szCs w:val="14"/>
                <w:color w:val="auto"/>
              </w:rPr>
              <w:t>36,371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shares under employee 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39,423</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32,220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32,220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(132,594 )</w:t>
            </w:r>
          </w:p>
        </w:tc>
        <w:tc>
          <w:tcPr>
            <w:tcW w:w="120" w:type="dxa"/>
            <w:vAlign w:val="bottom"/>
          </w:tcPr>
          <w:p>
            <w:pPr>
              <w:spacing w:after="0"/>
              <w:rPr>
                <w:sz w:val="16"/>
                <w:szCs w:val="16"/>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(132,594 )</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September 30, 2023</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55,450,239</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914,363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(516,384</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(2,450</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395,535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-1071245</wp:posOffset>
            </wp:positionV>
            <wp:extent cx="3994785"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94785" cy="24892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23"/>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(132,594 )</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(119,943 )</w:t>
            </w: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32,220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26,571</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2,674</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0"/>
              <w:spacing w:after="0"/>
              <w:rPr>
                <w:sz w:val="20"/>
                <w:szCs w:val="20"/>
                <w:color w:val="auto"/>
              </w:rPr>
            </w:pPr>
            <w:r>
              <w:rPr>
                <w:rFonts w:ascii="Arial" w:cs="Arial" w:eastAsia="Arial" w:hAnsi="Arial"/>
                <w:sz w:val="16"/>
                <w:szCs w:val="16"/>
                <w:color w:val="auto"/>
              </w:rPr>
              <w:t>Premiums and discounts on available-for-sale marketable securities</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(3,960 )</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(4,378 )</w:t>
            </w:r>
          </w:p>
        </w:tc>
        <w:tc>
          <w:tcPr>
            <w:tcW w:w="6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(512 )</w:t>
            </w:r>
          </w:p>
        </w:tc>
      </w:tr>
      <w:tr>
        <w:trPr>
          <w:trHeight w:val="239"/>
        </w:trPr>
        <w:tc>
          <w:tcPr>
            <w:tcW w:w="7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asset</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(1,241 )</w:t>
            </w: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(2,747 )</w:t>
            </w:r>
          </w:p>
        </w:tc>
      </w:tr>
      <w:tr>
        <w:trPr>
          <w:trHeight w:val="220"/>
        </w:trPr>
        <w:tc>
          <w:tcPr>
            <w:tcW w:w="79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(3,613 )</w:t>
            </w: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(19,487 )</w:t>
            </w:r>
          </w:p>
        </w:tc>
        <w:tc>
          <w:tcPr>
            <w:tcW w:w="6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(24,172 )</w:t>
            </w:r>
          </w:p>
        </w:tc>
      </w:tr>
      <w:tr>
        <w:trPr>
          <w:trHeight w:val="239"/>
        </w:trPr>
        <w:tc>
          <w:tcPr>
            <w:tcW w:w="7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2,787</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15,675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(738 )</w:t>
            </w:r>
          </w:p>
        </w:tc>
      </w:tr>
      <w:tr>
        <w:trPr>
          <w:trHeight w:val="236"/>
        </w:trPr>
        <w:tc>
          <w:tcPr>
            <w:tcW w:w="79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 and liabilities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(337 )</w:t>
            </w:r>
          </w:p>
        </w:tc>
      </w:tr>
      <w:tr>
        <w:trPr>
          <w:trHeight w:val="20"/>
        </w:trPr>
        <w:tc>
          <w:tcPr>
            <w:tcW w:w="7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(110,871 )</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(113,549 )</w:t>
            </w:r>
          </w:p>
        </w:tc>
      </w:tr>
      <w:tr>
        <w:trPr>
          <w:trHeight w:val="226"/>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Purchase of property and equipment, net</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(22,855 )</w:t>
            </w:r>
          </w:p>
        </w:tc>
        <w:tc>
          <w:tcPr>
            <w:tcW w:w="6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(2,463 )</w:t>
            </w: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investments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(143,647 )</w:t>
            </w:r>
          </w:p>
        </w:tc>
        <w:tc>
          <w:tcPr>
            <w:tcW w:w="6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(298,736 )</w:t>
            </w:r>
          </w:p>
        </w:tc>
      </w:tr>
      <w:tr>
        <w:trPr>
          <w:trHeight w:val="227"/>
        </w:trPr>
        <w:tc>
          <w:tcPr>
            <w:tcW w:w="7920" w:type="dxa"/>
            <w:vAlign w:val="bottom"/>
          </w:tcPr>
          <w:p>
            <w:pPr>
              <w:ind w:left="20"/>
              <w:spacing w:after="0"/>
              <w:rPr>
                <w:sz w:val="20"/>
                <w:szCs w:val="20"/>
                <w:color w:val="auto"/>
              </w:rPr>
            </w:pPr>
            <w:r>
              <w:rPr>
                <w:rFonts w:ascii="Arial" w:cs="Arial" w:eastAsia="Arial" w:hAnsi="Arial"/>
                <w:sz w:val="16"/>
                <w:szCs w:val="16"/>
                <w:color w:val="auto"/>
              </w:rPr>
              <w:t>Maturities of investments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287,436</w:t>
            </w:r>
          </w:p>
        </w:tc>
        <w:tc>
          <w:tcPr>
            <w:tcW w:w="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371,384</w:t>
            </w:r>
          </w:p>
        </w:tc>
        <w:tc>
          <w:tcPr>
            <w:tcW w:w="100" w:type="dxa"/>
            <w:vAlign w:val="bottom"/>
          </w:tcPr>
          <w:p>
            <w:pPr>
              <w:spacing w:after="0"/>
              <w:rPr>
                <w:sz w:val="19"/>
                <w:szCs w:val="19"/>
                <w:color w:val="auto"/>
              </w:rPr>
            </w:pPr>
          </w:p>
        </w:tc>
      </w:tr>
      <w:tr>
        <w:trPr>
          <w:trHeight w:val="223"/>
        </w:trPr>
        <w:tc>
          <w:tcPr>
            <w:tcW w:w="7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120,934</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and accompanying</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pre-funded warrants from private placement, net of issuance costs</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149,825</w:t>
            </w: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Proceeds from stock option exercises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FF0FC"/>
          </w:tcPr>
          <w:p>
            <w:pPr>
              <w:spacing w:after="0"/>
              <w:rPr>
                <w:sz w:val="20"/>
                <w:szCs w:val="20"/>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Payments on finance leases</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(1,001 )</w:t>
            </w:r>
          </w:p>
        </w:tc>
        <w:tc>
          <w:tcPr>
            <w:tcW w:w="6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(825 )</w:t>
            </w:r>
          </w:p>
        </w:tc>
      </w:tr>
      <w:tr>
        <w:trPr>
          <w:trHeight w:val="226"/>
        </w:trPr>
        <w:tc>
          <w:tcPr>
            <w:tcW w:w="7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151,046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12,321</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107,682</w:t>
            </w:r>
          </w:p>
        </w:tc>
        <w:tc>
          <w:tcPr>
            <w:tcW w:w="100" w:type="dxa"/>
            <w:vAlign w:val="bottom"/>
          </w:tcPr>
          <w:p>
            <w:pPr>
              <w:spacing w:after="0"/>
              <w:rPr>
                <w:sz w:val="18"/>
                <w:szCs w:val="18"/>
                <w:color w:val="auto"/>
              </w:rPr>
            </w:pPr>
          </w:p>
        </w:tc>
      </w:tr>
      <w:tr>
        <w:trPr>
          <w:trHeight w:val="236"/>
        </w:trPr>
        <w:tc>
          <w:tcPr>
            <w:tcW w:w="7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74,524</w:t>
            </w:r>
          </w:p>
        </w:tc>
        <w:tc>
          <w:tcPr>
            <w:tcW w:w="2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54,092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86,845</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161,774</w:t>
            </w:r>
          </w:p>
        </w:tc>
        <w:tc>
          <w:tcPr>
            <w:tcW w:w="100" w:type="dxa"/>
            <w:vAlign w:val="bottom"/>
          </w:tcPr>
          <w:p>
            <w:pPr>
              <w:spacing w:after="0"/>
              <w:rPr>
                <w:sz w:val="19"/>
                <w:szCs w:val="19"/>
                <w:color w:val="auto"/>
              </w:rPr>
            </w:pPr>
          </w:p>
        </w:tc>
      </w:tr>
      <w:tr>
        <w:trPr>
          <w:trHeight w:val="226"/>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48,833</w:t>
            </w:r>
          </w:p>
        </w:tc>
        <w:tc>
          <w:tcPr>
            <w:tcW w:w="28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FF0FC"/>
          </w:tcPr>
          <w:p>
            <w:pPr>
              <w:spacing w:after="0"/>
              <w:rPr>
                <w:sz w:val="20"/>
                <w:szCs w:val="20"/>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purchases included in accounts payable and accrued expenses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2,762</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FF0FC"/>
          </w:tcPr>
          <w:p>
            <w:pPr>
              <w:spacing w:after="0"/>
              <w:rPr>
                <w:sz w:val="20"/>
                <w:szCs w:val="20"/>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Purchase of property and equipment through finance lease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-3244215</wp:posOffset>
            </wp:positionV>
            <wp:extent cx="6858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-3244215</wp:posOffset>
            </wp:positionV>
            <wp:extent cx="685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-2344420</wp:posOffset>
            </wp:positionV>
            <wp:extent cx="6858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-2344420</wp:posOffset>
            </wp:positionV>
            <wp:extent cx="685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45020" cy="3213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-1024255</wp:posOffset>
            </wp:positionV>
            <wp:extent cx="6858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-1024255</wp:posOffset>
            </wp:positionV>
            <wp:extent cx="6858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FF0FC"/>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81,051</w:t>
            </w:r>
          </w:p>
        </w:tc>
        <w:tc>
          <w:tcPr>
            <w:tcW w:w="74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155,658</w:t>
            </w:r>
          </w:p>
        </w:tc>
        <w:tc>
          <w:tcPr>
            <w:tcW w:w="100" w:type="dxa"/>
            <w:vAlign w:val="bottom"/>
            <w:shd w:val="clear" w:color="auto" w:fill="CFF0FC"/>
          </w:tcPr>
          <w:p>
            <w:pPr>
              <w:spacing w:after="0"/>
              <w:rPr>
                <w:sz w:val="19"/>
                <w:szCs w:val="19"/>
                <w:color w:val="auto"/>
              </w:rPr>
            </w:pPr>
          </w:p>
        </w:tc>
      </w:tr>
      <w:tr>
        <w:trPr>
          <w:trHeight w:val="227"/>
        </w:trPr>
        <w:tc>
          <w:tcPr>
            <w:tcW w:w="77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6,116</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86,845</w:t>
            </w:r>
          </w:p>
        </w:tc>
        <w:tc>
          <w:tcPr>
            <w:tcW w:w="2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161,774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KYMERA THERAPEUTICS, INC.</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has historical net losses and anticipates that it will continue to incur losses for the foreseeable future and had an accumulated deficit of $516.4 million as of September 30, 2023. The Company has funded these losses principally through issuance of preferred stock, convertible notes, common stock, including its initial public offering and concurrent private placement completed in August 2020 (“IPO”), follow-on offering and concurrent private placement completed in July 2021 (“Follow-on Offering”), August 2022 Private Investment in Public Equity (“PIPE”) offering, and from cash proceeds received in connection with the Company’s collaboration agreements with Vertex Pharmaceuticals Incorporated (“Vertex”) and Genzyme Corporation (“Sanofi”) (see Note 5). The Company expects to continue to incur operating losses and negative cash flows until such time as it generates a level of revenue that is sufficient to support its cost structure.</w:t>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September 30, 2023, the Company had cash, cash equivalents and marketable securities of $434.8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August 20, 2020, the Company’s registration statement on Form S-1 relating to its initial public offering of its common stock was declared effective by the Securities and Exchange Commission (“SEC”). In the IPO, which closed on August 25, 2020, the Company issued and sold 9,987,520 shares of common stock, including full exercise of the underwriters’ over-allotment option to purchase an additional 1,302,720 shares, at a public offering price of $20.00 per share and the aggregate gross proceeds before deducting underwriting discounts and commissions, and other estimated offering expenses payable by the Company, were approximately $199.8 million. Concurrent with the IPO, the Company issued and sold 676,354 shares of common stock at $20.00 per share in a private placement to Vertex and the aggregate proceeds were $13.5 million.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July 6, 2021, the Company completed a follow-on offering of its common stock and issued and sold 5,468,250 shares of common stock, including full exercise of the underwriters’ over-allotment option to purchase an additional 713,250 shares, at a public offering price of $47.00 per share. The aggregate gross proceeds before deducting underwriting discounts and commissions, and other estimated offering expenses payable by the Company were approximately $257.0 million. Concurrent with the follow-on offering, the Company issued and sold 49,928 shares of common stock at $47.00 per share in a private placement to Vertex and the aggregate proceeds were $2.3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Private Investment in Public Equity “PIPE” offering</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August 18, 2022, the Company and certain accredited investors entered into a securities purchase agreement pursuant to which the Company agreed to sell and issue to such investors in a private placement (i) an aggregate of 2,769,228 shares of the Company’s common stock at a purchase price of $26.00 per share, and (ii) 3,000,000 pre-funded warrants to purchase common stock, at a purchase price of $25.9999 per Pre-Funded Warrant. The Pre-Funded Warrants will have an exercise price of $0.0001 per share of common stock. The offering closed on August 22, 2022, resulting in net proceeds of $149.8 million after offering expenses.</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nine months ended September 30, 2023, no pre-funded warrants were exercised. As of September 30, 2023, there were 3,000,000 pre-funded warrants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2022 included in the Company’s Annual Report on Form 10-K, filed with the SEC on February 23, 2023.</w:t>
      </w:r>
    </w:p>
    <w:p>
      <w:pPr>
        <w:spacing w:after="0" w:line="168" w:lineRule="exact"/>
        <w:rPr>
          <w:sz w:val="20"/>
          <w:szCs w:val="20"/>
          <w:color w:val="auto"/>
        </w:rPr>
      </w:pPr>
    </w:p>
    <w:p>
      <w:pPr>
        <w:jc w:val="both"/>
        <w:ind w:firstLine="576"/>
        <w:spacing w:after="0" w:line="296"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consolidated financial statements as of and for the year ended December 31, 2022, and, in the opinion of management, reflect all adjustments necessary, all of which were normal and recurring, for the fair statement of the Company’s financial position as of September 30, 2023, the results of operations for the three and nine months ended September 30, 2023 and 2022, and cash flows for the nine months ended September 30, 2023 and 2022. The results for the three and nine months ended September 30, 2023 are not necessarily indicative of the results for the year ended December 31, 2023 or for any future period.</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for the three and nine months ended September 30, 2023 are consistent with those discussed in Note 2 to the consolidated financial statements in the 2022 Annual Report on Form 10-K.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as of September 30, 2023 and December 31, 2022 (in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3"/>
              </w:rPr>
              <w:t>Fair Value Measurements at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54,291</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54,291</w:t>
            </w:r>
          </w:p>
        </w:tc>
        <w:tc>
          <w:tcPr>
            <w:tcW w:w="100" w:type="dxa"/>
            <w:vAlign w:val="bottom"/>
            <w:shd w:val="clear" w:color="auto" w:fill="CFF0FC"/>
          </w:tcPr>
          <w:p>
            <w:pPr>
              <w:spacing w:after="0"/>
              <w:rPr>
                <w:sz w:val="21"/>
                <w:szCs w:val="21"/>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13,883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13,883</w:t>
            </w:r>
          </w:p>
        </w:tc>
        <w:tc>
          <w:tcPr>
            <w:tcW w:w="100" w:type="dxa"/>
            <w:vAlign w:val="bottom"/>
          </w:tcPr>
          <w:p>
            <w:pPr>
              <w:spacing w:after="0"/>
              <w:rPr>
                <w:sz w:val="20"/>
                <w:szCs w:val="20"/>
                <w:color w:val="auto"/>
              </w:rPr>
            </w:pPr>
          </w:p>
        </w:tc>
      </w:tr>
      <w:tr>
        <w:trPr>
          <w:trHeight w:val="249"/>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8,937</w:t>
            </w:r>
          </w:p>
        </w:tc>
        <w:tc>
          <w:tcPr>
            <w:tcW w:w="100" w:type="dxa"/>
            <w:vAlign w:val="bottom"/>
            <w:shd w:val="clear" w:color="auto" w:fill="CFF0FC"/>
          </w:tcPr>
          <w:p>
            <w:pPr>
              <w:spacing w:after="0"/>
              <w:rPr>
                <w:sz w:val="21"/>
                <w:szCs w:val="2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Marketable securities, current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26,117</w:t>
            </w:r>
          </w:p>
        </w:tc>
        <w:tc>
          <w:tcPr>
            <w:tcW w:w="100" w:type="dxa"/>
            <w:vAlign w:val="bottom"/>
            <w:shd w:val="clear" w:color="auto" w:fill="CFF0FC"/>
          </w:tcPr>
          <w:p>
            <w:pPr>
              <w:spacing w:after="0"/>
              <w:rPr>
                <w:sz w:val="21"/>
                <w:szCs w:val="21"/>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141,331</w:t>
            </w:r>
          </w:p>
        </w:tc>
        <w:tc>
          <w:tcPr>
            <w:tcW w:w="100" w:type="dxa"/>
            <w:vAlign w:val="bottom"/>
          </w:tcPr>
          <w:p>
            <w:pPr>
              <w:spacing w:after="0"/>
              <w:rPr>
                <w:sz w:val="20"/>
                <w:szCs w:val="20"/>
                <w:color w:val="auto"/>
              </w:rPr>
            </w:pPr>
          </w:p>
        </w:tc>
      </w:tr>
      <w:tr>
        <w:trPr>
          <w:trHeight w:val="249"/>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109,326</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109,326</w:t>
            </w:r>
          </w:p>
        </w:tc>
        <w:tc>
          <w:tcPr>
            <w:tcW w:w="100" w:type="dxa"/>
            <w:vAlign w:val="bottom"/>
            <w:shd w:val="clear" w:color="auto" w:fill="CFF0FC"/>
          </w:tcPr>
          <w:p>
            <w:pPr>
              <w:spacing w:after="0"/>
              <w:rPr>
                <w:sz w:val="21"/>
                <w:szCs w:val="2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50,200</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50,200</w:t>
            </w:r>
          </w:p>
        </w:tc>
        <w:tc>
          <w:tcPr>
            <w:tcW w:w="100" w:type="dxa"/>
            <w:vAlign w:val="bottom"/>
            <w:shd w:val="clear" w:color="auto" w:fill="CFF0FC"/>
          </w:tcPr>
          <w:p>
            <w:pPr>
              <w:spacing w:after="0"/>
              <w:rPr>
                <w:sz w:val="21"/>
                <w:szCs w:val="21"/>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26,788</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26,788</w:t>
            </w:r>
          </w:p>
        </w:tc>
        <w:tc>
          <w:tcPr>
            <w:tcW w:w="100" w:type="dxa"/>
            <w:vAlign w:val="bottom"/>
          </w:tcPr>
          <w:p>
            <w:pPr>
              <w:spacing w:after="0"/>
              <w:rPr>
                <w:sz w:val="20"/>
                <w:szCs w:val="20"/>
                <w:color w:val="auto"/>
              </w:rPr>
            </w:pPr>
          </w:p>
        </w:tc>
      </w:tr>
      <w:tr>
        <w:trPr>
          <w:trHeight w:val="249"/>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4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109,022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327,645</w:t>
            </w:r>
          </w:p>
        </w:tc>
        <w:tc>
          <w:tcPr>
            <w:tcW w:w="102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436,667</w:t>
            </w:r>
          </w:p>
        </w:tc>
        <w:tc>
          <w:tcPr>
            <w:tcW w:w="10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032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03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Fair Value Measurements at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50,551</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Marketable securities, 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74,045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74,045</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120,467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120,467</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144,259</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144,259</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19,804</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58,653</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58,653</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73,871</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73,871</w:t>
            </w:r>
          </w:p>
        </w:tc>
        <w:tc>
          <w:tcPr>
            <w:tcW w:w="100" w:type="dxa"/>
            <w:vAlign w:val="bottom"/>
            <w:shd w:val="clear" w:color="auto" w:fill="CFF0FC"/>
          </w:tcPr>
          <w:p>
            <w:pPr>
              <w:spacing w:after="0"/>
              <w:rPr>
                <w:sz w:val="21"/>
                <w:szCs w:val="21"/>
                <w:color w:val="auto"/>
              </w:rPr>
            </w:pPr>
          </w:p>
        </w:tc>
      </w:tr>
      <w:tr>
        <w:trPr>
          <w:trHeight w:val="263"/>
        </w:trPr>
        <w:tc>
          <w:tcPr>
            <w:tcW w:w="524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2"/>
                <w:szCs w:val="22"/>
                <w:color w:val="auto"/>
              </w:rPr>
            </w:pPr>
          </w:p>
        </w:tc>
      </w:tr>
      <w:tr>
        <w:trPr>
          <w:trHeight w:val="270"/>
        </w:trPr>
        <w:tc>
          <w:tcPr>
            <w:tcW w:w="52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150,530</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397,250</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780" w:type="dxa"/>
            <w:vAlign w:val="bottom"/>
            <w:tcBorders>
              <w:top w:val="single" w:sz="8" w:color="CFF0FC"/>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FF0FC"/>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240" w:type="dxa"/>
            <w:vAlign w:val="bottom"/>
            <w:tcBorders>
              <w:top w:val="single" w:sz="8" w:color="CFF0FC"/>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547,780</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nine months ended September 30, 2023 and the year ended December 31, 2022, there were no transfers in or out of Level 3.</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available-for-sale debt securities held at September 30, 2023 and December 31, 2022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(298 )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26,117</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(1,257 )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191,531</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137,009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(895 )</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136,114</w:t>
            </w:r>
          </w:p>
        </w:tc>
        <w:tc>
          <w:tcPr>
            <w:tcW w:w="100" w:type="dxa"/>
            <w:vAlign w:val="bottom"/>
          </w:tcPr>
          <w:p>
            <w:pPr>
              <w:spacing w:after="0"/>
              <w:rPr>
                <w:sz w:val="21"/>
                <w:szCs w:val="21"/>
                <w:color w:val="auto"/>
              </w:rPr>
            </w:pPr>
          </w:p>
        </w:tc>
      </w:tr>
      <w:tr>
        <w:trPr>
          <w:trHeight w:val="277"/>
        </w:trPr>
        <w:tc>
          <w:tcPr>
            <w:tcW w:w="52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356,211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353,762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3"/>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24"/>
                <w:szCs w:val="24"/>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4"/>
                <w:szCs w:val="24"/>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80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(1,111 )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93,850</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180,967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(1,873 )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179,119</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220,119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(2,014 )</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218,130</w:t>
            </w:r>
          </w:p>
        </w:tc>
        <w:tc>
          <w:tcPr>
            <w:tcW w:w="100" w:type="dxa"/>
            <w:vAlign w:val="bottom"/>
          </w:tcPr>
          <w:p>
            <w:pPr>
              <w:spacing w:after="0"/>
              <w:rPr>
                <w:sz w:val="21"/>
                <w:szCs w:val="21"/>
                <w:color w:val="auto"/>
              </w:rPr>
            </w:pPr>
          </w:p>
        </w:tc>
      </w:tr>
      <w:tr>
        <w:trPr>
          <w:trHeight w:val="276"/>
        </w:trPr>
        <w:tc>
          <w:tcPr>
            <w:tcW w:w="52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496,044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491,099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-1199515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-1182370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-1199515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-1182370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-1199515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-1182370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-1199515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As of September 30, 2023, the Company held 106 securities that had been in an unrealized loss position for less than 12 months with an aggregate fair value of $231.5 million. As of December 31, 2022, the Company held 149 securities that had been in an unrealized loss position for less than 12 months with an aggregate fair value of $330.9 million. As of September 30, 2023, the Company held 56 securities that had been in an unrealized loss position for greater than 12 months with an aggregate fair value of $114.8 million. As of December 31, 2022, the Company held 36 securities that had been in an unrealized loss position for greater than 12 months with an aggregate fair value of $115.0 million.</w:t>
      </w:r>
    </w:p>
    <w:p>
      <w:pPr>
        <w:spacing w:after="0" w:line="24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of September 30, 2023 the Company had 125 securities with a fair value of $276.8 million with a contractual maturity of less than 12 months and 39 securities with a fair value of $77.0 million with a contractual maturity of greater than 12 months. As of December 31, 2022 the Company had 118 securities with a fair value of $338.8 million with a contractual maturity of less than 12 months and 81 securities with a fair value of $152.3 million with a contractual maturity of greater than 12 months. There were no sales of marketable securities during the nine months ending September 30, 2023 and 2022.</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3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September 30, 2023 and December 31, 2022.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Terms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7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4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pursuant to the Sanofi Agreement, Sanofi will grant to the Company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21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7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consideration for the exclusive licenses granted to Sanofi under the Sanofi Agreement, Sanofi paid to the Company an upfront payment of $150.0 million. The Company will also be reimbursed for certain research activities for a certain backup degrader under the IRAK4 program as well as contract manufacturing costs for the lead 474 program, unless certain criteria are not met for an initial IRAK4 degrader. In addition to the upfront payment and the reimbursements, the Company is eligible to receive certain development milestone payments of up to $1.48 billion in the aggregate, of which more than $1.0 billion relates to the IRAK4 program, upon the achievement of certain developmental or regulatory events. The Company will be eligible to receive certain commercial milestone payments up to $700.0 million in the aggregate, of which $400.0 million relates to the IRAK4 program, which are payable upon the achievement of certain net sales thresholds. The Company will be eligible to receive tiered royalties for each program on net sales ranging from the high-single digits to high teens, subject to low-single digits upward adjustments in certain circumstances.</w:t>
      </w:r>
    </w:p>
    <w:p>
      <w:pPr>
        <w:spacing w:after="0" w:line="17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Additionally with respect to Sanofi, on December 2, 2022, Sanofi provided the Company with written notice of its intention to advance the collaboration target 1 candidate, KT-474, into Phase 2 clinical trials. The Company is entitled to receive milestone payments upon the dosing of the first Phase 2 patient(s) per indication up to a specified number of indications as further set forth in the Amended Sanofi Agreement.</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4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8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6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determined the total transaction price to be $150.0 million, which consists solely of the upfront payment. All milestone payments and option payments are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Collaboration Target 1: $120.0 million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Collaboration Target 2: $30.0 million</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8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Reimbursement consideration added to the transaction price will be recognized as revenue on the same pattern as Collaboration Target 1, with a cumulative catch-up upon becoming unconstrained. The performance obligation associated with Collaboration Target 1 has not been fully satisfied as of September 30, 2023. The performance obligation associated with Collaboration Target 2 was fully satisfied as of September 30, 2023. In the three months ended September 30, 2023, the Company recognized $4.7 million in revenue under the Sanofi Agreement, of which $4.0 million was associated with Collaboration Target 1 and $0.7 million was associated with Collaboration Target 2. In the nine months ended September 30, 2023, the Company recognized $22.3 million in revenue under the Sanofi Agreement, of which $19.8 million was associated with Collaboration Target 1 and $2.5 million was associated with Collaboration Target 2. In the three months ended September 30, 2022, the Company recognized $7.1 million in revenue under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jc w:val="both"/>
        <w:spacing w:after="0" w:line="269" w:lineRule="auto"/>
        <w:rPr>
          <w:sz w:val="20"/>
          <w:szCs w:val="20"/>
          <w:color w:val="auto"/>
        </w:rPr>
      </w:pPr>
      <w:r>
        <w:rPr>
          <w:rFonts w:ascii="Arial" w:cs="Arial" w:eastAsia="Arial" w:hAnsi="Arial"/>
          <w:sz w:val="17"/>
          <w:szCs w:val="17"/>
          <w:color w:val="auto"/>
        </w:rPr>
        <w:t>Sanofi Agreement, of which $4.5 million was associated with Collaboration Target 1 and $2.6 million was associated with Collaboration Target 2. In the nine months ended September 30, 2022, the Company recognized $22.1 million in revenue under the Sanofi Agreement, of which $14.5 million was associated with Collaboration Target 1 and $7.6 million was associated with Collaboration Target 2. Of the $22.3 million of revenue recognized in the nine months ended September 30, 2023, $14.5 million was recognized from amounts that were recorded in deferred revenue as of December 31, 2022. The aggregate amount of the transaction price allocated to the Company’s unsatisfied performance obligations and recorded in deferred revenue as of September 30, 2023 and December 31, 2022 was $43.8 million and $54.9 million, respectively. During the nine months ended September 30, 2023, the Company received $10.0 million in cost reimbursement payments. As of September 30, 2023, no milestone or royalty payments have been received under the Sanofi Agreement. As of September 30, 2023, the Company recorded a contract asset for unbilled accounts receivable of $3.8 million related to reimbursable research and development costs under the Sanofi Agreement for activities related to Collaboration Target 1 performed during the third quarter of 2023. As of September 30, 2023, the Company did not have any amounts recorded in accounts receivable under the Sanofi Agreement. The Company will recognize the deferred revenue related to the research and development services based on a cost input method, as described, over the remaining research term, which is a maximum of 2.3 years as of September 30, 2023.</w:t>
      </w:r>
    </w:p>
    <w:p>
      <w:pPr>
        <w:spacing w:after="0" w:line="7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Any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Vertex Agreement</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6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 future net sales on any products that may result from the Vertex Agreement. None of the payments under the Vertex Agreement are refundable. The Company may also perform follow-on research for an optioned target upon Vertex’s request and at Vertex’s expense.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term of the Vertex Agreement began on the Effective Date and expired upon the completion of the initial research term on May 9, 2023.</w:t>
      </w:r>
    </w:p>
    <w:p>
      <w:pPr>
        <w:spacing w:after="0" w:line="23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Vertex provided the Company with a non-refundable upfront payment of $50.0 million and purchased 3,059,695 shares of the Company’s Series B-1 Convertible Preferred Stock (the “Series B-1 Preferred Stock”) at $6.54 a share, pursuant to a separate, but simultaneously executed Share Purchase Agreement. The shares were purchased at a premium of $5.9 million, which was included in the transaction price and will be recognized as revenue over the period of performance. As a result of this purchase, Vertex was considered a related party. Vertex is no longer considered a related party.</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ind w:firstLine="509"/>
        <w:spacing w:after="0" w:line="263" w:lineRule="auto"/>
        <w:rPr>
          <w:sz w:val="20"/>
          <w:szCs w:val="20"/>
          <w:color w:val="auto"/>
        </w:rPr>
      </w:pPr>
      <w:r>
        <w:rPr>
          <w:rFonts w:ascii="Arial" w:cs="Arial" w:eastAsia="Arial" w:hAnsi="Arial"/>
          <w:sz w:val="18"/>
          <w:szCs w:val="18"/>
          <w:color w:val="auto"/>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p>
    <w:p>
      <w:pPr>
        <w:spacing w:after="0" w:line="184" w:lineRule="exact"/>
        <w:rPr>
          <w:sz w:val="20"/>
          <w:szCs w:val="20"/>
          <w:color w:val="auto"/>
        </w:rPr>
      </w:pPr>
    </w:p>
    <w:p>
      <w:pPr>
        <w:jc w:val="both"/>
        <w:ind w:firstLine="515"/>
        <w:spacing w:after="0" w:line="255" w:lineRule="auto"/>
        <w:rPr>
          <w:sz w:val="20"/>
          <w:szCs w:val="20"/>
          <w:color w:val="auto"/>
        </w:rPr>
      </w:pPr>
      <w:r>
        <w:rPr>
          <w:rFonts w:ascii="Arial" w:cs="Arial" w:eastAsia="Arial" w:hAnsi="Arial"/>
          <w:sz w:val="18"/>
          <w:szCs w:val="18"/>
          <w:color w:val="auto"/>
        </w:rPr>
        <w:t>At the commencement of the arrangement, two units of accounting were identified: the issuance of 3,059,695 shares of the Series B-1 Preferred Stock and the research activities the Company will perform over the Research Term. The Company determined the total transaction price to be $55.9 million, which consists of $5.9 million attributed to the premium from the shares of Series B-1 Preferred Stock sold to Vertex and the $50.0 million upfront payment. To determine the fair value of the Series B-1 Preferred Stock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92" w:lineRule="exact"/>
        <w:rPr>
          <w:sz w:val="20"/>
          <w:szCs w:val="20"/>
          <w:color w:val="auto"/>
        </w:rPr>
      </w:pPr>
    </w:p>
    <w:p>
      <w:pPr>
        <w:jc w:val="both"/>
        <w:ind w:firstLine="515"/>
        <w:spacing w:after="0" w:line="287" w:lineRule="auto"/>
        <w:rPr>
          <w:sz w:val="20"/>
          <w:szCs w:val="20"/>
          <w:color w:val="auto"/>
        </w:rPr>
      </w:pPr>
      <w:r>
        <w:rPr>
          <w:rFonts w:ascii="Arial" w:cs="Arial" w:eastAsia="Arial" w:hAnsi="Arial"/>
          <w:sz w:val="16"/>
          <w:szCs w:val="16"/>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No revenue was recognized during the three months ended September 30, 2023, under the Vertex Agreement. During the three months ended September 30, 2022, the Company recognized $2.5 million, and during the nine months ended September 30, 2023 and 2022, the Company recognized $8.4 million and $8.6 million, respectively, under the Vertex Agreement. All $8.4 million of revenue recognized in the nine months ended September 30, 2023 was recognized from amounts that were recorded in deferred revenue as of December 31, 2022. There were no unsatisfied performance obligations as of September 30, 2023. The aggregate amount of the transaction price allocated to the Company’s unsatisfied performance obligation and recorded in deferred revenue at September 30, 2023 and December 31, 2022 is $0 and $8.4 million, respectively.</w:t>
      </w:r>
    </w:p>
    <w:p>
      <w:pPr>
        <w:spacing w:after="0" w:line="17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 presents the changes in accounts receivable, contract assets and contract liabilities for the nine months ended September 30, 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Balance at</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Additions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2"/>
                <w:szCs w:val="12"/>
                <w:color w:val="auto"/>
              </w:rPr>
            </w:pPr>
          </w:p>
        </w:tc>
        <w:tc>
          <w:tcPr>
            <w:tcW w:w="12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and contract assets:</w:t>
            </w:r>
          </w:p>
        </w:tc>
        <w:tc>
          <w:tcPr>
            <w:tcW w:w="1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Billed receivables - Sanofi</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9,979</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(9,979 )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Unbilled receivables - Sanofi</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11,220</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(9,979 )</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8"/>
                <w:szCs w:val="18"/>
                <w:color w:val="auto"/>
              </w:rPr>
              <w:t>Total accounts receivable and contract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2,537</w:t>
            </w:r>
          </w:p>
        </w:tc>
        <w:tc>
          <w:tcPr>
            <w:tcW w:w="4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21,199</w:t>
            </w:r>
          </w:p>
        </w:tc>
        <w:tc>
          <w:tcPr>
            <w:tcW w:w="4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(19,958 )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Deferred revenue - Vertex</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8,399</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(8,399 )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Sanofi</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54,861</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11,220</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(22,308 )</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Total contract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63,260</w:t>
            </w:r>
          </w:p>
        </w:tc>
        <w:tc>
          <w:tcPr>
            <w:tcW w:w="4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11,220</w:t>
            </w:r>
          </w:p>
        </w:tc>
        <w:tc>
          <w:tcPr>
            <w:tcW w:w="4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(30,707 )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43,773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-1490980</wp:posOffset>
            </wp:positionV>
            <wp:extent cx="7747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-1490980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-1490980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-839470</wp:posOffset>
            </wp:positionV>
            <wp:extent cx="7747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-839470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-839470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as of September 30, 2023 and December 31, 2022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Lab and office equipment under finance right-of-use asset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80" w:type="dxa"/>
            <w:vAlign w:val="bottom"/>
            <w:shd w:val="clear" w:color="auto" w:fill="CFF0FC"/>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Lab equipment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4,383</w:t>
            </w:r>
          </w:p>
        </w:tc>
        <w:tc>
          <w:tcPr>
            <w:tcW w:w="8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Furniture &amp; fixtures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8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Assets not yet in service</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20,227</w:t>
            </w:r>
          </w:p>
        </w:tc>
        <w:tc>
          <w:tcPr>
            <w:tcW w:w="8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(9,549 )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(6,893 )</w:t>
            </w: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36,145</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Depreciation expense for the three months ended September 30, 2023 and 2022 was $0.9 million and $0.8 million, respectively. Depreciation expense for the nine months ended September 30, 2023 and 2022 was $2.7 million and $2.2 million, respectively.</w:t>
      </w:r>
    </w:p>
    <w:p>
      <w:pPr>
        <w:spacing w:after="0" w:line="170" w:lineRule="exact"/>
        <w:rPr>
          <w:sz w:val="20"/>
          <w:szCs w:val="20"/>
          <w:color w:val="auto"/>
        </w:rPr>
      </w:pPr>
    </w:p>
    <w:p>
      <w:pPr>
        <w:ind w:right="320" w:firstLine="450"/>
        <w:spacing w:after="0" w:line="342" w:lineRule="auto"/>
        <w:rPr>
          <w:sz w:val="20"/>
          <w:szCs w:val="20"/>
          <w:color w:val="auto"/>
        </w:rPr>
      </w:pPr>
      <w:r>
        <w:rPr>
          <w:rFonts w:ascii="Arial" w:cs="Arial" w:eastAsia="Arial" w:hAnsi="Arial"/>
          <w:sz w:val="16"/>
          <w:szCs w:val="16"/>
          <w:color w:val="auto"/>
        </w:rPr>
        <w:t>Included in property and equipment is lab and office equipment right-of-use assets under finance leases with a cost basis of $5.4 million and $5.5 million and accumulated amortization expense of $3.7 million and $2.7 million as of September 30, 2023 and December 31, 2022, respectively.</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Amortization expense related to right-of-use assets during the three months ended September 30, 2023 and 2022 was $0.4 million and $0.3 million, respectively. Amortization expense related to right-of-use assets during the nine months ended September 30, 2023 and 2022 was $1.1 million and $0.9 million, respectively.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October 2019, the Company entered into a noncancelable facility lease agreement (the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September 30, 2023 and December 31, 2022. The letter of credit totaled $1.3 million and $1.6 million as of September 30, 2023 and December 31, 2022,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firstLine="509"/>
        <w:spacing w:after="0" w:line="253" w:lineRule="auto"/>
        <w:rPr>
          <w:sz w:val="20"/>
          <w:szCs w:val="20"/>
          <w:color w:val="auto"/>
        </w:rPr>
      </w:pPr>
      <w:r>
        <w:rPr>
          <w:rFonts w:ascii="Arial" w:cs="Arial" w:eastAsia="Arial" w:hAnsi="Arial"/>
          <w:sz w:val="18"/>
          <w:szCs w:val="18"/>
          <w:color w:val="auto"/>
        </w:rPr>
        <w:t>In December 2021, the Company entered into a noncancelable lease (the “2021 Lease”) for 100,624 square feet of office and laboratory space in Watertown, Massachusetts, which the Company expects to begin occupying in December 2023.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September 30, 2023 and December 31, 2022. The Company also paid first month’s rent of $0.8 million upon execution of the 2021 Lease in December 2021 which is classified as other current assets and other non-current assets as of September 30, 2023 and December 31, 2022, respectively.</w:t>
      </w:r>
    </w:p>
    <w:p>
      <w:pPr>
        <w:spacing w:after="0" w:line="19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64"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Company concluded the improvements paid for by the landlord in connection with the tenant improvement allowance represent lessee assets and therefore recorded $12.9 million of leasehold improvements in property and equipment. The Company recorded an additional $8.5 million of leasehold improvements in excess of the tenant improvement allowance, all of which were not placed in service as of September 30, 2023.</w:t>
      </w:r>
    </w:p>
    <w:p>
      <w:pPr>
        <w:spacing w:after="0" w:line="3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components of the lease costs for the three and nine months ended September 30, 2023 and 2022, were as follows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32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43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2,521</w:t>
            </w:r>
          </w:p>
        </w:tc>
        <w:tc>
          <w:tcPr>
            <w:tcW w:w="2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7,562</w:t>
            </w: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FF0FC"/>
          </w:tcPr>
          <w:p>
            <w:pPr>
              <w:spacing w:after="0"/>
              <w:rPr>
                <w:sz w:val="20"/>
                <w:szCs w:val="20"/>
                <w:color w:val="auto"/>
              </w:rPr>
            </w:pP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Finance lease costs: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right-to-use assets, finance leases</w:t>
            </w: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21"/>
                <w:szCs w:val="2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8"/>
                <w:szCs w:val="18"/>
                <w:color w:val="auto"/>
              </w:rPr>
              <w:t>Interest expense for finance lease liabilities</w:t>
            </w: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r>
      <w:tr>
        <w:trPr>
          <w:trHeight w:val="243"/>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Variable lease costs</w:t>
            </w:r>
          </w:p>
        </w:tc>
        <w:tc>
          <w:tcPr>
            <w:tcW w:w="8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Total lease costs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3,200</w:t>
            </w:r>
          </w:p>
        </w:tc>
        <w:tc>
          <w:tcPr>
            <w:tcW w:w="10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1,157</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9,515</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5969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03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Supplemental cash flow information relating to the Company’s leases for the nine months ended September 30, 2023 and 2022, were as follows (in thousands):</w:t>
      </w:r>
    </w:p>
    <w:p>
      <w:pPr>
        <w:spacing w:after="0" w:line="202"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w w:val="90"/>
              </w:rPr>
              <w:t>Cash paid for amounts included in the measurement</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44"/>
        </w:trPr>
        <w:tc>
          <w:tcPr>
            <w:tcW w:w="1700" w:type="dxa"/>
            <w:vAlign w:val="bottom"/>
          </w:tcPr>
          <w:p>
            <w:pPr>
              <w:spacing w:after="0"/>
              <w:rPr>
                <w:sz w:val="21"/>
                <w:szCs w:val="21"/>
                <w:color w:val="auto"/>
              </w:rPr>
            </w:pPr>
          </w:p>
        </w:tc>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lease liabilities:</w:t>
            </w: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w w:val="97"/>
              </w:rPr>
              <w:t>Operating cash flows used in operating leases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1,989</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cash flows used in finance leases</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1700" w:type="dxa"/>
            <w:vAlign w:val="bottom"/>
          </w:tcPr>
          <w:p>
            <w:pPr>
              <w:spacing w:after="0"/>
              <w:rPr>
                <w:sz w:val="20"/>
                <w:szCs w:val="20"/>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Financing cash flows used in finance leases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782"/>
        </w:trPr>
        <w:tc>
          <w:tcPr>
            <w:tcW w:w="1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jc w:val="right"/>
              <w:ind w:right="710"/>
              <w:spacing w:after="0"/>
              <w:rPr>
                <w:sz w:val="20"/>
                <w:szCs w:val="20"/>
                <w:color w:val="auto"/>
              </w:rPr>
            </w:pPr>
            <w:r>
              <w:rPr>
                <w:rFonts w:ascii="Arial" w:cs="Arial" w:eastAsia="Arial" w:hAnsi="Arial"/>
                <w:sz w:val="18"/>
                <w:szCs w:val="18"/>
                <w:color w:val="auto"/>
                <w:w w:val="99"/>
              </w:rPr>
              <w:t>15</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Weighted average remaining lease terms and discount rates as of September 30, 2023 and 2022 were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4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76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Remaining lease term:</w:t>
            </w: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2140" w:type="dxa"/>
            <w:vAlign w:val="bottom"/>
            <w:gridSpan w:val="3"/>
          </w:tcPr>
          <w:p>
            <w:pPr>
              <w:jc w:val="right"/>
              <w:ind w:right="800"/>
              <w:spacing w:after="0"/>
              <w:rPr>
                <w:sz w:val="20"/>
                <w:szCs w:val="20"/>
                <w:color w:val="auto"/>
              </w:rPr>
            </w:pPr>
            <w:r>
              <w:rPr>
                <w:rFonts w:ascii="Arial" w:cs="Arial" w:eastAsia="Arial" w:hAnsi="Arial"/>
                <w:sz w:val="18"/>
                <w:szCs w:val="18"/>
                <w:color w:val="auto"/>
              </w:rPr>
              <w:t>10.45 years</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5"/>
              </w:rPr>
              <w:t>7.59 years</w:t>
            </w:r>
          </w:p>
        </w:tc>
        <w:tc>
          <w:tcPr>
            <w:tcW w:w="80" w:type="dxa"/>
            <w:vAlign w:val="bottom"/>
          </w:tcPr>
          <w:p>
            <w:pPr>
              <w:spacing w:after="0"/>
              <w:rPr>
                <w:sz w:val="20"/>
                <w:szCs w:val="20"/>
                <w:color w:val="auto"/>
              </w:rPr>
            </w:pPr>
          </w:p>
        </w:tc>
      </w:tr>
      <w:tr>
        <w:trPr>
          <w:trHeight w:val="256"/>
        </w:trPr>
        <w:tc>
          <w:tcPr>
            <w:tcW w:w="4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Finance lease</w:t>
            </w:r>
          </w:p>
        </w:tc>
        <w:tc>
          <w:tcPr>
            <w:tcW w:w="214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2.13 years</w:t>
            </w:r>
          </w:p>
        </w:tc>
        <w:tc>
          <w:tcPr>
            <w:tcW w:w="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5"/>
              </w:rPr>
              <w:t>1.81 years</w:t>
            </w:r>
          </w:p>
        </w:tc>
        <w:tc>
          <w:tcPr>
            <w:tcW w:w="80" w:type="dxa"/>
            <w:vAlign w:val="bottom"/>
          </w:tcPr>
          <w:p>
            <w:pPr>
              <w:spacing w:after="0"/>
              <w:rPr>
                <w:sz w:val="22"/>
                <w:szCs w:val="22"/>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Discount Rate:</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476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8.78 %</w:t>
            </w:r>
          </w:p>
        </w:tc>
        <w:tc>
          <w:tcPr>
            <w:tcW w:w="5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10.50 %</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Finance lease</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8.48 %</w:t>
            </w:r>
          </w:p>
        </w:tc>
        <w:tc>
          <w:tcPr>
            <w:tcW w:w="5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undiscounted future lease payments for operating and finance leases as of September 30, 2023, were as follows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Finance</w:t>
            </w:r>
          </w:p>
        </w:tc>
      </w:tr>
      <w:tr>
        <w:trPr>
          <w:trHeight w:val="178"/>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Fiscal Year</w:t>
            </w:r>
          </w:p>
        </w:tc>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100" w:type="dxa"/>
            <w:vAlign w:val="bottom"/>
            <w:gridSpan w:val="2"/>
          </w:tcPr>
          <w:p>
            <w:pPr>
              <w:spacing w:after="0"/>
              <w:rPr>
                <w:sz w:val="15"/>
                <w:szCs w:val="15"/>
                <w:color w:val="auto"/>
              </w:rPr>
            </w:pPr>
          </w:p>
        </w:tc>
      </w:tr>
      <w:tr>
        <w:trPr>
          <w:trHeight w:val="243"/>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2023 (fourth quarter)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2024</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11,496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2026</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12,506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85,143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3"/>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127,883</w:t>
            </w: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Less amounts representing interest or imputed interest</w:t>
            </w:r>
          </w:p>
        </w:tc>
        <w:tc>
          <w:tcPr>
            <w:tcW w:w="24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(48,693 )</w:t>
            </w: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(149 )</w:t>
            </w:r>
          </w:p>
        </w:tc>
        <w:tc>
          <w:tcPr>
            <w:tcW w:w="20" w:type="dxa"/>
            <w:vAlign w:val="bottom"/>
          </w:tcPr>
          <w:p>
            <w:pPr>
              <w:spacing w:after="0"/>
              <w:rPr>
                <w:sz w:val="20"/>
                <w:szCs w:val="20"/>
                <w:color w:val="auto"/>
              </w:rPr>
            </w:pPr>
          </w:p>
        </w:tc>
      </w:tr>
      <w:tr>
        <w:trPr>
          <w:trHeight w:val="243"/>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79,190</w:t>
            </w: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bl>
    <w:p>
      <w:pPr>
        <w:spacing w:after="0" w:line="20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undiscounted future lease payments in 2023 includes approximately $7.0 million of future reimbursements related to landlord funded tenant improvements in connection with the 2021 Lease.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consisted of the following as of September 30, 2023 and December 31, 2022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95"/>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16,975</w:t>
            </w:r>
          </w:p>
        </w:tc>
        <w:tc>
          <w:tcPr>
            <w:tcW w:w="80" w:type="dxa"/>
            <w:vAlign w:val="bottom"/>
            <w:shd w:val="clear" w:color="auto" w:fill="CFF0FC"/>
          </w:tcPr>
          <w:p>
            <w:pPr>
              <w:spacing w:after="0"/>
              <w:rPr>
                <w:sz w:val="20"/>
                <w:szCs w:val="20"/>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Payroll and payroll-related</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8,057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8,149</w:t>
            </w:r>
          </w:p>
        </w:tc>
        <w:tc>
          <w:tcPr>
            <w:tcW w:w="80" w:type="dxa"/>
            <w:vAlign w:val="bottom"/>
          </w:tcPr>
          <w:p>
            <w:pPr>
              <w:spacing w:after="0"/>
              <w:rPr>
                <w:sz w:val="20"/>
                <w:szCs w:val="20"/>
                <w:color w:val="auto"/>
              </w:rPr>
            </w:pPr>
          </w:p>
        </w:tc>
      </w:tr>
      <w:tr>
        <w:trPr>
          <w:trHeight w:val="24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FF0FC"/>
          </w:tcPr>
          <w:p>
            <w:pPr>
              <w:spacing w:after="0"/>
              <w:rPr>
                <w:sz w:val="21"/>
                <w:szCs w:val="2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20"/>
                <w:szCs w:val="20"/>
                <w:color w:val="auto"/>
              </w:rPr>
            </w:pPr>
          </w:p>
        </w:tc>
      </w:tr>
      <w:tr>
        <w:trPr>
          <w:trHeight w:val="237"/>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26,383</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-7620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Other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 Arrangements</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September 30, 2023 or December 31, 2022.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2018 Stock Option and Grant Plan</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As of September 30, 2023, there were an aggregate of 3,776,080 shares remaining available for future grants.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September 30, 2023, there were an aggregate 1,607,727 shares remaining available for future grants.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 summary of stock option activity under the 2020 Plan during the nine months ended September 30, 2023 is as follows (in thousands except share and per share data):</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Strike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3"/>
              </w:rPr>
              <w:t>Price per</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6,757,289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55,934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2,525,540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30.41</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(335,065 )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(697,825 )</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40.11</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8,249,939</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15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42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21,333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Exercisable at September 30, 2023</w:t>
            </w:r>
          </w:p>
        </w:tc>
        <w:tc>
          <w:tcPr>
            <w:tcW w:w="1300" w:type="dxa"/>
            <w:vAlign w:val="bottom"/>
          </w:tcPr>
          <w:p>
            <w:pPr>
              <w:jc w:val="right"/>
              <w:spacing w:after="0"/>
              <w:rPr>
                <w:sz w:val="20"/>
                <w:szCs w:val="20"/>
                <w:color w:val="auto"/>
              </w:rPr>
            </w:pPr>
            <w:r>
              <w:rPr>
                <w:rFonts w:ascii="Arial" w:cs="Arial" w:eastAsia="Arial" w:hAnsi="Arial"/>
                <w:sz w:val="18"/>
                <w:szCs w:val="18"/>
                <w:color w:val="auto"/>
              </w:rPr>
              <w:t>4,574,209</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-796925</wp:posOffset>
            </wp:positionV>
            <wp:extent cx="685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-796925</wp:posOffset>
            </wp:positionV>
            <wp:extent cx="6858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-329565</wp:posOffset>
            </wp:positionV>
            <wp:extent cx="2872105" cy="3384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72105" cy="338455"/>
                    </a:xfrm>
                    <a:prstGeom prst="rect">
                      <a:avLst/>
                    </a:prstGeom>
                    <a:noFill/>
                  </pic:spPr>
                </pic:pic>
              </a:graphicData>
            </a:graphic>
          </wp:anchor>
        </w:drawing>
      </w:r>
    </w:p>
    <w:p>
      <w:pPr>
        <w:spacing w:after="0" w:line="2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intrinsic value of stock options exercised during the three months ended September 30, 2023 and 2022 was $1.1 million and $2.8 million, respectively. The intrinsic value of stock options exercised during the nine months ended September 30, 2023 and 2022 was $7.9 million and $11.5 million, respectively.</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weighted-average fair value of options granted during the three months ended September 30, 2023 and 2022 was $13.35 and $14.18, respectively. The weighted-average fair value of options granted during the nine months ended September 30, 2023 and 2022 was $18.19 and $20.62, respectively.</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September 30, 2023, the total unrecognized stock-based compensation expense for unvested stock options was $64.9 million, with a weighted average recognition period of 2.2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outlines our equity-based compensation expense for stock options for the three and nine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3"/>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7"/>
              </w:rPr>
              <w:t>14,091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12,383</w:t>
            </w:r>
          </w:p>
        </w:tc>
        <w:tc>
          <w:tcPr>
            <w:tcW w:w="100" w:type="dxa"/>
            <w:vAlign w:val="bottom"/>
            <w:shd w:val="clear" w:color="auto" w:fill="CFF0FC"/>
          </w:tcPr>
          <w:p>
            <w:pPr>
              <w:spacing w:after="0"/>
              <w:rPr>
                <w:sz w:val="20"/>
                <w:szCs w:val="20"/>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7"/>
              </w:rPr>
              <w:t>14,899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100" w:type="dxa"/>
            <w:vAlign w:val="bottom"/>
          </w:tcPr>
          <w:p>
            <w:pPr>
              <w:spacing w:after="0"/>
              <w:rPr>
                <w:sz w:val="20"/>
                <w:szCs w:val="20"/>
                <w:color w:val="auto"/>
              </w:rPr>
            </w:pPr>
          </w:p>
        </w:tc>
      </w:tr>
      <w:tr>
        <w:trPr>
          <w:trHeight w:val="236"/>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equity-based compensation</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10,371</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7"/>
              </w:rPr>
              <w:t>28,990</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weighted-average assumptions that the Company used in the Black-Scholes option pricing model to determine the grant date fair value of stock options granted to employees and non-employees for the three and nine months ended September 30, 2023 and 2022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2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62 %</w:t>
            </w:r>
          </w:p>
        </w:tc>
        <w:tc>
          <w:tcPr>
            <w:tcW w:w="10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63 %</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62 %</w:t>
            </w:r>
          </w:p>
        </w:tc>
        <w:tc>
          <w:tcPr>
            <w:tcW w:w="440" w:type="dxa"/>
            <w:vAlign w:val="bottom"/>
          </w:tcPr>
          <w:p>
            <w:pPr>
              <w:spacing w:after="0"/>
              <w:rPr>
                <w:sz w:val="20"/>
                <w:szCs w:val="20"/>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62 %</w:t>
            </w:r>
          </w:p>
        </w:tc>
      </w:tr>
      <w:tr>
        <w:trPr>
          <w:trHeight w:val="242"/>
        </w:trPr>
        <w:tc>
          <w:tcPr>
            <w:tcW w:w="58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4.14 %</w:t>
            </w:r>
          </w:p>
        </w:tc>
        <w:tc>
          <w:tcPr>
            <w:tcW w:w="100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3.01 %</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4.06 %</w:t>
            </w:r>
          </w:p>
        </w:tc>
        <w:tc>
          <w:tcPr>
            <w:tcW w:w="440" w:type="dxa"/>
            <w:vAlign w:val="bottom"/>
          </w:tcPr>
          <w:p>
            <w:pPr>
              <w:spacing w:after="0"/>
              <w:rPr>
                <w:sz w:val="21"/>
                <w:szCs w:val="21"/>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1.95 %</w:t>
            </w:r>
          </w:p>
        </w:tc>
      </w:tr>
      <w:tr>
        <w:trPr>
          <w:trHeight w:val="243"/>
        </w:trPr>
        <w:tc>
          <w:tcPr>
            <w:tcW w:w="58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0.00 %</w:t>
            </w:r>
          </w:p>
        </w:tc>
        <w:tc>
          <w:tcPr>
            <w:tcW w:w="100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0.00 %</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0.00 %</w:t>
            </w:r>
          </w:p>
        </w:tc>
        <w:tc>
          <w:tcPr>
            <w:tcW w:w="440" w:type="dxa"/>
            <w:vAlign w:val="bottom"/>
          </w:tcPr>
          <w:p>
            <w:pPr>
              <w:spacing w:after="0"/>
              <w:rPr>
                <w:sz w:val="21"/>
                <w:szCs w:val="21"/>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0.00 %</w:t>
            </w:r>
          </w:p>
        </w:tc>
      </w:tr>
      <w:tr>
        <w:trPr>
          <w:trHeight w:val="661"/>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-796290</wp:posOffset>
            </wp:positionV>
            <wp:extent cx="641223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has granted shares of restricted stock units with service-based and performance-based vesting conditions. A summary of restricted stock activity during the nine months ended September 30, 2023 is as follows: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4"/>
                <w:szCs w:val="14"/>
                <w:color w:val="auto"/>
              </w:rPr>
            </w:pPr>
          </w:p>
        </w:tc>
      </w:tr>
      <w:tr>
        <w:trPr>
          <w:trHeight w:val="148"/>
        </w:trPr>
        <w:tc>
          <w:tcPr>
            <w:tcW w:w="536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Units</w:t>
            </w:r>
          </w:p>
        </w:tc>
        <w:tc>
          <w:tcPr>
            <w:tcW w:w="140" w:type="dxa"/>
            <w:vAlign w:val="bottom"/>
          </w:tcPr>
          <w:p>
            <w:pPr>
              <w:spacing w:after="0"/>
              <w:rPr>
                <w:sz w:val="12"/>
                <w:szCs w:val="12"/>
                <w:color w:val="auto"/>
              </w:rPr>
            </w:pPr>
          </w:p>
        </w:tc>
        <w:tc>
          <w:tcPr>
            <w:tcW w:w="9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r>
      <w:tr>
        <w:trPr>
          <w:trHeight w:val="185"/>
        </w:trPr>
        <w:tc>
          <w:tcPr>
            <w:tcW w:w="536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6"/>
                <w:szCs w:val="16"/>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Pr>
          <w:p>
            <w:pPr>
              <w:spacing w:after="0"/>
              <w:rPr>
                <w:sz w:val="16"/>
                <w:szCs w:val="16"/>
                <w:color w:val="auto"/>
              </w:rPr>
            </w:pPr>
          </w:p>
        </w:tc>
      </w:tr>
      <w:tr>
        <w:trPr>
          <w:trHeight w:val="23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281,843</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393,556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(36,371 )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(51,361 )</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587,667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-642620</wp:posOffset>
            </wp:positionV>
            <wp:extent cx="5143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-642620</wp:posOffset>
            </wp:positionV>
            <wp:extent cx="431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nine months ended September 30, 2023 and 2022, the Company granted 393,556 and 283,328 restricted stock units, respectively. As of September 30, 2023, the total unrecognized stock-based compensation expense for unvested restricted stock was $12.3 million with a weighted average recognition period of 2.6 years.</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During the three months ended September 30, 2023 the Company recognized approximately $1.1 million of expense for restricted stock of which $0.7 million and $0.4 million was recorded in research and development and general and administrative expense, respectively. During the nine months ended September 30, 2023 the Company recognized approximately $2.6 million of expense for restricted stock of which $1.7 million and $0.9 million was recorded in research and development and general and administrative expense, respectively. During the three months ended September 30, 2022 the Company recognized approximately $0.5 million of expense for restricted stock of which $0.4 million and $0.1 million was recorded in research and development and general and administrative expense, respectively. During the nine months ended September 30, 2022 the Company recognized approximately $0.9 million for restricted stock of which $0.7 million and $0.2 million was recorded in research and development and general and administrative expense, respectively.</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Total equity-based compensation expense recorded as research and development and general and administrative expenses for employees, directors, and non-employees during the three and nine months ended September 30, 2023 and 2022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5,795</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7"/>
              </w:rPr>
              <w:t>16,227</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7"/>
              </w:rPr>
              <w:t>15,993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equity-based compensation</w:t>
            </w:r>
          </w:p>
        </w:tc>
        <w:tc>
          <w:tcPr>
            <w:tcW w:w="14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11,655</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9,076</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7"/>
              </w:rPr>
              <w:t>32,220</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26,571</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891"/>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-659130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-659130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-659130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11. Related-Party Transactions</w:t>
      </w:r>
    </w:p>
    <w:p>
      <w:pPr>
        <w:spacing w:after="0" w:line="12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Other than the collaborations discussed in Note 5, the Company had no related party transactions for the periods presented in the accompanying condensed consolidated financial statements, which have not otherwise been discussed in these notes to the condensed consolidated financial statements.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Income taxes for the three and nine months ended September 30, 2023 and 2022 have been calculated based on an estimated annual effective tax rate and certain discrete items. The company recorded income tax expense related to investment income of $0.1 million and $0.2 million for the three and nine months ended September 30, 2023, respectively. For the three and nine months ended September 30, 2022, no income tax was recorded.</w:t>
      </w:r>
    </w:p>
    <w:p>
      <w:pPr>
        <w:spacing w:after="0" w:line="14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274" w:lineRule="exact"/>
        <w:rPr>
          <w:sz w:val="20"/>
          <w:szCs w:val="20"/>
          <w:color w:val="auto"/>
        </w:rPr>
      </w:pPr>
    </w:p>
    <w:p>
      <w:pPr>
        <w:ind w:left="520" w:right="9300" w:hanging="512"/>
        <w:spacing w:after="0" w:line="453" w:lineRule="auto"/>
        <w:tabs>
          <w:tab w:leader="none" w:pos="281"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Net Loss per Share </w:t>
      </w:r>
      <w:r>
        <w:rPr>
          <w:rFonts w:ascii="Arial" w:cs="Arial" w:eastAsia="Arial" w:hAnsi="Arial"/>
          <w:sz w:val="15"/>
          <w:szCs w:val="15"/>
          <w:b w:val="1"/>
          <w:bCs w:val="1"/>
          <w:i w:val="1"/>
          <w:iCs w:val="1"/>
          <w:color w:val="auto"/>
        </w:rPr>
        <w:t>Net Loss per Share</w:t>
      </w:r>
    </w:p>
    <w:p>
      <w:pPr>
        <w:spacing w:after="0" w:line="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Basic and diluted loss per share is computed by dividing net loss by the weighted-average common shares outstanding for the period, including the pre-funded warrants given their nominal exercise price (in thousands, except for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8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(52,867 )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(43,002 )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(132,594 )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(119,943 )</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58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58,421,859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54,535,514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58,312,813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52,600,103</w:t>
            </w:r>
          </w:p>
        </w:tc>
        <w:tc>
          <w:tcPr>
            <w:tcW w:w="100" w:type="dxa"/>
            <w:vAlign w:val="bottom"/>
          </w:tcPr>
          <w:p>
            <w:pPr>
              <w:spacing w:after="0"/>
              <w:rPr>
                <w:sz w:val="20"/>
                <w:szCs w:val="20"/>
                <w:color w:val="auto"/>
              </w:rPr>
            </w:pPr>
          </w:p>
        </w:tc>
      </w:tr>
      <w:tr>
        <w:trPr>
          <w:trHeight w:val="26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(2.27 )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(2.28 )</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September 30, 2023 and 2022 because including them would have had an anti-dilutive effect:</w:t>
      </w:r>
    </w:p>
    <w:p>
      <w:pPr>
        <w:spacing w:after="0" w:line="220"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112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587,667</w:t>
            </w:r>
          </w:p>
        </w:tc>
        <w:tc>
          <w:tcPr>
            <w:tcW w:w="18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274,291</w:t>
            </w:r>
          </w:p>
        </w:tc>
        <w:tc>
          <w:tcPr>
            <w:tcW w:w="80" w:type="dxa"/>
            <w:vAlign w:val="bottom"/>
            <w:shd w:val="clear" w:color="auto" w:fill="CFF0FC"/>
          </w:tcPr>
          <w:p>
            <w:pPr>
              <w:spacing w:after="0"/>
              <w:rPr>
                <w:sz w:val="20"/>
                <w:szCs w:val="20"/>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8,249,939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7,017,631</w:t>
            </w:r>
          </w:p>
        </w:tc>
        <w:tc>
          <w:tcPr>
            <w:tcW w:w="80" w:type="dxa"/>
            <w:vAlign w:val="bottom"/>
          </w:tcPr>
          <w:p>
            <w:pPr>
              <w:spacing w:after="0"/>
              <w:rPr>
                <w:sz w:val="20"/>
                <w:szCs w:val="20"/>
                <w:color w:val="auto"/>
              </w:rPr>
            </w:pPr>
          </w:p>
        </w:tc>
      </w:tr>
      <w:tr>
        <w:trPr>
          <w:trHeight w:val="237"/>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8,837,606</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7,291,922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October of 2023, the Company's collaboration partner, Sanofi, dosed the first patient in the first randomized Phase 2 clinical trial evaluating KT-</w:t>
      </w:r>
    </w:p>
    <w:p>
      <w:pPr>
        <w:spacing w:after="0" w:line="46" w:lineRule="exact"/>
        <w:rPr>
          <w:sz w:val="20"/>
          <w:szCs w:val="20"/>
          <w:color w:val="auto"/>
        </w:rPr>
      </w:pPr>
    </w:p>
    <w:p>
      <w:pPr>
        <w:jc w:val="both"/>
        <w:ind w:firstLine="8"/>
        <w:spacing w:after="0" w:line="255" w:lineRule="auto"/>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Sanofi is conducting the Phase 2 study in HS, and has initiated a second randomized Phase 2 trial in AD. Under the terms of the collaboration, dosing of the first patient in the first Phase 2 clinical trial generated a $40 million milestone. Dosing of the first patient in the AD trial will also generate an additional milestone payment to the Company upon occurrence.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are a biopharmaceutical company focused on discovering and developing novel small molecule therapeutics that selectively degrade disease-causing proteins by harnessing the body’s own natural protein degradation system. Our proprietary targeted protein degradation, or TPD, platform, which we refer to as Pegasus™, allows us to discover highly selective small molecule protein degraders with activity against disease-causing proteins throughout the body. We believe that our small molecule protein degraders have unique advantages over existing therapies and allow us to address a large portion of the human genome that was previously intractable with traditional modalities. We focus on biological pathways that have been clinically validated but where key biological nodes/proteins have not been drugged or are inadequately drugged. To date, we have utilized our Pegasus™ platform to design novel protein degraders focused in the areas of immunology-inflammation and oncology, and we continue to apply our platform’s capabilities to additional therapeutic areas. We have a mission to drug all target classes in human cells using TPD. Our current clinical stage programs are IRAK4, STAT3, and MDM2, which each address high impact targets within biologically-proven pathways, providing the opportunity to treat a broad range of immune-inflammatory diseases, hematologic malignancies, and solid tumors. Our programs exemplify our focus on addressing high impact targets that have been elusive to conventional modalities and that drive the pathogenesis of multiple serious diseases with significant unmet medical needs. We have completed our Phase 1 trial of KT-474, which included cohorts of healthy volunteers, as well as patients with hidradenitis suppurativa (HS) and atopic dermatitis (AD). Phase 2 clinical trials of KT-474, conducted by our partner Sanofi, S.A, or Sanofi, are initially investigating its potential in HS and AD. The clinical trials for both indications have been initiated, and Sanofi recently dosed the first patient in the HS trial. With respect to our clinical oncology programs, we are evaluating KT-333, a STAT3 degrader, in a Phase 1 clinical trial in patients with relapsed/refractory liquid and solid tumors, including aggressive lymphomas. Patient enrollment and dosing are ongoing in the Phase 1a portion of the trial, and we expect to present additional clinical data in 2023. In September 2023, we announced that the U.S Food and Drug Administration, or FDA, granted KT-333 Fast Track Designation for the treatment of relapsed/refractory peripheral T cell lymphoma, and indication for which we have previously received Orphan Drug Designation for. Our Phase 1 clinical trial of KT-253, our MDM2 degrader, was initiated in March 2023. The study will evaluate the safety, tolerability, pharmacokinetics/pharmacodynamics, and clinical activity of ascending doses of KT-253 in adult patients with relapsed or refractory high grade myeloid malignancies, acute lymphocytic leukemia (ALL), lymphomas, and solid tumors. Patient enrollment and dosing are ongoing in the Phase 1a portion of the trial, and we provided initial safety, proof-of-mechanism and proof-of-concept data in November of 2023. We expect to share additional clinical data in 2024. In June 2023, KT-253 was granted orphan drug designation by the FDA for the treatment of acute myeloid leukemia. At the end of October 2023, we made the decision to discontinue the development of our KT-413 (IRAKIMiD) program, despite reaching expected degradation levels and a lack of dose-limiting toxicities, in order to focus resources to support our growing immunology pipeline.</w:t>
      </w:r>
    </w:p>
    <w:p>
      <w:pPr>
        <w:spacing w:after="0" w:line="28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$1.03 billion from sales of our convertible preferred stock, the sale of common stock including our August 2020 IPO, and concurrent private placement, our July 2021 follow-on offering and concurrent private placement, our August 2022 PIPE offering, and through our corporate collaborations.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509"/>
        <w:spacing w:after="0" w:line="254" w:lineRule="auto"/>
        <w:rPr>
          <w:sz w:val="20"/>
          <w:szCs w:val="20"/>
          <w:color w:val="auto"/>
        </w:rPr>
      </w:pPr>
      <w:r>
        <w:rPr>
          <w:rFonts w:ascii="Arial" w:cs="Arial" w:eastAsia="Arial" w:hAnsi="Arial"/>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$154.8 million and $100.2 million for the years ended December 31, 2022 and 2021, respectively. We reported net losses of $52.9 million and $43.0 million for the three months ended September 30, 2023 and 2022, respectively and $132.6 million and $119.9 million for the nine months ended September 30, 2023 and 2022, respectively. In addition, as of September 30, 2023 and December 31, 2022 we had an accumulated deficit of $516.4 million and $383.8 million, respectively. We expect that our expense and capital requirements will increase substantially in connection with our ongoing activities, particularly if and as we:</w:t>
      </w:r>
    </w:p>
    <w:p>
      <w:pPr>
        <w:spacing w:after="0" w:line="87"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complete clinical trials for current or future product candidates;</w:t>
      </w:r>
    </w:p>
    <w:p>
      <w:pPr>
        <w:spacing w:after="0" w:line="117"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and submit Investigational New Drug applications, or INDs, with the U.S. Food and Drug Administration, or FDA, for current and future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continue research and development activities to support our pre-clinical product candidate pipeline;</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 our drug products, drug substances, delivery vehicles, and product candidates for use in preclinical studies, clinical trials and on a larger scale for commercialization, if approved;</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and expand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to identify additional product candidates;</w:t>
      </w:r>
    </w:p>
    <w:p>
      <w:pPr>
        <w:spacing w:after="0" w:line="70"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additional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and ongoing development activity;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product candidates for clinical development and potential commercialization;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 and</w:t>
      </w:r>
    </w:p>
    <w:p>
      <w:pPr>
        <w:spacing w:after="0" w:line="140" w:lineRule="exact"/>
        <w:rPr>
          <w:rFonts w:ascii="Arial" w:cs="Arial" w:eastAsia="Arial" w:hAnsi="Arial"/>
          <w:sz w:val="16"/>
          <w:szCs w:val="16"/>
          <w:color w:val="auto"/>
        </w:rPr>
      </w:pPr>
    </w:p>
    <w:p>
      <w:pPr>
        <w:ind w:left="1020" w:right="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research and development programs, any future commercialization efforts and operating as a public company.</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6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As of September 30, 2023, we had cash, cash equivalents and marketable securities of $434.8 million. We believe the existing cash, cash equivalents and marketable securities on hand, will enable us to fund our operating expenses and capital expenditure requirements into the first half of 2026 which is expected to take us past the proof-of-concept Phase 2 data for KT-474, as well as additional proof-of-concept data for KT-333 and KT-253. We have based this estimate on assumptions that may prove to be wrong, and we could exhaust our available capital resources sooner than we expect. See “—Liquidity and capital resources.”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milestone payments or royalties under any of the collaboration agreements.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Vertex Collaboration Agreement</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Vertex Agreement expired upon the completion of the initial research term on May 9, 2023.</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Sanofi Agreement</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have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9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consideration for the exclusive licenses granted to Sanofi under the Sanofi Agreement, Sanofi paid an upfront payment of $150 million. In addition to the upfront payment, we are eligible to receive certain development milestone payments of up to $1.48 billion in the aggregate, of which more than $1.0 billion relates to the IRAK4 program, upon the achievement of certain developmental or regulatory events. We will be eligible to receive certain commercial milestone payments up to $700 million in the aggregate, of which $400 million relates to the IRAK4 program, which are payable upon the achievement of certain net sales thresholds. We will be eligible to receive tiered royalties for each program on net sales ranging from the high-single digits to high teens, subject to low-single digits upward adjustments in certain circumstances.</w:t>
      </w:r>
    </w:p>
    <w:p>
      <w:pPr>
        <w:spacing w:after="0" w:line="17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509"/>
        <w:spacing w:after="0" w:line="279" w:lineRule="auto"/>
        <w:rPr>
          <w:sz w:val="20"/>
          <w:szCs w:val="20"/>
          <w:color w:val="auto"/>
        </w:rPr>
      </w:pPr>
      <w:r>
        <w:rPr>
          <w:rFonts w:ascii="Arial" w:cs="Arial" w:eastAsia="Arial" w:hAnsi="Arial"/>
          <w:sz w:val="17"/>
          <w:szCs w:val="17"/>
          <w:color w:val="auto"/>
        </w:rPr>
        <w:t>Additionally with respect to Sanofi, on December 2, 2022, Sanofi provided the Company with written notice of its intention to advance the collaboration target 1 candidate, KT-474, into Phase 2 clinical trials. The Company is entitled to receive milestone payments upon the dosing of the first Phase 2 patient(s) per indication up to a specified number of indications as further set forth in the Amended Sanofi Agreement. Phase 2 clinical trials of KT-474 will initially investigate its potential in HS and AD with the clinical trial for the both indications having been initiated in 2023.</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2023, the Company and Sanofi mutually agreed to cease activities related to Collaboration Target 2.</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operating expenses since inception have consisted solely of research and development expenses and general and administrative expenses.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targeted protein degradation therapeutics, including those in our initial programs, IRAK4, STAT3 and MDM2. These research efforts and costs, which also support the development of, and enhancements to,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include external research costs, personnel costs, supplies, license fees and facility-related expenses. We expense research and development costs as incurred. These expenses include:</w:t>
      </w:r>
    </w:p>
    <w:p>
      <w:pPr>
        <w:spacing w:after="0" w:line="96" w:lineRule="exact"/>
        <w:rPr>
          <w:sz w:val="20"/>
          <w:szCs w:val="20"/>
          <w:color w:val="auto"/>
        </w:rPr>
      </w:pPr>
    </w:p>
    <w:p>
      <w:pPr>
        <w:ind w:left="1020" w:right="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organizations that support our platform program development;</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 manufacturing organizations, or CMOs, that are primarily engaged to provide drug substance and product for our preclinical research and development programs, nonclinical studies and other scientific development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acquiring and manufacturing nonclinical trial materials, including manufacturing registration and validation batches;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direct and allocated expenses for rent and maintenance of facilities and insurance;</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compliance with quality and regulatory requirements;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62"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progress of nonclinical and clinical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nonclinical and clinical programs we decide to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raise necessary additional funds;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current development program and to establish new ones;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drug substance and drug product for use in production of our product candidates;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obtain and maintain patents, trade secret protection and regulatory exclusivity, both in the United States and internationally;</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rights in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third-party insurance coverage and adequate reimbursement;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competition with other products;</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the COVID-19 pandemic or similar public health crisis;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firstLine="509"/>
        <w:spacing w:after="0" w:line="286"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and other income and expense,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and other income and expense consists of interest earned on our invested cash balances and interest expense related to our financing leases.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Comparison of three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Revenue—from related parties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(4,823 )</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54,433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(57,509 )</w:t>
            </w:r>
          </w:p>
        </w:tc>
        <w:tc>
          <w:tcPr>
            <w:tcW w:w="3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(44,882 )</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(12,627 )</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4,642</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(52,867 </w:t>
            </w:r>
            <w:r>
              <w:rPr>
                <w:rFonts w:ascii="Arial" w:cs="Arial" w:eastAsia="Arial" w:hAnsi="Arial"/>
                <w:sz w:val="18"/>
                <w:szCs w:val="18"/>
                <w:color w:val="auto"/>
                <w:highlight w:val="white"/>
              </w:rPr>
              <w:t>)</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(43,002 </w:t>
            </w:r>
            <w:r>
              <w:rPr>
                <w:rFonts w:ascii="Arial" w:cs="Arial" w:eastAsia="Arial" w:hAnsi="Arial"/>
                <w:sz w:val="18"/>
                <w:szCs w:val="18"/>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(9,865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recognize revenue under each of our collaboration agreements based on our pattern of performance related to the respective identified performance obligations, which is the period over which we will perform research services under each of the respective agreements.</w:t>
      </w:r>
    </w:p>
    <w:p>
      <w:pPr>
        <w:spacing w:after="0" w:line="3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Collaboration revenues were $4.7 million for the three months ended September 30, 2023, the entirety of which is attributable to our collaboration agreement with Sanofi. Collaboration revenues were $9.6 million for the three months ended September 30, 2022, of which $7.1 million and $2.5 million were attributable to our collaboration agreements with Sanofi and Vertex, respectively.</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each period presented (program expenses are not disclosed prior to formal development candidate nomination):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costs:</w:t>
            </w:r>
          </w:p>
        </w:tc>
        <w:tc>
          <w:tcPr>
            <w:tcW w:w="1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IRAK4</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3,170</w:t>
            </w:r>
          </w:p>
        </w:tc>
        <w:tc>
          <w:tcPr>
            <w:tcW w:w="5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5,470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(2,300 )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IRAKIMiD</w:t>
            </w:r>
          </w:p>
        </w:tc>
        <w:tc>
          <w:tcPr>
            <w:tcW w:w="1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STAT3</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MDM2</w:t>
            </w:r>
          </w:p>
        </w:tc>
        <w:tc>
          <w:tcPr>
            <w:tcW w:w="1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(1,624 )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14,688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Internal research and development costs</w:t>
            </w:r>
          </w:p>
        </w:tc>
        <w:tc>
          <w:tcPr>
            <w:tcW w:w="16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24,210</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48,117</w:t>
            </w:r>
          </w:p>
        </w:tc>
        <w:tc>
          <w:tcPr>
            <w:tcW w:w="5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43,877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4,240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vMerge w:val="restart"/>
          </w:tcPr>
          <w:p>
            <w:pPr>
              <w:jc w:val="right"/>
              <w:ind w:right="63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-685165</wp:posOffset>
            </wp:positionV>
            <wp:extent cx="6032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-685165</wp:posOffset>
            </wp:positionV>
            <wp:extent cx="5143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both"/>
        <w:ind w:firstLine="509"/>
        <w:spacing w:after="0" w:line="275" w:lineRule="auto"/>
        <w:rPr>
          <w:sz w:val="20"/>
          <w:szCs w:val="20"/>
          <w:color w:val="auto"/>
        </w:rPr>
      </w:pPr>
      <w:r>
        <w:rPr>
          <w:rFonts w:ascii="Arial" w:cs="Arial" w:eastAsia="Arial" w:hAnsi="Arial"/>
          <w:sz w:val="17"/>
          <w:szCs w:val="17"/>
          <w:color w:val="auto"/>
        </w:rPr>
        <w:t>Research and development expenses were $48.1 million for the three months ended September 30, 2023, compared to $43.9 million for the three months ended September 30, 2022. The increase of $4.2 million was primarily due to a $4.9 million increase in personnel, stock-based compensation, and occupancy related costs due to increases in employee headcount in the research and development functions and a $3.2 million increase related our investment in our other pipeline programs and platform. These increases were partially offset by a $2.3 million reduction in activities relating to our IRAK4 program, as well as a $1.6 million reduction in activities related to our MDM2 programs.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1011"/>
        <w:spacing w:after="0" w:line="279" w:lineRule="auto"/>
        <w:rPr>
          <w:sz w:val="20"/>
          <w:szCs w:val="20"/>
          <w:color w:val="auto"/>
        </w:rPr>
      </w:pPr>
      <w:r>
        <w:rPr>
          <w:rFonts w:ascii="Arial" w:cs="Arial" w:eastAsia="Arial" w:hAnsi="Arial"/>
          <w:sz w:val="17"/>
          <w:szCs w:val="17"/>
          <w:color w:val="auto"/>
        </w:rPr>
        <w:t>General and administrative expenses were $14.1 million for the three months ended September 30, 2023, compared to $10.6 million for the three months ended September 30, 2022. This increase was primarily due to an increase in legal and professional service fees, personnel, facility, occupancy, and other expenses to support our growth. Stock based compensation expenses included in general and administrative expenses were $5.9 million and $4.2 million for the three months ended September 30, 2023 and September 30, 2022,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Other income, net was $4.6 million for the three months ended September 30, 2023, compared to $1.9 million for the three months ended September 30, 2022. The $2.7 million increase was primarily due to the prevailing interest rates in the respective periods.</w:t>
      </w:r>
    </w:p>
    <w:p>
      <w:pPr>
        <w:spacing w:after="0" w:line="3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Comparison of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w:t>
      </w:r>
    </w:p>
    <w:p>
      <w:pPr>
        <w:spacing w:after="0" w:line="24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Revenue—from related parties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121,115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176,925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153,313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(146,218 )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(122,626 )</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(23,592 )</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(132,594 </w:t>
            </w:r>
            <w:r>
              <w:rPr>
                <w:rFonts w:ascii="Arial" w:cs="Arial" w:eastAsia="Arial" w:hAnsi="Arial"/>
                <w:sz w:val="18"/>
                <w:szCs w:val="18"/>
                <w:color w:val="auto"/>
                <w:highlight w:val="white"/>
              </w:rPr>
              <w:t>)</w:t>
            </w:r>
          </w:p>
        </w:tc>
        <w:tc>
          <w:tcPr>
            <w:tcW w:w="14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 xml:space="preserve">(119,943 </w:t>
            </w:r>
            <w:r>
              <w:rPr>
                <w:rFonts w:ascii="Arial" w:cs="Arial" w:eastAsia="Arial" w:hAnsi="Arial"/>
                <w:sz w:val="18"/>
                <w:szCs w:val="18"/>
                <w:color w:val="auto"/>
                <w:highlight w:val="white"/>
                <w:w w:val="92"/>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(12,651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recognize revenue under each of our collaboration agreements based on our pattern of performance related to the respective identified performance obligations, which is the period over which we will perform research services under each of the respective agreements.</w:t>
      </w:r>
    </w:p>
    <w:p>
      <w:pPr>
        <w:spacing w:after="0" w:line="3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Collaboration revenues were $30.7 million for the nine months ended September 30, 2023, of which $22.3 million and $8.4 million were attributable to our collaboration agreements with Sanofi and Vertex, respectively. Collaboration revenues were $30.7 million for the nine months ended September 30, 2022, of which $22.1 million and $8.6 million were attributable to our collaboration agreements with Sanofi and Vertex,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each period presented (program expenses are not disclosed prior to formal development candidate nomination):</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costs: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IRAK4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10,308</w:t>
            </w:r>
          </w:p>
        </w:tc>
        <w:tc>
          <w:tcPr>
            <w:tcW w:w="5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13,171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(2,863 )</w:t>
            </w: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IRAKIMiD</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STAT3</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MDM2</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(3,813 )</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37,857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32,689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Internal research and development costs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69,781</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136,111</w:t>
            </w:r>
          </w:p>
        </w:tc>
        <w:tc>
          <w:tcPr>
            <w:tcW w:w="5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121,115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Research and development expenses were $136.1 million for the nine months ended September 30, 2023, compared to $121.1 million for the nine months ended September 30, 2022. The increase of $15.0 million was primarily due to an increase of $14.9 million increase in personnel, stock-based compensation and occupancy related costs due to increases in employee headcount in the research and development functions,a $5.2 million increase related our investment in our other pipeline programs and platform, as well as a $1.6 million increase in spending on our STAT3 program. These increases were partially offset by a $6.7 million reduction in activities relating to our IRAK4 and MDM2 programs.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78"/>
        <w:spacing w:after="0" w:line="279" w:lineRule="auto"/>
        <w:rPr>
          <w:sz w:val="20"/>
          <w:szCs w:val="20"/>
          <w:color w:val="auto"/>
        </w:rPr>
      </w:pPr>
      <w:r>
        <w:rPr>
          <w:rFonts w:ascii="Arial" w:cs="Arial" w:eastAsia="Arial" w:hAnsi="Arial"/>
          <w:sz w:val="17"/>
          <w:szCs w:val="17"/>
          <w:color w:val="auto"/>
        </w:rPr>
        <w:t>General and administrative expenses were $40.8 million for the nine months ended September 30, 2023, compared to $32.2 million for the nine months ended September 30, 2022. The $8.6 million increase was primarily due to an increase in legal and professional service fees, personnel, facility, occupancy, and other expenses to support our growth. Stock based compensation expenses included in general and administrative expenses were $16.0 million and $13.0 million for the nine months ended September 30, 2023 and September 30, 2022,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Other income, net was $13.6 million for the nine months ended September 30, 2023, compared to $2.7 million for the nine months ended September 30, 2022. The $10.9 million increase was primarily due to the prevailing interest rates in the respective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funded our operations primarily with proceeds from our initial public offering, or IPO, Follow-on Offering, sale of our convertible preferred stock and collaboration agreements. To date, we have received gross proceeds of $1.03 billion from sales of our convertible preferred stock, the sale of common stock including our August 2020 IPO and concurrent private placement, and our July 2021 follow-on offering and concurrent private placement, August 2022 private investment in public equity (“PIPE”) offering, and through our corporate collaborations. As of September 30, 2023, we had cash and cash equivalents and marketable securities of $434.8 million.</w:t>
      </w:r>
    </w:p>
    <w:p>
      <w:pPr>
        <w:spacing w:after="0" w:line="8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October 2021, we entered into a sales agreement, or Sales Agreement, with Cowen and Company, LLC, or Cowen, pursuant to which we may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There have been no shares of our common stock sold under the Sales Agreement as of September 30, 2023.</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57"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r>
      <w:tr>
        <w:trPr>
          <w:trHeight w:val="169"/>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74"/>
              </w:rPr>
              <w:t>thousands)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53"/>
              <w:spacing w:after="0"/>
              <w:rPr>
                <w:sz w:val="20"/>
                <w:szCs w:val="20"/>
                <w:color w:val="auto"/>
              </w:rPr>
            </w:pPr>
            <w:r>
              <w:rPr>
                <w:rFonts w:ascii="Arial" w:cs="Arial" w:eastAsia="Arial" w:hAnsi="Arial"/>
                <w:sz w:val="18"/>
                <w:szCs w:val="18"/>
                <w:color w:val="auto"/>
              </w:rPr>
              <w:t>(110,871 )</w:t>
            </w:r>
          </w:p>
        </w:tc>
        <w:tc>
          <w:tcPr>
            <w:tcW w:w="380" w:type="dxa"/>
            <w:vAlign w:val="bottom"/>
            <w:shd w:val="clear" w:color="auto" w:fill="CFF0FC"/>
          </w:tcPr>
          <w:p>
            <w:pPr>
              <w:jc w:val="center"/>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(113,549 )</w:t>
            </w: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120,934</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70,185</w:t>
            </w:r>
          </w:p>
        </w:tc>
        <w:tc>
          <w:tcPr>
            <w:tcW w:w="80" w:type="dxa"/>
            <w:vAlign w:val="bottom"/>
          </w:tcPr>
          <w:p>
            <w:pPr>
              <w:spacing w:after="0"/>
              <w:rPr>
                <w:sz w:val="20"/>
                <w:szCs w:val="20"/>
                <w:color w:val="auto"/>
              </w:rPr>
            </w:pPr>
          </w:p>
        </w:tc>
      </w:tr>
      <w:tr>
        <w:trPr>
          <w:trHeight w:val="24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151,046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12,321</w:t>
            </w:r>
          </w:p>
        </w:tc>
        <w:tc>
          <w:tcPr>
            <w:tcW w:w="180" w:type="dxa"/>
            <w:vAlign w:val="bottom"/>
          </w:tcPr>
          <w:p>
            <w:pPr>
              <w:spacing w:after="0"/>
              <w:rPr>
                <w:sz w:val="20"/>
                <w:szCs w:val="20"/>
                <w:color w:val="auto"/>
              </w:rPr>
            </w:pPr>
          </w:p>
        </w:tc>
        <w:tc>
          <w:tcPr>
            <w:tcW w:w="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107,682</w:t>
            </w:r>
          </w:p>
        </w:tc>
        <w:tc>
          <w:tcPr>
            <w:tcW w:w="8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-187960</wp:posOffset>
            </wp:positionV>
            <wp:extent cx="5143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 used in Operating Activities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During the nine months ended September 30, 2023, cash used in operating activities was $110.9 million, primarily resulting from our net loss of $132.6 million during the period and the $19.5 million change in deferred revenue related to our collaboration agreements. These were offset by a $10.2 million net decrease in other operating assets and liabilities primarily driven by changes in accounts receivable, accounts payable, accrued expenses and operating lease liabilities. and adjustments for non-cash items of $30.9 million (primarily consisting of stock-based compensation, depreciation &amp; amortization and premiums &amp; discounts on available-sale-securities).</w:t>
      </w:r>
    </w:p>
    <w:p>
      <w:pPr>
        <w:spacing w:after="0" w:line="29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During the nine months ended September 30, 2022, cash used in operating activities was $113.5 million, primarily resulting from our net loss of $119.9 million during the period and changes in working capital including the $24.1 million change in deferred revenue related to our collaboration agreements. These were offset by adjustments for non-cash items of $30.5 million (primarily consisting of stock-based compensation, depreciation and amortization and premiums and discounts on available-sale-securities).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 provided by Investing Activities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nine months ended September 30, 2023, cash provided by investing activities was $121.0 million comprised of maturities of marketable securities of $287.4 million, partially offset by purchases of marketable securities of $143.6 million and purchases of property and equipment of $22.8 million.</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nine months ended September 30, 2022, cash provided by investing activities was $70.2 million comprised of maturities of marketable securities of $371.4 million, partially offset by purchases of marketable securities of $298.7 million and purchases of property and equipment of $2.5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i w:val="1"/>
          <w:iCs w:val="1"/>
          <w:color w:val="auto"/>
        </w:rPr>
        <w:t>Cash Flow provided by Financing Activities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nine months ended September 30, 2023, net cash provided by financing activities was $2.3 million, consisting of $2.3 million in proceeds from the exercise of employee stock options and $1.0 million in proceeds from the employee stock purchase plan, partially offset by finance lease payments of $1.0 million.</w:t>
      </w:r>
    </w:p>
    <w:p>
      <w:pPr>
        <w:spacing w:after="0" w:line="29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During the nine months ended September 30, 2022, net cash provided by financing activities was $151.0 million, primarily consisting of $149.8 million of net proceeds received in our August 2022 PIPE offering, $1.8 million in proceeds from the exercise of employee stock options, $0.3 million in proceeds from the issuance of shares under our employee stock purchase plan, partially offset by finance lease payments of $0.9 million.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Future funding requirements</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9" w:lineRule="exact"/>
        <w:rPr>
          <w:sz w:val="20"/>
          <w:szCs w:val="20"/>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nonclinical studies and clinical trials for our product candidates or any future product candidates we may develop;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relationships with key collaborators;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continuing to grow our business, including hiring key personnel and maintaining or acquiring operating space;</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degree of market acceptance of any approved product candidates, including product pricing, as well as product coverage and the adequacy of reimbursement by third-party payors;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and that we determine to commercialize;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believe the existing cash, cash equivalents and marketable securities of $434.8 million as of September 30, 2023, will enable us to fund our operating expenses and capital expenditure requirements into the first half of 2026.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ind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8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nine months ended September 30, 2023, there were no material changes to our critical accounting policies from those described in our Annual Report Form 10-K filed with the SEC on February 23, 2023.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6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September 30, 2023, we had no significant liabilities denominated in foreign currencies.</w:t>
      </w:r>
    </w:p>
    <w:p>
      <w:pPr>
        <w:spacing w:after="0" w:line="18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3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September 30, 2023,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to date from drug sales, and may never become profitable.</w:t>
      </w:r>
    </w:p>
    <w:p>
      <w:pPr>
        <w:spacing w:after="0" w:line="17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the COVID-19 pandemic. We will need to transition from a company with a research and development focus to a company capable of supporting late-stage development and commercial activities. We may not be successful in such a transition.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anticipate that we will incur continued losses for the foreseeable future.</w:t>
      </w:r>
    </w:p>
    <w:p>
      <w:pPr>
        <w:spacing w:after="0" w:line="24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Since inception, we have focused substantially all of our efforts and financial resources on developing our proprietary targeted protein degradation drug discovery platform, or the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and initial product candidates as well as supporting our collaborations and partnerships. To date, we have financed our operations primarily through the issuance and sale of our convertible preferred stock to outside investors and collaborators in private equity financings, upfront payments under our existing collaborations and our initial public offering, follow-on offering and PIPE offering. From our inception through September 30, 2023, we raised an aggregate of approximately $1.03 billion of gross proceeds from such transactions and through our collaborations. As of September 30, 2023, our cash and cash equivalents and investments were $434.8 million. We have incurred net losses in each year since our inception, and we had an accumulated deficit of $516.4 million as of September 30, 2023. For the years ended December 31, 2022, 2021 and 2020, we reported net losses of $154.8 million, $100.2 million and $45.6 million, respectively. We reported net losses of $52.9 million and $132.6 million for the three and nine months ended September 30, 2023 respectively, and $43.0 million and $119.9 million for the three and nine months ended September 30, 2022,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 w:name="page39"/>
    <w:bookmarkEnd w:id="38"/>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and complete preclinical studies and clinical trials for current or future product candidates</w:t>
      </w:r>
    </w:p>
    <w:p>
      <w:pPr>
        <w:spacing w:after="0" w:line="10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and submit Investigational New Drug applications, or INDs, with the FDA, for future product candidates</w:t>
      </w:r>
      <w:r>
        <w:rPr>
          <w:rFonts w:ascii="Arial" w:cs="Arial" w:eastAsia="Arial" w:hAnsi="Arial"/>
          <w:sz w:val="21"/>
          <w:szCs w:val="21"/>
          <w:color w:val="auto"/>
        </w:rPr>
        <w:t>;</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secure facilities to support continued growth in our research, development and commercialization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2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and improve the capabilities of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w:t>
      </w:r>
    </w:p>
    <w:p>
      <w:pPr>
        <w:spacing w:after="0" w:line="7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 that successfully complete clinical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to manufacture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costs associated with continuing to operate as a public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4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development of pharmaceutical drugs is capital-intensive. We are engaged in clinical development activities on various programs and are also currently advancing multiple development candidates through preclinical development across a number of potential indications.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7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As of September 30, 2023, we had approximately $434.8 million of cash and cash equivalents and investments. In August 2020, we completed an IPO of our common stock by issuing 9,987,520 shares of our common stock, including the exercise in full by the underwriters of their option to purchase up to 1,302,720 additional shares of common stock, at a public offering price of $20.00 per share. The aggregate gross proceeds to us from the offering, before deducting underwriting discounts and commissions, and other estimated offering expenses payable by us, were approximately $199.8 million. Concurrent with the IPO, we announced the sale of 676,354 common shares at the public offering price per share in a private placement to Vertex. The aggregate gross proceeds to us from the concurrent private placement were approximately $13.5 million. The concurrent private placement also closed in August 2020. In July 2021, we completed a follow-on offering of our common stock and an additional private placement transaction with Vertex resulting, in the aggregate, in net proceeds of approximately, $243.1 million. In August 2022, we completed a PIPE offering of our common stock and pre-funded warrants resulting in gross proceeds of $150.0 million. We expect that the approximately $434.8 million of cash and cash equivalents and investments at September 30, 2023 will be sufficient to fund our operations into the first half of 2026.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left="1020" w:hanging="503"/>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current or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existing or additional collaboration agreements we obtain;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current or future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clearances to market our current or future product candidates.</w:t>
      </w:r>
    </w:p>
    <w:p>
      <w:pPr>
        <w:spacing w:after="0" w:line="38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8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Securities and Exchange Commission, or the SEC, annual, quarterly and current reports with respect to our business and financial condition. In addition,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We were required to implement these requirements beginning in 2022 and incurred unexpected expenses in connection with such implementation.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ind w:firstLine="509"/>
        <w:spacing w:after="0" w:line="254" w:lineRule="auto"/>
        <w:rPr>
          <w:sz w:val="20"/>
          <w:szCs w:val="20"/>
          <w:color w:val="auto"/>
        </w:rPr>
      </w:pPr>
      <w:r>
        <w:rPr>
          <w:rFonts w:ascii="Arial" w:cs="Arial" w:eastAsia="Arial" w:hAnsi="Arial"/>
          <w:sz w:val="18"/>
          <w:szCs w:val="18"/>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8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that date, SVB has announced they have been acquired by First Citizens Bank and have resumed mostly normal operations.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9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500"/>
        <w:spacing w:after="0" w:line="342" w:lineRule="auto"/>
        <w:rPr>
          <w:sz w:val="20"/>
          <w:szCs w:val="20"/>
          <w:color w:val="auto"/>
        </w:rPr>
      </w:pPr>
      <w:r>
        <w:rPr>
          <w:rFonts w:ascii="Arial" w:cs="Arial" w:eastAsia="Arial" w:hAnsi="Arial"/>
          <w:sz w:val="16"/>
          <w:szCs w:val="16"/>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6"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or lost access to working capital sources and/or delays, inability or reductions in our ability to enter into new credit facilities or other working capital resources;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or actual breach of financial covenants in any credit agreements or credit arrangements;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Preclinical and Clinical Development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very early in our development efforts. All of our product candidates are in preclinical or early clinical development. If we are unable to commercialize our product candidates or experience significant delays in doing so, our business will be materially harmed.</w:t>
      </w:r>
    </w:p>
    <w:p>
      <w:pPr>
        <w:spacing w:after="0" w:line="14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68"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ongoing or planned clinical trials of our product candidates;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preclinical studies and timing of IND clearances of future product candidates, and/or clinical trial costs for current and future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receive regulatory approvals from applicable regulatory authorities;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and successful completion of all safety studies required to obtain U.S. and foreign marketing approval for our product candidates;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we identify in-house or acquire through collaborations or other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manufacturing capabilities or make arrangements with third-party manufacturers for clinical supply and commercial manufacturing;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acceptance of our product candidates, if and when approved, by patients, the medical community and third-party payors;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enforce and defend intellectual property rights and claims;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Pegasus platform is novel and unproven, which makes it difficult to predict the time, cost of development and likelihood of successfully developing any products.</w:t>
      </w:r>
    </w:p>
    <w:p>
      <w:pPr>
        <w:spacing w:after="0" w:line="175"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Our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utilizes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or any similar or competitive platforms, will result in the development and marketing approval of any products. Any development problems we experience in the future related to our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or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 key element of our strategy is to apply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ind w:firstLine="509"/>
        <w:spacing w:after="0" w:line="270"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We are currently focused on our most advanced development programs, IRAK4, STAT3 and MDM2, which target key signaling pathways implicated in multiple inflammatory and autoimmune diseases as well as numerous cancers.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7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This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 For example, in December 2020, we submitted an IND application for KT-474 to initiate a first-in-human Phase 1 randomized, double-blind, placebo-controlled clinical trial in healthy volunteers and patients with hidradenitis suppurativa (HS) or atopic dermatitis (AD). The program was initially placed on partial clinical hold regarding the multiple ascending dose (MAD) portion of the Phase 1 trial, pending FDA review of the interim data in healthy volunteers from the SAD portion of the trial. In June 2021, the FDA lifted the partial clinical hold on the MAD portion of the Phase 1 trial of KT-474 following review of interim SAD results, and the Phase 1 trial has since been completed.</w:t>
      </w:r>
    </w:p>
    <w:p>
      <w:pPr>
        <w:spacing w:after="0" w:line="19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following scientific evaluation by the EMA,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68" w:lineRule="exact"/>
        <w:rPr>
          <w:sz w:val="20"/>
          <w:szCs w:val="20"/>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disagree with the number, design, size, conduct or implementation of our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require that we conduct additional preclinical studies and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not approve the formulation, labeling or specifications of any of our current or future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applicable foreign regulatory agency may disagree with our interpretation of data from our preclinical studies and clinical trials;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not accept data generated at our preclinical studies and clinical trial sites;</w:t>
      </w:r>
    </w:p>
    <w:p>
      <w:pPr>
        <w:spacing w:after="0" w:line="15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as a condition of approval or post-approval;</w:t>
      </w:r>
    </w:p>
    <w:p>
      <w:pPr>
        <w:spacing w:after="0" w:line="12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be delayed in its review processes due to staffing or other constraints;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There may be delays in trial initiation,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participants to enroll in our clinical trials in our countries of interest;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an appropriate screening test for the indications we are pursuing;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and completion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we may not be able to control, such as potential pandemics that may limit subjects, principal investigators or staff or clinical site availability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Positive results from our preclinical studies of our current or future product candidates, and any positive results we may obtain from our early clinical trials of our current or future product candidates, including our Phase 1 trial of KT-474,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 clinical trials of our current or future product candidates, including our Phase 1 trial of KT-474, may not be replicated in subsequent preclinical studies or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7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Additionally, our planned or future clinical trials may utilize an “open-label” trial design, such as the open-label patient portion of our Phase 1 clinical trials of KT-474, KT-333 and KT-253.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spacing w:after="0" w:line="311" w:lineRule="auto"/>
        <w:rPr>
          <w:sz w:val="20"/>
          <w:szCs w:val="20"/>
          <w:color w:val="auto"/>
        </w:rPr>
      </w:pPr>
      <w:r>
        <w:rPr>
          <w:rFonts w:ascii="Arial" w:cs="Arial" w:eastAsia="Arial" w:hAnsi="Arial"/>
          <w:sz w:val="16"/>
          <w:szCs w:val="16"/>
          <w:color w:val="auto"/>
        </w:rPr>
        <w:t>aware of which patients have received treatment and may interpret the information of the treated group more favorably given this knowledge. The results from an open-label trial, including our Phase 1 trials of KT-474, KT-333 and KT-253, may not be predictive of future clinical trial results with any of our product candidates for which we include an open-label clinical trial when studied in a controlled environment with a placebo or active control.</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6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 the treatment of a broad set of immunology-inflammation diseases, such as HS, an inflammatory skin disease, AD, and rheumatoid arthritis.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w:t>
      </w:r>
    </w:p>
    <w:p>
      <w:pPr>
        <w:spacing w:after="0" w:line="17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Public health crises such as pandemics or similar outbreaks could adversely impact our business. For example, in December 2019, a novel strain of a virus named SARS-CoV-2 (severe acute respiratory syndrome coronavirus 2), or coronavirus, which causes COVID-19, surfaced in Wuhan, China and has since spread worldwide, including to Eastern Massachusetts where our primary office and laboratory space is located. The pandemic and policies and regulations implemented by governments in response to the pandemic, most of which have been lifted, have had a significant impact, both direct and indirect, on businesses and commerce. The coronavirus pandemic has evolved considerably, and led to the implementation of various responses, including government-imposed quarantines, travel restrictions and other public health safety measures which now have been lifted. The extent to which any future pandemic impacts our operations or those of our third-party partners, including our preclinical studies or clinical trial operations, will also depend on future developments, which are highly uncertain and cannot be predicted with confidence, including the duration of the outbreak, new information that will emerge concerning the severity of disease and the actions to contain the disease or treat its impact, among others. For example, similar to other biopharmaceutical companies, we may experience delays in enrolling subjects in our clinical trials. Infectious diseases may also affect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76" w:lineRule="exact"/>
        <w:rPr>
          <w:sz w:val="20"/>
          <w:szCs w:val="20"/>
          <w:color w:val="auto"/>
        </w:rPr>
      </w:pPr>
    </w:p>
    <w:p>
      <w:pPr>
        <w:jc w:val="both"/>
        <w:ind w:left="102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75"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9"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negative affect on the operations of our third-party manufacturers and the supply chain for our product candidates. For example, in February 2020, one of our vendors for active pharmaceutical ingredient, or API, starting materials based in Wuhan, China ceased its operations for several weeks due to the COVID-19 pandemic, which caused a minor delay in the delivery of API starting materials to a separate vendor who manufactures API;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62"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6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76"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49"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current or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left="1020" w:right="20" w:hanging="503"/>
        <w:spacing w:after="0" w:line="30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to remove such current or future product candidates from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current or future product candidates;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8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6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t>Risks Related to Regulatory Approval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8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current or future product candidates could be delayed in receiving, or fail to receive, regulatory approval for many reasons, including the following</w:t>
      </w:r>
      <w:r>
        <w:rPr>
          <w:rFonts w:ascii="Arial" w:cs="Arial" w:eastAsia="Arial" w:hAnsi="Arial"/>
          <w:sz w:val="19"/>
          <w:szCs w:val="19"/>
          <w:color w:val="auto"/>
        </w:rPr>
        <w:t>:</w:t>
      </w:r>
    </w:p>
    <w:p>
      <w:pPr>
        <w:spacing w:after="0" w:line="49"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8"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86" w:lineRule="auto"/>
        <w:rPr>
          <w:sz w:val="20"/>
          <w:szCs w:val="20"/>
          <w:color w:val="auto"/>
        </w:rPr>
      </w:pPr>
      <w:r>
        <w:rPr>
          <w:rFonts w:ascii="Arial" w:cs="Arial" w:eastAsia="Arial" w:hAnsi="Arial"/>
          <w:sz w:val="17"/>
          <w:szCs w:val="17"/>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6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8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may seek Fast Track Designation for one or more of our current or future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seek approval of KT-474, KT-333, KT-253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may seek accelerated approval of KT-474, KT-333, KT-253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obtained orphan drug designation for some of our product candidates. We may also seek Orphan Drug Designation for certain of our other current or future product candidates, and we may be unsuccessful or may be unable to maintain the benefits associated with Orphan Drug Designation, including the potential for market exclusivity.</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FDA has granted Orphan Drug Designation for KT-333 for the treatment of peripheral T cell lymphoma and cutaneous T cell lymphoma and for KT-253 for the treatment of acute myeloid leukemia. As part of our business strategy, we may also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7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U.S. and ten years in the European Union. The exclusivity period in the European Union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9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the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7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spacing w:after="0" w:line="308" w:lineRule="auto"/>
        <w:rPr>
          <w:sz w:val="20"/>
          <w:szCs w:val="20"/>
          <w:color w:val="auto"/>
        </w:rPr>
      </w:pPr>
      <w:r>
        <w:rPr>
          <w:rFonts w:ascii="Arial" w:cs="Arial" w:eastAsia="Arial" w:hAnsi="Arial"/>
          <w:sz w:val="17"/>
          <w:szCs w:val="17"/>
          <w:color w:val="auto"/>
        </w:rPr>
        <w:t>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38"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drug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Foreign Regulatory Approval and Foreign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56" w:lineRule="exact"/>
        <w:rPr>
          <w:sz w:val="20"/>
          <w:szCs w:val="20"/>
          <w:color w:val="auto"/>
        </w:rPr>
      </w:pPr>
    </w:p>
    <w:p>
      <w:pPr>
        <w:ind w:left="10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that obtaining regulatory approvals outside of the U.S. may take longer and be more costly than obtaining approval in the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current or future product candidates in foreign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Foreign sales of our current or future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may in the future choose to conduct one or more clinical trials outside the U.S., including in Europe.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w:t>
      </w:r>
    </w:p>
    <w:p>
      <w:pPr>
        <w:spacing w:after="0" w:line="1" w:lineRule="exact"/>
        <w:rPr>
          <w:sz w:val="20"/>
          <w:szCs w:val="20"/>
          <w:color w:val="auto"/>
        </w:rPr>
      </w:pPr>
    </w:p>
    <w:p>
      <w:pPr>
        <w:jc w:val="both"/>
        <w:ind w:firstLine="8"/>
        <w:spacing w:after="0" w:line="302" w:lineRule="auto"/>
        <w:tabs>
          <w:tab w:leader="none" w:pos="2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color w:val="auto"/>
        </w:rPr>
        <w:t>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Compliance with Healthcare and Other Regulations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16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ind w:firstLine="509"/>
        <w:spacing w:after="0" w:line="255"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Private payors tend to follow CMS to a substantial degree. Factors payors consider in determining reimbursement are based on whether the product is:</w:t>
      </w:r>
    </w:p>
    <w:p>
      <w:pPr>
        <w:spacing w:after="0" w:line="8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Our ability to commercialize any current or future product candidates successfully also will depend in part on the extent to which coverage and reimbursement for these current or future product candidates and related treatments will be available from government authorities, private health insurers and other organizations. Moreover, a payor’s decision to provide coverage for a product does not imply that an adequate reimbursement rate will be approved. We cannot be sure that coverage will be available for any product candidate that we commercialize. If coverage is available, but reimbursement is available only to limited levels, we may not be able to successfully commercialize any product candidate for which we obtain marketing approval.</w:t>
      </w:r>
    </w:p>
    <w:p>
      <w:pPr>
        <w:spacing w:after="0" w:line="16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the U.S.,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w:t>
      </w:r>
    </w:p>
    <w:p>
      <w:pPr>
        <w:spacing w:after="0" w:line="17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171"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in some foreign countries, such as some countries in the EU, do not follow price structures of the U.S. and prices generally tend to be significantly lower.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and future healthcare legislative reform measures may have a material adverse effect on our business and results of operations.</w:t>
      </w:r>
    </w:p>
    <w:p>
      <w:pPr>
        <w:spacing w:after="0" w:line="23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Changes in regulations, statutes or the interpretation of existing regulations could impact our business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6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 addresses a new methodology by which rebates owed by manufacturers under the Medicaid Drug Rebate Program are calculated for drugs that are inhaled, infused, instilled, implanted or injected, increases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6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Since its enactment, there have been judicial, administrative, executive and Congressional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w:t>
      </w:r>
    </w:p>
    <w:p>
      <w:pPr>
        <w:spacing w:after="0" w:line="117" w:lineRule="exact"/>
        <w:rPr>
          <w:sz w:val="20"/>
          <w:szCs w:val="20"/>
          <w:color w:val="auto"/>
        </w:rPr>
      </w:pPr>
    </w:p>
    <w:p>
      <w:pPr>
        <w:jc w:val="both"/>
        <w:ind w:left="1020" w:hanging="503"/>
        <w:spacing w:after="0" w:line="296"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August 2011, the Budget Control Act of 2011, among other things, created measures for spending reductions by Congress. Specifically, the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in April 2013, and, due to subsequent legislative amendments, will remain in effect through 2032 unless additional Congressional action is taken</w:t>
      </w:r>
    </w:p>
    <w:p>
      <w:pPr>
        <w:spacing w:after="0" w:line="53" w:lineRule="exact"/>
        <w:rPr>
          <w:rFonts w:ascii="Arial" w:cs="Arial" w:eastAsia="Arial" w:hAnsi="Arial"/>
          <w:sz w:val="16"/>
          <w:szCs w:val="16"/>
          <w:color w:val="auto"/>
        </w:rPr>
      </w:pPr>
    </w:p>
    <w:p>
      <w:pPr>
        <w:jc w:val="both"/>
        <w:ind w:left="1020" w:hanging="503"/>
        <w:spacing w:after="0" w:line="275"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The BBA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6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jc w:val="both"/>
        <w:ind w:left="1020" w:hanging="503"/>
        <w:spacing w:after="0" w:line="25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9"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August 2022, the Inflation Reduction Act of 2022, or IRA, was signed into law. The IRA includes several provisions that may impact our business to varying degrees, including provisions that establish a $2,000 out-of-pocket cap for Medicare Part D beneficiaries, impose new manufacturer financial liability on many drugs reimbursed under Medicare Part D, allow the U.S. government to negotiate Medicare Part B and Part D pricing for certain high-cost drugs and biologics without generic or biosimilar competition, and require companies to pay rebates to Medicare for drug prices that increase faster than inflation.</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has further resulted in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92" w:lineRule="exact"/>
        <w:rPr>
          <w:sz w:val="20"/>
          <w:szCs w:val="20"/>
          <w:color w:val="auto"/>
        </w:rPr>
      </w:pPr>
    </w:p>
    <w:p>
      <w:pPr>
        <w:jc w:val="both"/>
        <w:ind w:firstLine="559"/>
        <w:spacing w:after="0" w:line="287"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to January 1, 2027 by the Bipartisan Safer Communities Act. The IRA further delayed implementation of this rule to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6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 results of operations and prospects.</w:t>
      </w:r>
    </w:p>
    <w:p>
      <w:pPr>
        <w:spacing w:after="0" w:line="19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jc w:val="both"/>
        <w:spacing w:after="0" w:line="286" w:lineRule="auto"/>
        <w:rPr>
          <w:sz w:val="20"/>
          <w:szCs w:val="20"/>
          <w:color w:val="auto"/>
        </w:rPr>
      </w:pPr>
      <w:r>
        <w:rPr>
          <w:rFonts w:ascii="Arial" w:cs="Arial" w:eastAsia="Arial" w:hAnsi="Arial"/>
          <w:sz w:val="17"/>
          <w:szCs w:val="17"/>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6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Restrictions under applicable federal and state healthcare laws and regulations, include, among others:</w:t>
      </w:r>
    </w:p>
    <w:p>
      <w:pPr>
        <w:spacing w:after="0" w:line="66" w:lineRule="exact"/>
        <w:rPr>
          <w:sz w:val="20"/>
          <w:szCs w:val="20"/>
          <w:color w:val="auto"/>
        </w:rPr>
      </w:pPr>
    </w:p>
    <w:p>
      <w:pPr>
        <w:jc w:val="both"/>
        <w:ind w:left="1020" w:hanging="503"/>
        <w:spacing w:after="0" w:line="289"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any person or entity from knowingly and willfully soliciting, offering, receiving, providing or paying remuneration, directly or indirectly, overtly or covertly, in cash or in kind, to induce or reward, or in return for, either the referral of an individual for, or the purchase, lease, order or recommendation of, or arranging for, any item, good, facility, or service, for which payment may be made under a federal healthcare program such as Medicare and Medicaid. The federal Anti-Kickback Statute has been interpreted to apply to arrangements between manufacturers on the one hand and prescribers, purchasers, and formulary managers on the other. A person or entity does not need to have actual knowledge of the statute or specific intent to violate it in order to have committed a violation. Violations can result in significant civil monetary and criminal penalties for each violation, plus up to three times the amount of remuneration, imprisonment, and exclusion from government healthcare programs. Further, a violation of the federal Anti-Kickback Statute can also form the basis for False Claims Act liability or federal civil monetary penalties;</w:t>
      </w:r>
    </w:p>
    <w:p>
      <w:pPr>
        <w:spacing w:after="0" w:line="58" w:lineRule="exact"/>
        <w:rPr>
          <w:rFonts w:ascii="Arial" w:cs="Arial" w:eastAsia="Arial" w:hAnsi="Arial"/>
          <w:sz w:val="16"/>
          <w:szCs w:val="16"/>
          <w:color w:val="auto"/>
        </w:rPr>
      </w:pPr>
    </w:p>
    <w:p>
      <w:pPr>
        <w:jc w:val="both"/>
        <w:ind w:left="1020" w:hanging="503"/>
        <w:spacing w:after="0" w:line="289"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federal False Claims Act, which prohibits individuals or entities from knowingly presenting, or causing to be presented, to the federal government, claims for payment that are false or fraudulent or making a false statement to avoid, decrease or conceal an obligation to pay money to the federal government. Actions under the False Claims Act may be brought by the Attorney General or as a qui tam action by a private individual acting as a "whistle blower" in the name of the government permitting the whistleblower to share in any monetary recovery. Violations of the False Claims Act can result in very significant monetary penalties for each false claim and three times the amount of the government’s damages.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False Claims Act;</w:t>
      </w:r>
    </w:p>
    <w:p>
      <w:pPr>
        <w:spacing w:after="0" w:line="58"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additional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6" w:lineRule="exact"/>
        <w:rPr>
          <w:rFonts w:ascii="Arial" w:cs="Arial" w:eastAsia="Arial" w:hAnsi="Arial"/>
          <w:sz w:val="18"/>
          <w:szCs w:val="18"/>
          <w:color w:val="auto"/>
        </w:rPr>
      </w:pPr>
    </w:p>
    <w:p>
      <w:pPr>
        <w:jc w:val="both"/>
        <w:ind w:left="1020" w:hanging="503"/>
        <w:spacing w:after="0" w:line="254"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 transparency laws, including the federal Physician Payment Sunshine Act created under the ACA, which requires manufacturers of certain drugs, devices, biologics and medical supplies, among others, to track and disclose payments under Medicare, Medicaid, or the Children’s Health Insurance Program (with certain exceptions) and other transfers of value they make to U.S. physicians (defined to include doctors, dentists, optometrists, podiatrists and chiropractors), other licensed healthcare professionals (physician assistants, nurse practitioners, clinical nurse specialists, certified registered nurse anesthetists and anesthesiologist assistants, and certified-nurse midwives), and teaching hospitals, as well as ownership and investment interests held by physicians and their immediate family members. This information is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ind w:left="1020"/>
        <w:spacing w:after="0" w:line="263" w:lineRule="auto"/>
        <w:rPr>
          <w:sz w:val="20"/>
          <w:szCs w:val="20"/>
          <w:color w:val="auto"/>
        </w:rPr>
      </w:pPr>
      <w:r>
        <w:rPr>
          <w:rFonts w:ascii="Arial" w:cs="Arial" w:eastAsia="Arial" w:hAnsi="Arial"/>
          <w:sz w:val="18"/>
          <w:szCs w:val="18"/>
          <w:color w:val="auto"/>
        </w:rPr>
        <w:t>subsequently made publicly available in a searchable format on a CMS website. Failure to disclose required information may result in civil monetary penalties for all payments, transfers of value or ownership or investment interests that are not timely, accurately and completely reported in an annual submission;</w:t>
      </w:r>
    </w:p>
    <w:p>
      <w:pPr>
        <w:spacing w:after="0" w:line="76" w:lineRule="exact"/>
        <w:rPr>
          <w:sz w:val="20"/>
          <w:szCs w:val="20"/>
          <w:color w:val="auto"/>
        </w:rPr>
      </w:pPr>
    </w:p>
    <w:p>
      <w:pPr>
        <w:jc w:val="both"/>
        <w:ind w:left="1020" w:hanging="503"/>
        <w:spacing w:after="0" w:line="269"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including the final omnibus rule published on January 25, 2013, which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73"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jc w:val="both"/>
        <w:ind w:left="1020" w:hanging="503"/>
        <w:spacing w:after="0" w:line="269"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law equivalents of each of the above U.S. federal laws, such as state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state laws that require pharmaceutical companies to comply with the pharmaceutical industry’s voluntary compliance guidelines and the relevant compliance guidance promulgated by the federal government; and state laws governing the privacy and security of health information in certain circumstances, many of which differ from each other in significant ways and often are not preempted by HIPAA, thus complicating compliance efforts.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w:t>
      </w:r>
    </w:p>
    <w:p>
      <w:pPr>
        <w:spacing w:after="0" w:line="17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 Payments made to physicians in certain EU Member States must be publicly disclosed.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jc w:val="both"/>
        <w:ind w:right="20"/>
        <w:spacing w:after="0" w:line="259" w:lineRule="auto"/>
        <w:rPr>
          <w:sz w:val="20"/>
          <w:szCs w:val="20"/>
          <w:color w:val="auto"/>
        </w:rPr>
      </w:pPr>
      <w:r>
        <w:rPr>
          <w:rFonts w:ascii="Arial" w:cs="Arial" w:eastAsia="Arial" w:hAnsi="Arial"/>
          <w:sz w:val="18"/>
          <w:szCs w:val="18"/>
          <w:color w:val="auto"/>
        </w:rPr>
        <w:t>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7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9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both"/>
        <w:ind w:firstLine="509"/>
        <w:spacing w:after="0" w:line="296"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70"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41" w:lineRule="exact"/>
        <w:rPr>
          <w:sz w:val="20"/>
          <w:szCs w:val="20"/>
          <w:color w:val="auto"/>
        </w:rPr>
      </w:pPr>
    </w:p>
    <w:p>
      <w:pPr>
        <w:jc w:val="both"/>
        <w:ind w:left="1020" w:right="20" w:hanging="503"/>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current or future product candidates by the FDA or other applicable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our current or future product candidates are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and perceived advantages of our current or future product candidates over current treatment options or alternative treatments, including future alternative treatments;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or treatment methods and of physicians to prescribe these therapies or methods;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dose such product candidates in combination with other therapeutic agents, and related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increase awareness of our current or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drugs before or more successfully than we do.</w:t>
      </w:r>
    </w:p>
    <w:p>
      <w:pPr>
        <w:spacing w:after="0" w:line="26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Competitors in our efforts to develop small molecule protein degraders therapies for patients, include, but are not limited to, Arvinas, Inc., C4 Therapeutics, Inc., Foghorn Therapeutics Inc. and Nurix Therapeutics, Inc., some of which have entered clinical development. Further, several large pharmaceutical companies have disclosed preclinical and clinical investments in this field.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IRAKIMiD, STAT3 and MDM2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9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70" w:lineRule="exact"/>
        <w:rPr>
          <w:sz w:val="20"/>
          <w:szCs w:val="20"/>
          <w:color w:val="auto"/>
        </w:rPr>
      </w:pPr>
    </w:p>
    <w:p>
      <w:pPr>
        <w:jc w:val="both"/>
        <w:ind w:firstLine="563"/>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9"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utilize and depend upon independent investigators and collaborators, such as medical institutions, CROs, contract manufacturing organizations and strategic partners to help conduct our preclinical studies. We do not have the ability to independently conduct clinical trials. We rely on medical institutions, clinical investigators, contract laboratories, and other third parties, including collaboration partners, to conduct or otherwise support clinical trials for our current product candidates, and we expect to rely on such third parties for our future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9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spacing w:after="0" w:line="289" w:lineRule="auto"/>
        <w:rPr>
          <w:sz w:val="20"/>
          <w:szCs w:val="20"/>
          <w:color w:val="auto"/>
        </w:rPr>
      </w:pPr>
      <w:r>
        <w:rPr>
          <w:rFonts w:ascii="Arial" w:cs="Arial" w:eastAsia="Arial" w:hAnsi="Arial"/>
          <w:sz w:val="16"/>
          <w:szCs w:val="16"/>
          <w:color w:val="auto"/>
        </w:rPr>
        <w:t>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6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Although we designed the Phase 1 trials of KT-474, KT-333 and KT-253,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timing and response to the COVID-19 pandemic or any future pandemics,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0"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experience regulatory compliance issues;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w:t>
      </w:r>
    </w:p>
    <w:p>
      <w:pPr>
        <w:spacing w:after="0" w:line="19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7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ind w:firstLine="509"/>
        <w:spacing w:after="0" w:line="255" w:lineRule="auto"/>
        <w:rPr>
          <w:sz w:val="20"/>
          <w:szCs w:val="20"/>
          <w:color w:val="auto"/>
        </w:rPr>
      </w:pPr>
      <w:r>
        <w:rPr>
          <w:rFonts w:ascii="Arial" w:cs="Arial" w:eastAsia="Arial" w:hAnsi="Arial"/>
          <w:sz w:val="18"/>
          <w:szCs w:val="18"/>
          <w:color w:val="auto"/>
        </w:rPr>
        <w:t>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9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7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3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have entered into collaboration and licensing arrangements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Further, collaborations involving our technologies or current or future product candidates are subject to numerous risks, which may include the following:</w:t>
      </w:r>
    </w:p>
    <w:p>
      <w:pPr>
        <w:spacing w:after="0" w:line="62"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current or future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20" w:right="20" w:hanging="503"/>
        <w:spacing w:after="0" w:line="342"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1020" w:right="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8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our initial IRAK4, STAT3 and MDM2 programs, which are our most advanced development programs, as well as our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We own patent applications and one patent related to our platform E3 ligase ligand technology and our novel bifunctional degrader compounds, including claims to compositions of matter, pharmaceutical compositions, methods of use, methods of treatment, and other related methods.</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September 30, 2023, our patent portfolio covering novel compounds, and the methods of making and using thereof, included 87 patent families. Patent term adjustments, supplementary protection certificate filings, or patent term extensions could result in later expiration dates in various countries, while terminal disclaimers could result in earlier expiration dates in the U.S.</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7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204"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jc w:val="both"/>
        <w:spacing w:after="0" w:line="272" w:lineRule="auto"/>
        <w:rPr>
          <w:sz w:val="20"/>
          <w:szCs w:val="20"/>
          <w:color w:val="auto"/>
        </w:rPr>
      </w:pPr>
      <w:r>
        <w:rPr>
          <w:rFonts w:ascii="Arial" w:cs="Arial" w:eastAsia="Arial" w:hAnsi="Arial"/>
          <w:sz w:val="17"/>
          <w:szCs w:val="17"/>
          <w:color w:val="auto"/>
        </w:rPr>
        <w:t>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7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51"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We may not be able to pursue patent coverage of our current or future product candidates, the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or other technologies in all countries. Filing, prosecuting and defending patents on current or future product candidates, the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18"/>
          <w:szCs w:val="18"/>
          <w:color w:val="auto"/>
        </w:rPr>
        <w:t>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may not obtain or grant licenses or sublicenses to intellectual property rights in all markets on equally or sufficiently favorable terms with third parties.</w:t>
      </w:r>
    </w:p>
    <w:p>
      <w:pPr>
        <w:spacing w:after="0" w:line="1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8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the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Disputes may also arise between us and our current or future licensors regarding intellectual property subject to a license agreement, including:</w:t>
      </w:r>
    </w:p>
    <w:p>
      <w:pPr>
        <w:spacing w:after="0" w:line="140"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current or future licensors and us and our partners.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both"/>
        <w:ind w:firstLine="509"/>
        <w:spacing w:after="0" w:line="291" w:lineRule="auto"/>
        <w:rPr>
          <w:sz w:val="20"/>
          <w:szCs w:val="20"/>
          <w:color w:val="auto"/>
        </w:rPr>
      </w:pPr>
      <w:r>
        <w:rPr>
          <w:rFonts w:ascii="Arial" w:cs="Arial" w:eastAsia="Arial" w:hAnsi="Arial"/>
          <w:sz w:val="16"/>
          <w:szCs w:val="16"/>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3"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a particular invention;</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jc w:val="both"/>
        <w:ind w:left="1020" w:hanging="503"/>
        <w:spacing w:after="0" w:line="311"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Patent Protection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4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6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2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Trademarks, Trade Names and Trade Secrets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to building our product brand recognition.</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509"/>
        <w:spacing w:after="0" w:line="255" w:lineRule="auto"/>
        <w:rPr>
          <w:sz w:val="20"/>
          <w:szCs w:val="20"/>
          <w:color w:val="auto"/>
        </w:rPr>
      </w:pPr>
      <w:r>
        <w:rPr>
          <w:rFonts w:ascii="Arial" w:cs="Arial" w:eastAsia="Arial" w:hAnsi="Arial"/>
          <w:sz w:val="18"/>
          <w:szCs w:val="18"/>
          <w:color w:val="auto"/>
        </w:rPr>
        <w:t>In addition, during the trademark registration process, we may receive Office Actions from the USPTO or from comparable agencies in foreign jurisdictions refusing registration of our trademarks. For example, in April 2021 and October 2022, respectively, the USPTO issued preliminary office action refusals against our applications to register E3 LIGASE WHOLE BODY ATLAS and E3 HUMAN ATLAS and our K &amp; Design logo mark. While E3 LIGASE WHOLE BODY ATLAS and E3 HUMAN ATLAS have since been published and notices of allowance issued, we do not yet know whether the USPTO will issue a subsequent office action against our application for our logo mark, to which we will have to respond, and which we may not ultimately be able to overcome, or if this application will be approved for publication as well.</w:t>
      </w:r>
    </w:p>
    <w:p>
      <w:pPr>
        <w:spacing w:after="0" w:line="19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66"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6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Intellectual Property Litigation and Infringement Claims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both"/>
        <w:spacing w:after="0" w:line="270" w:lineRule="auto"/>
        <w:rPr>
          <w:sz w:val="20"/>
          <w:szCs w:val="20"/>
          <w:color w:val="auto"/>
        </w:rPr>
      </w:pPr>
      <w:r>
        <w:rPr>
          <w:rFonts w:ascii="Arial" w:cs="Arial" w:eastAsia="Arial" w:hAnsi="Arial"/>
          <w:sz w:val="17"/>
          <w:szCs w:val="17"/>
          <w:color w:val="auto"/>
        </w:rPr>
        <w:t>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8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7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the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the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or other technologies, are rightfully owned by their former or concurrent employer. Litigation may be necessary to defend against these claims.</w:t>
      </w:r>
    </w:p>
    <w:p>
      <w:pPr>
        <w:spacing w:after="0" w:line="18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62" w:lineRule="exact"/>
        <w:rPr>
          <w:sz w:val="20"/>
          <w:szCs w:val="20"/>
          <w:color w:val="auto"/>
        </w:rPr>
      </w:pPr>
    </w:p>
    <w:p>
      <w:pPr>
        <w:ind w:left="10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75" w:lineRule="exact"/>
        <w:rPr>
          <w:rFonts w:ascii="Arial" w:cs="Arial" w:eastAsia="Arial" w:hAnsi="Arial"/>
          <w:sz w:val="18"/>
          <w:szCs w:val="18"/>
          <w:color w:val="auto"/>
        </w:rPr>
      </w:pPr>
    </w:p>
    <w:p>
      <w:pPr>
        <w:jc w:val="both"/>
        <w:ind w:left="1020" w:hanging="503"/>
        <w:spacing w:after="0" w:line="23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or future product candidates, or from using our proprietary technologies, including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unless the third-party licenses its product rights to us, which it is not required to do on commercially reasonable terms or at all;</w:t>
      </w:r>
    </w:p>
    <w:p>
      <w:pPr>
        <w:spacing w:after="0" w:line="9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ind w:left="10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6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4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8"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may be impaired or delayed, which could in turn significantly harm our business. Even if we obtain a license, it may be nonexclusive, thereby giving our competitors access to the same technologies licensed to us.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2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6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Employee Matters and Managing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are highly dependent on the research and development, clinical and business development expertise of Nello Mainolfi, Ph.D., our President and Chief Executive Officer, Jared Gollob, M.D., our Chief Medical Officer, Bruce Jacobs, our Chief Financial Officer, Ellen Chiniara, our Chief Legal Officer and Jeremy Chadwick, our Chief Operating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As of September 30, 2023, we had 192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7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7"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Additionally, any unplanned event, such as flood, fire, explosion, earthquake, extreme weather condition, medical epidemics, including any potential effects from the current global spread of COVID-19,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such as the COVID-19 pandemic could further disrupt our operations, and have a material and adverse effect on our business, financial condition, results of operations and prospects. For example, we have instituted a temporary work from home policy for non-essential office personnel and it is possible that this could have a negative impact on the execution of our business plans and operations.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Data and Privacy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jc w:val="both"/>
        <w:ind w:right="20"/>
        <w:spacing w:after="0" w:line="277" w:lineRule="auto"/>
        <w:rPr>
          <w:sz w:val="20"/>
          <w:szCs w:val="20"/>
          <w:color w:val="auto"/>
        </w:rPr>
      </w:pPr>
      <w:r>
        <w:rPr>
          <w:rFonts w:ascii="Arial" w:cs="Arial" w:eastAsia="Arial" w:hAnsi="Arial"/>
          <w:sz w:val="18"/>
          <w:szCs w:val="18"/>
          <w:color w:val="auto"/>
        </w:rPr>
        <w:t>or future product candidates, or inappropriate disclosure of confidential or proprietary information, we could incur liabilities and the further development of our current or future product candidates could be delayed.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4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6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intend to sublease our current space in Watertown, Massachusetts for occupancy after we move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expect to begin occupying in December 2023. We intend to sublease our current space to third parties after we have completed the move to our new facility. In the event that we are unable to sublease our excess space on favorable terms, or at all, or if we are able to sublease our space but our subtenants fail to make lease payments to us or otherwise default on their obligations to us, we could incur unanticipated payment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developments related to COVID-19, the conflict between Russia and Ukraine and related sanctions against Russia, increasing inflation rates, and interest rate changes, which have resulted in decreased stock prices for many companies notwithstanding the lack of a fundamental change in their underlying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business models or prospects. As a result of this volatility, you may lose all or part of your investment. The market price for our common stock may be influenced by many factors, including:</w:t>
      </w:r>
    </w:p>
    <w:p>
      <w:pPr>
        <w:spacing w:after="0" w:line="62"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current or future product candidates or those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current or future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current or future product candidates or drugs;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regarding our collaboration agreements, including announcements regarding our collaboration agreement with Sanofi;</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00" w:lineRule="exact"/>
        <w:rPr>
          <w:sz w:val="20"/>
          <w:szCs w:val="20"/>
          <w:color w:val="auto"/>
        </w:rPr>
      </w:pPr>
    </w:p>
    <w:p>
      <w:pPr>
        <w:spacing w:after="0" w:line="24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9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9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of September 30, 2023, the existing holdings of our executive officers, directors, principal stockholders and their affiliates represent beneficial ownership, in the aggregate, of approximately 31%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p>
    <w:p>
      <w:pPr>
        <w:spacing w:after="0" w:line="1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4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8"/>
          <w:szCs w:val="18"/>
          <w:color w:val="auto"/>
        </w:rPr>
        <w:t>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8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As of December 31, 2022, we had federal and state net operating loss carryforwards of $153.9 million and $139.8 million, respectively, which begin to expire in various amounts in 2036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2022, we also had federal and state research and development tax credit carryforwards of $12.7 million and $6.1 million, respectively, which begin to expire in 2036.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 Risks Related to our Financial Position and Need for Additional Capital,” we have incurred significant net losses since our inception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18"/>
          <w:szCs w:val="18"/>
          <w:color w:val="auto"/>
        </w:rPr>
        <w:t>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Controls and Reporting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9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Charter and Bylaws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r>
        <w:rPr>
          <w:rFonts w:ascii="Arial" w:cs="Arial" w:eastAsia="Arial" w:hAnsi="Arial"/>
          <w:sz w:val="21"/>
          <w:szCs w:val="21"/>
          <w:color w:val="auto"/>
        </w:rPr>
        <w:t>:</w:t>
      </w:r>
    </w:p>
    <w:p>
      <w:pPr>
        <w:spacing w:after="0" w:line="65" w:lineRule="exact"/>
        <w:rPr>
          <w:sz w:val="20"/>
          <w:szCs w:val="20"/>
          <w:color w:val="auto"/>
        </w:rPr>
      </w:pPr>
    </w:p>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jc w:val="both"/>
        <w:ind w:left="1020" w:hanging="503"/>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7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2023, we did not have any sales of unregistered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trading arrangements for the purchase or sale of our securities entered into, modified or terminated by our Directors or Officers during the third quarter of 2023.</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gridSpan w:val="7"/>
            <w:vMerge w:val="restart"/>
          </w:tcPr>
          <w:p>
            <w:pPr>
              <w:ind w:left="3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4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4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40" w:type="dxa"/>
            <w:vAlign w:val="bottom"/>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94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20" w:hanging="1099"/>
        <w:spacing w:after="0"/>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Cover Page Interactive Data</w:t>
      </w:r>
    </w:p>
    <w:p>
      <w:pPr>
        <w:spacing w:after="0" w:line="211"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19030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Kymera Therapeutics, Inc.</w:t>
      </w:r>
    </w:p>
    <w:p>
      <w:pPr>
        <w:spacing w:after="0" w:line="252" w:lineRule="exact"/>
        <w:rPr>
          <w:sz w:val="20"/>
          <w:szCs w:val="20"/>
          <w:color w:val="auto"/>
        </w:rPr>
      </w:pPr>
    </w:p>
    <w:p>
      <w:pPr>
        <w:ind w:left="20"/>
        <w:spacing w:after="0"/>
        <w:tabs>
          <w:tab w:leader="none" w:pos="5560" w:val="left"/>
          <w:tab w:leader="none" w:pos="772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23495</wp:posOffset>
            </wp:positionV>
            <wp:extent cx="33172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Nello Mainolfi, Ph.D</w:t>
      </w:r>
      <w:r>
        <w:rPr>
          <w:rFonts w:ascii="Arial" w:cs="Arial" w:eastAsia="Arial" w:hAnsi="Arial"/>
          <w:sz w:val="18"/>
          <w:szCs w:val="18"/>
          <w:color w:val="auto"/>
        </w:rPr>
        <w:t>.</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1" w:lineRule="exact"/>
        <w:rPr>
          <w:sz w:val="20"/>
          <w:szCs w:val="20"/>
          <w:color w:val="auto"/>
        </w:rPr>
      </w:pPr>
    </w:p>
    <w:p>
      <w:pPr>
        <w:ind w:left="20"/>
        <w:spacing w:after="0"/>
        <w:tabs>
          <w:tab w:leader="none" w:pos="5560" w:val="left"/>
          <w:tab w:leader="none" w:pos="756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23495</wp:posOffset>
            </wp:positionV>
            <wp:extent cx="33172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Bruce Jacobs, CFA, MBA</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Kymera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72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Nello Mainolfi, Ph.D</w:t>
      </w:r>
      <w:r>
        <w:rPr>
          <w:rFonts w:ascii="Arial" w:cs="Arial" w:eastAsia="Arial" w:hAnsi="Arial"/>
          <w:sz w:val="18"/>
          <w:szCs w:val="18"/>
          <w:color w:val="auto"/>
        </w:rPr>
        <w: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Kymera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80" w:val="left"/>
          <w:tab w:leader="none" w:pos="756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Jacobs, CFO,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Bruce Jacobs, CFO, MBA</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In connection with the Quarterly Report of Kymera Therapeutics, Inc. (the “Company”) on Form 10-Q for the period ending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580" w:val="left"/>
          <w:tab w:leader="none" w:pos="766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33858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7"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Nello Mainolfi, Ph.D</w:t>
      </w:r>
      <w:r>
        <w:rPr>
          <w:rFonts w:ascii="Arial" w:cs="Arial" w:eastAsia="Arial" w:hAnsi="Arial"/>
          <w:sz w:val="18"/>
          <w:szCs w:val="18"/>
          <w:color w:val="auto"/>
        </w:rPr>
        <w:t>.</w:t>
      </w:r>
    </w:p>
    <w:p>
      <w:pPr>
        <w:spacing w:after="0" w:line="23"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In connection with the Quarterly Report of Kymera Therapeutics, Inc. (the “Company”) on Form 10-Q for the period ending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580" w:val="left"/>
          <w:tab w:leader="none" w:pos="750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33858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Bruce Jacobs, CFA, MBA</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3"/>
    </w:lvl>
  </w:abstractNum>
  <w:abstractNum w:abstractNumId="7">
    <w:nsid w:val="1E7FF521"/>
    <w:multiLevelType w:val="hybridMultilevel"/>
    <w:lvl w:ilvl="0">
      <w:lvlJc w:val="left"/>
      <w:lvlText w:val="%1."/>
      <w:numFmt w:val="decimal"/>
      <w:start w:val="474"/>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lowerRoman"/>
      <w:start w:val="2"/>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lvl w:ilvl="1">
      <w:lvlJc w:val="left"/>
      <w:lvlText w:val="%2"/>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2023-11-02T06:25:14Z</dcterms:created>
  <dcterms:modified xsi:type="dcterms:W3CDTF">2023-11-02T06:25:14Z</dcterms:modified>
</cp:coreProperties>
</file>