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6019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01916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Mainolfi Nello</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KYMERA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500 NORTH BEACON STREET, 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Kymera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KYMR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0" w:lineRule="exact"/>
        <w:rPr>
          <w:sz w:val="24"/>
          <w:szCs w:val="24"/>
          <w:color w:val="auto"/>
        </w:rPr>
      </w:pPr>
    </w:p>
    <w:p>
      <w:pPr>
        <w:sectPr>
          <w:pgSz w:w="11900" w:h="16838" w:orient="portrait"/>
          <w:cols w:equalWidth="0" w:num="3">
            <w:col w:w="3340" w:space="580"/>
            <w:col w:w="3100" w:space="720"/>
            <w:col w:w="3340"/>
          </w:cols>
          <w:pgMar w:left="460" w:top="217" w:right="359" w:bottom="0" w:gutter="0" w:footer="0" w:header="0"/>
          <w:type w:val="continuous"/>
        </w:sectPr>
      </w:pPr>
    </w:p>
    <w:p>
      <w:pPr>
        <w:spacing w:after="0" w:line="20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60"/>
            <w:col w:w="716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20"/>
              <w:spacing w:after="0" w:line="128"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jc w:val="center"/>
              <w:ind w:left="388"/>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88"/>
              <w:spacing w:after="0"/>
              <w:rPr>
                <w:sz w:val="20"/>
                <w:szCs w:val="20"/>
                <w:color w:val="auto"/>
              </w:rPr>
            </w:pPr>
            <w:r>
              <w:rPr>
                <w:rFonts w:ascii="Times New Roman" w:cs="Times New Roman" w:eastAsia="Times New Roman" w:hAnsi="Times New Roman"/>
                <w:sz w:val="17"/>
                <w:szCs w:val="17"/>
                <w:color w:val="0000FF"/>
                <w:w w:val="98"/>
              </w:rPr>
              <w:t>07/01/2026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tcPr>
          <w:p>
            <w:pPr>
              <w:jc w:val="center"/>
              <w:ind w:right="29"/>
              <w:spacing w:after="0"/>
              <w:rPr>
                <w:sz w:val="20"/>
                <w:szCs w:val="20"/>
                <w:color w:val="auto"/>
              </w:rPr>
            </w:pPr>
            <w:r>
              <w:rPr>
                <w:rFonts w:ascii="Times New Roman" w:cs="Times New Roman" w:eastAsia="Times New Roman" w:hAnsi="Times New Roman"/>
                <w:sz w:val="17"/>
                <w:szCs w:val="17"/>
                <w:color w:val="0000FF"/>
                <w:w w:val="98"/>
              </w:rPr>
              <w:t>80,000</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2.08</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2"/>
              </w:rPr>
              <w:t>746,568</w:t>
            </w:r>
            <w:r>
              <w:rPr>
                <w:rFonts w:ascii="Times New Roman" w:cs="Times New Roman" w:eastAsia="Times New Roman" w:hAnsi="Times New Roman"/>
                <w:sz w:val="21"/>
                <w:szCs w:val="21"/>
                <w:color w:val="008000"/>
                <w:w w:val="92"/>
                <w:vertAlign w:val="superscript"/>
              </w:rPr>
              <w:t>(2)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88"/>
              <w:spacing w:after="0"/>
              <w:rPr>
                <w:sz w:val="20"/>
                <w:szCs w:val="20"/>
                <w:color w:val="auto"/>
              </w:rPr>
            </w:pPr>
            <w:r>
              <w:rPr>
                <w:rFonts w:ascii="Times New Roman" w:cs="Times New Roman" w:eastAsia="Times New Roman" w:hAnsi="Times New Roman"/>
                <w:sz w:val="17"/>
                <w:szCs w:val="17"/>
                <w:color w:val="0000FF"/>
                <w:w w:val="98"/>
              </w:rPr>
              <w:t>07/01/2026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jc w:val="center"/>
              <w:ind w:right="29"/>
              <w:spacing w:after="0"/>
              <w:rPr>
                <w:sz w:val="20"/>
                <w:szCs w:val="20"/>
                <w:color w:val="auto"/>
              </w:rPr>
            </w:pPr>
            <w:r>
              <w:rPr>
                <w:rFonts w:ascii="Times New Roman" w:cs="Times New Roman" w:eastAsia="Times New Roman" w:hAnsi="Times New Roman"/>
                <w:sz w:val="17"/>
                <w:szCs w:val="17"/>
                <w:color w:val="0000FF"/>
                <w:w w:val="99"/>
              </w:rPr>
              <w:t>1,883</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112.8046</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744,685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88"/>
              <w:spacing w:after="0"/>
              <w:rPr>
                <w:sz w:val="20"/>
                <w:szCs w:val="20"/>
                <w:color w:val="auto"/>
              </w:rPr>
            </w:pPr>
            <w:r>
              <w:rPr>
                <w:rFonts w:ascii="Times New Roman" w:cs="Times New Roman" w:eastAsia="Times New Roman" w:hAnsi="Times New Roman"/>
                <w:sz w:val="17"/>
                <w:szCs w:val="17"/>
                <w:color w:val="0000FF"/>
                <w:w w:val="98"/>
              </w:rPr>
              <w:t>07/01/2026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jc w:val="center"/>
              <w:ind w:right="29"/>
              <w:spacing w:after="0"/>
              <w:rPr>
                <w:sz w:val="20"/>
                <w:szCs w:val="20"/>
                <w:color w:val="auto"/>
              </w:rPr>
            </w:pPr>
            <w:r>
              <w:rPr>
                <w:rFonts w:ascii="Times New Roman" w:cs="Times New Roman" w:eastAsia="Times New Roman" w:hAnsi="Times New Roman"/>
                <w:sz w:val="17"/>
                <w:szCs w:val="17"/>
                <w:color w:val="0000FF"/>
                <w:w w:val="99"/>
              </w:rPr>
              <w:t>6,626</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113.9758</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738,059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88"/>
              <w:spacing w:after="0"/>
              <w:rPr>
                <w:sz w:val="20"/>
                <w:szCs w:val="20"/>
                <w:color w:val="auto"/>
              </w:rPr>
            </w:pPr>
            <w:r>
              <w:rPr>
                <w:rFonts w:ascii="Times New Roman" w:cs="Times New Roman" w:eastAsia="Times New Roman" w:hAnsi="Times New Roman"/>
                <w:sz w:val="17"/>
                <w:szCs w:val="17"/>
                <w:color w:val="0000FF"/>
                <w:w w:val="98"/>
              </w:rPr>
              <w:t>07/01/2026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jc w:val="center"/>
              <w:ind w:right="29"/>
              <w:spacing w:after="0"/>
              <w:rPr>
                <w:sz w:val="20"/>
                <w:szCs w:val="20"/>
                <w:color w:val="auto"/>
              </w:rPr>
            </w:pPr>
            <w:r>
              <w:rPr>
                <w:rFonts w:ascii="Times New Roman" w:cs="Times New Roman" w:eastAsia="Times New Roman" w:hAnsi="Times New Roman"/>
                <w:sz w:val="17"/>
                <w:szCs w:val="17"/>
                <w:color w:val="0000FF"/>
                <w:w w:val="98"/>
              </w:rPr>
              <w:t>24,105</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114.9555</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713,954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88"/>
              <w:spacing w:after="0"/>
              <w:rPr>
                <w:sz w:val="20"/>
                <w:szCs w:val="20"/>
                <w:color w:val="auto"/>
              </w:rPr>
            </w:pPr>
            <w:r>
              <w:rPr>
                <w:rFonts w:ascii="Times New Roman" w:cs="Times New Roman" w:eastAsia="Times New Roman" w:hAnsi="Times New Roman"/>
                <w:sz w:val="17"/>
                <w:szCs w:val="17"/>
                <w:color w:val="0000FF"/>
                <w:w w:val="98"/>
              </w:rPr>
              <w:t>07/01/2026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jc w:val="center"/>
              <w:ind w:right="29"/>
              <w:spacing w:after="0"/>
              <w:rPr>
                <w:sz w:val="20"/>
                <w:szCs w:val="20"/>
                <w:color w:val="auto"/>
              </w:rPr>
            </w:pPr>
            <w:r>
              <w:rPr>
                <w:rFonts w:ascii="Times New Roman" w:cs="Times New Roman" w:eastAsia="Times New Roman" w:hAnsi="Times New Roman"/>
                <w:sz w:val="17"/>
                <w:szCs w:val="17"/>
                <w:color w:val="0000FF"/>
                <w:w w:val="98"/>
              </w:rPr>
              <w:t>44,050</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115.6883</w:t>
            </w:r>
            <w:r>
              <w:rPr>
                <w:rFonts w:ascii="Times New Roman" w:cs="Times New Roman" w:eastAsia="Times New Roman" w:hAnsi="Times New Roman"/>
                <w:sz w:val="21"/>
                <w:szCs w:val="21"/>
                <w:color w:val="008000"/>
                <w:w w:val="93"/>
                <w:vertAlign w:val="superscript"/>
              </w:rPr>
              <w:t>(6)</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669,904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88"/>
              <w:spacing w:after="0"/>
              <w:rPr>
                <w:sz w:val="20"/>
                <w:szCs w:val="20"/>
                <w:color w:val="auto"/>
              </w:rPr>
            </w:pPr>
            <w:r>
              <w:rPr>
                <w:rFonts w:ascii="Times New Roman" w:cs="Times New Roman" w:eastAsia="Times New Roman" w:hAnsi="Times New Roman"/>
                <w:sz w:val="17"/>
                <w:szCs w:val="17"/>
                <w:color w:val="0000FF"/>
                <w:w w:val="98"/>
              </w:rPr>
              <w:t>07/01/2026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jc w:val="center"/>
              <w:ind w:right="29"/>
              <w:spacing w:after="0"/>
              <w:rPr>
                <w:sz w:val="20"/>
                <w:szCs w:val="20"/>
                <w:color w:val="auto"/>
              </w:rPr>
            </w:pPr>
            <w:r>
              <w:rPr>
                <w:rFonts w:ascii="Times New Roman" w:cs="Times New Roman" w:eastAsia="Times New Roman" w:hAnsi="Times New Roman"/>
                <w:sz w:val="17"/>
                <w:szCs w:val="17"/>
                <w:color w:val="0000FF"/>
                <w:w w:val="99"/>
              </w:rPr>
              <w:t>3,336</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116.559</w:t>
            </w:r>
            <w:r>
              <w:rPr>
                <w:rFonts w:ascii="Times New Roman" w:cs="Times New Roman" w:eastAsia="Times New Roman" w:hAnsi="Times New Roman"/>
                <w:sz w:val="21"/>
                <w:szCs w:val="21"/>
                <w:color w:val="008000"/>
                <w:w w:val="93"/>
                <w:vertAlign w:val="superscript"/>
              </w:rPr>
              <w:t>(7)</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666,568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jc w:val="center"/>
              <w:ind w:right="31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ind w:left="2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7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40" w:type="dxa"/>
            <w:vAlign w:val="bottom"/>
          </w:tcPr>
          <w:p>
            <w:pPr>
              <w:ind w:left="20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2.08</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07/01/2026</w:t>
            </w:r>
          </w:p>
        </w:tc>
        <w:tc>
          <w:tcPr>
            <w:tcW w:w="1140" w:type="dxa"/>
            <w:vAlign w:val="bottom"/>
          </w:tcPr>
          <w:p>
            <w:pPr>
              <w:spacing w:after="0"/>
              <w:rPr>
                <w:sz w:val="16"/>
                <w:szCs w:val="16"/>
                <w:color w:val="auto"/>
              </w:rPr>
            </w:pPr>
          </w:p>
        </w:tc>
        <w:tc>
          <w:tcPr>
            <w:tcW w:w="40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20" w:type="dxa"/>
            <w:vAlign w:val="bottom"/>
          </w:tcPr>
          <w:p>
            <w:pPr>
              <w:spacing w:after="0"/>
              <w:rPr>
                <w:sz w:val="16"/>
                <w:szCs w:val="16"/>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0000FF"/>
              </w:rPr>
              <w:t>80,000</w:t>
            </w:r>
          </w:p>
        </w:tc>
        <w:tc>
          <w:tcPr>
            <w:tcW w:w="78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11/13/2029</w:t>
            </w:r>
          </w:p>
        </w:tc>
        <w:tc>
          <w:tcPr>
            <w:tcW w:w="124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perscript"/>
              </w:rPr>
              <w:t>Common</w:t>
            </w:r>
            <w:r>
              <w:rPr>
                <w:rFonts w:ascii="Times New Roman" w:cs="Times New Roman" w:eastAsia="Times New Roman" w:hAnsi="Times New Roman"/>
                <w:sz w:val="15"/>
                <w:szCs w:val="15"/>
                <w:color w:val="0000FF"/>
              </w:rPr>
              <w:t xml:space="preserve">  80,000</w:t>
            </w:r>
          </w:p>
        </w:tc>
        <w:tc>
          <w:tcPr>
            <w:tcW w:w="180" w:type="dxa"/>
            <w:vAlign w:val="bottom"/>
          </w:tcPr>
          <w:p>
            <w:pPr>
              <w:spacing w:after="0"/>
              <w:rPr>
                <w:sz w:val="16"/>
                <w:szCs w:val="16"/>
                <w:color w:val="auto"/>
              </w:rPr>
            </w:pPr>
          </w:p>
        </w:tc>
        <w:tc>
          <w:tcPr>
            <w:tcW w:w="50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80" w:type="dxa"/>
            <w:vAlign w:val="bottom"/>
          </w:tcPr>
          <w:p>
            <w:pPr>
              <w:ind w:left="260"/>
              <w:spacing w:after="0"/>
              <w:rPr>
                <w:sz w:val="20"/>
                <w:szCs w:val="20"/>
                <w:color w:val="auto"/>
              </w:rPr>
            </w:pPr>
            <w:r>
              <w:rPr>
                <w:rFonts w:ascii="Times New Roman" w:cs="Times New Roman" w:eastAsia="Times New Roman" w:hAnsi="Times New Roman"/>
                <w:sz w:val="13"/>
                <w:szCs w:val="13"/>
                <w:color w:val="0000FF"/>
                <w:w w:val="94"/>
              </w:rPr>
              <w:t>135,559</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ind w:left="18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transactions were effected pursuant to a Rule 10b5-1 trading plan dated March 24, 2026 adopted by the reporting person.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number includes 373 shares acquired under the Registrant's employee stock purchase plan.</w:t>
      </w:r>
    </w:p>
    <w:p>
      <w:pPr>
        <w:spacing w:after="0" w:line="43" w:lineRule="exact"/>
        <w:rPr>
          <w:rFonts w:ascii="Times New Roman" w:cs="Times New Roman" w:eastAsia="Times New Roman" w:hAnsi="Times New Roman"/>
          <w:sz w:val="13"/>
          <w:szCs w:val="13"/>
          <w:color w:val="008000"/>
        </w:rPr>
      </w:pPr>
    </w:p>
    <w:p>
      <w:pPr>
        <w:jc w:val="both"/>
        <w:ind w:left="40" w:right="1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$112.28 to $113.27,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jc w:val="both"/>
        <w:ind w:left="40" w:right="1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$113.36 to $114.23,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jc w:val="both"/>
        <w:ind w:left="40" w:right="1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$114.29 to $115.27,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jc w:val="both"/>
        <w:ind w:left="40" w:right="1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$115.31 to $116.23,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jc w:val="both"/>
        <w:ind w:left="40" w:right="1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$116.29 to $116.63,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stock option are fully vested and exercisable.</w:t>
      </w:r>
    </w:p>
    <w:p>
      <w:pPr>
        <w:sectPr>
          <w:pgSz w:w="11900" w:h="16838" w:orient="portrait"/>
          <w:cols w:equalWidth="0" w:num="1">
            <w:col w:w="11080"/>
          </w:cols>
          <w:pgMar w:left="460" w:top="217" w:right="359" w:bottom="0" w:gutter="0" w:footer="0" w:header="0"/>
          <w:type w:val="continuous"/>
        </w:sectPr>
      </w:pP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Bruce Jacobs,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-1905</wp:posOffset>
            </wp:positionV>
            <wp:extent cx="12738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spacing w:after="0" w:line="1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r>
    </w:p>
    <w:p>
      <w:pPr>
        <w:spacing w:after="0" w:line="31"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157"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ectPr>
          <w:pgSz w:w="11900" w:h="16838" w:orient="portrait"/>
          <w:cols w:equalWidth="0" w:num="2">
            <w:col w:w="8600" w:space="200"/>
            <w:col w:w="22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251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21189" TargetMode="External"/><Relationship Id="rId14" Type="http://schemas.openxmlformats.org/officeDocument/2006/relationships/hyperlink" Target="http://www.sec.gov/cgi-bin/browse-edgar?action=getcompany&amp;CIK=00018154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2026-07-02T17:31:14Z</dcterms:created>
  <dcterms:modified xsi:type="dcterms:W3CDTF">2026-07-02T17:31:14Z</dcterms:modified>
</cp:coreProperties>
</file>