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ymr-20260630.htm"/>
      <w:bookmarkStart w:id="1" w:name="kskymr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___________________ to ___________________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001-39460</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KYMERA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562" w:type="dxa"/>
        <w:jc w:val="left"/>
        <w:tblInd w:w="0" w:type="dxa"/>
        <w:tblLayout w:type="fixed"/>
        <w:tblCellMar>
          <w:top w:w="28" w:type="dxa"/>
          <w:left w:w="28" w:type="dxa"/>
          <w:bottom w:w="28" w:type="dxa"/>
          <w:right w:w="28" w:type="dxa"/>
        </w:tblCellMar>
      </w:tblPr>
      <w:tblGrid>
        <w:gridCol w:w="3076"/>
        <w:gridCol w:w="1486"/>
      </w:tblGrid>
      <w:tr>
        <w:trPr/>
        <w:tc>
          <w:tcPr>
            <w:tcW w:w="307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81-2992166</w:t>
            </w:r>
          </w:p>
        </w:tc>
      </w:tr>
      <w:tr>
        <w:trPr/>
        <w:tc>
          <w:tcPr>
            <w:tcW w:w="30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500 North Beacon Street, 4th Floor</w:t>
            </w:r>
          </w:p>
          <w:p>
            <w:pPr>
              <w:pStyle w:val="TableContents"/>
              <w:bidi w:val="0"/>
              <w:spacing w:before="0" w:after="283"/>
              <w:jc w:val="center"/>
              <w:rPr>
                <w:rFonts w:ascii="Times New Roman" w:hAnsi="Times New Roman"/>
                <w:sz w:val="20"/>
              </w:rPr>
            </w:pPr>
            <w:r>
              <w:rPr>
                <w:rFonts w:ascii="Times New Roman" w:hAnsi="Times New Roman"/>
                <w:b/>
                <w:color w:val="000000"/>
                <w:sz w:val="20"/>
              </w:rPr>
              <w:t>Watertown, Massachusetts</w:t>
            </w:r>
            <w:r>
              <w:rPr>
                <w:rFonts w:ascii="Times New Roman" w:hAnsi="Times New Roman"/>
                <w:color w:val="000000"/>
                <w:sz w:val="20"/>
              </w:rPr>
              <w:t xml:space="preserve">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(857) 285-5300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KYMR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The Nasdaq Global Market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31, 2026, the registrant had</w:t>
      </w:r>
      <w:r>
        <w:rPr>
          <w:rFonts w:ascii="Times New Roman" w:hAnsi="Times New Roman"/>
          <w:color w:val="000000"/>
          <w:sz w:val="20"/>
        </w:rPr>
        <w:t xml:space="preserve"> </w:t>
      </w:r>
      <w:r>
        <w:rPr>
          <w:rFonts w:ascii="Times New Roman" w:hAnsi="Times New Roman"/>
          <w:color w:val="000000"/>
          <w:sz w:val="18"/>
        </w:rPr>
        <w:t>83,150,618</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aps/>
          <w:color w:val="000000"/>
          <w:sz w:val="20"/>
        </w:rPr>
        <w:t>Summary of the Material and Other Risks Associated with Our Business</w:t>
      </w:r>
      <w:r>
        <w:rPr>
          <w:rFonts w:ascii="Times New Roman" w:hAnsi="Times New Roman"/>
          <w:color w:val="000000"/>
          <w:sz w:val="20"/>
        </w:rPr>
        <w:t xml:space="preserve"> </w:t>
      </w:r>
    </w:p>
    <w:p>
      <w:pPr>
        <w:pStyle w:val="TextBody"/>
        <w:bidi w:val="0"/>
        <w:spacing w:before="360" w:after="283"/>
        <w:jc w:val="both"/>
        <w:rPr>
          <w:color w:val="000000"/>
        </w:rPr>
      </w:pPr>
      <w:r>
        <w:rPr>
          <w:color w:val="000000"/>
        </w:rPr>
        <w:t>•</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We are a clinical stage company and that may make it difficult for our stockholders to evaluate the success of our business to date and to assess our future viability.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since our inception and anticipate that we will incur continued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very early in our development efforts and our product candidates, whether conducted by us or our collaborators, are in early clinical development. If we are unable to advance them through the clinic for safety or efficacy reasons or commercialize our product candidates or experience significant delays in doing so, our business will be materially harmed.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approach to the discovery and development of product candidates is novel and unproven, which makes it difficult to predict the time, cost of development and likelihood of successfully developing any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experience delays or difficulties in the initiation or enrollment of patients in clinical trials, our receipt of necessary regulatory approvals could be delayed or prevented.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pandemic, epidemic, or outbreak of an infectious disease may materially and adversely affect our business and our financial results and could cause a disruption to the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Unstable global economic and geopolitical conditions may have serious adverse consequences on our business, financial condition, stock price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Quarterly Report on Form 10-Q, or Quarterly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initiation, timing, progress, results, and cost of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to enable a rational and effective drug discovery and development engine;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the success of development efforts under the collaborations for our IRAK4 and CDK2 programs and clinical studies for our STAT6 and IRF5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submit investigational new drug applications (INDs) to the U.S. Food and Drug Administration, or FDA for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subsequent initiation of planned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identify research priorities and apply a risk-mitigated strategy to efficiently discover and develop product candidates, including by applying learnings from one program to other programs and from one modality to our other modalities;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potential ability to manufacture our drug substances, delivery vehicles, and product candidates for preclinical use, for clinical trials and on a larger scale for commercial use,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and willingness of our third-party strategic collaborators to continue research and development activities relating to our development candidates and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funding for our operations necessary to complete further development and commercialization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regulatory approval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commercialize our products,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implementation of our business model, and strategic plans for our business, product candidates,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estimates of our future expenses, revenues, capital requirements, and our needs for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benefits of strategic collaboration agreements, our ability to enter into strategic collaborations or arrangements, and our ability to attract collaborators with development, regulatory and commercialization expertise;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agreements with third parties in connection with the commercialization of product candidates and any other approved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and degree of market acceptance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produce our products or product candidates with advantages in turnaround times or manufacturing cost;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key scientific or management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relating to our competitors and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any pandemics, geopolitical conflicts or new or increased international tariffs, including mitigation efforts and economic effects, on any of the foregoing or other aspects of our business operations, including but not limited to our preclinical studies and future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equity">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both"/>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KYMERA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for share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2"/>
        <w:gridCol w:w="146"/>
        <w:gridCol w:w="196"/>
        <w:gridCol w:w="886"/>
        <w:gridCol w:w="166"/>
        <w:gridCol w:w="146"/>
        <w:gridCol w:w="196"/>
        <w:gridCol w:w="886"/>
        <w:gridCol w:w="591"/>
      </w:tblGrid>
      <w:tr>
        <w:trPr/>
        <w:tc>
          <w:tcPr>
            <w:tcW w:w="6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Marketable securities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491,265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871,214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Marketable securities, non-current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771,158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43,175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1,645,444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1,742,812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83,212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Finance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136,188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163,148</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$0.0001</w:t>
            </w:r>
            <w:r>
              <w:rPr>
                <w:rFonts w:ascii="Times New Roman" w:hAnsi="Times New Roman"/>
                <w:color w:val="000000"/>
                <w:sz w:val="20"/>
              </w:rPr>
              <w:t> </w:t>
            </w:r>
            <w:r>
              <w:rPr>
                <w:rFonts w:ascii="Times New Roman" w:hAnsi="Times New Roman"/>
                <w:color w:val="000000"/>
                <w:sz w:val="16"/>
              </w:rPr>
              <w:t>par value; 10,000,000</w:t>
            </w:r>
            <w:r>
              <w:rPr>
                <w:rFonts w:ascii="Times New Roman" w:hAnsi="Times New Roman"/>
                <w:color w:val="000000"/>
                <w:sz w:val="20"/>
              </w:rPr>
              <w:t> </w:t>
            </w:r>
            <w:r>
              <w:rPr>
                <w:rFonts w:ascii="Times New Roman" w:hAnsi="Times New Roman"/>
                <w:color w:val="000000"/>
                <w:sz w:val="16"/>
              </w:rPr>
              <w:t>shares authorized as of June 30, 2026 and December 31, 2025; 0</w:t>
            </w:r>
            <w:r>
              <w:rPr>
                <w:rFonts w:ascii="Times New Roman" w:hAnsi="Times New Roman"/>
                <w:color w:val="000000"/>
                <w:sz w:val="20"/>
              </w:rPr>
              <w:t> </w:t>
            </w:r>
            <w:r>
              <w:rPr>
                <w:rFonts w:ascii="Times New Roman" w:hAnsi="Times New Roman"/>
                <w:color w:val="000000"/>
                <w:sz w:val="16"/>
              </w:rPr>
              <w:t>shares issued and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150,000,000</w:t>
            </w:r>
            <w:r>
              <w:rPr>
                <w:rFonts w:ascii="Times New Roman" w:hAnsi="Times New Roman"/>
                <w:color w:val="000000"/>
                <w:sz w:val="20"/>
              </w:rPr>
              <w:t> </w:t>
            </w:r>
            <w:r>
              <w:rPr>
                <w:rFonts w:ascii="Times New Roman" w:hAnsi="Times New Roman"/>
                <w:color w:val="000000"/>
                <w:sz w:val="16"/>
              </w:rPr>
              <w:t>shares authorized at June 30, 2026 and December 31, 2025, 82,788,253</w:t>
            </w:r>
            <w:r>
              <w:rPr>
                <w:rFonts w:ascii="Times New Roman" w:hAnsi="Times New Roman"/>
                <w:color w:val="000000"/>
                <w:sz w:val="20"/>
              </w:rPr>
              <w:t> </w:t>
            </w:r>
            <w:r>
              <w:rPr>
                <w:rFonts w:ascii="Times New Roman" w:hAnsi="Times New Roman"/>
                <w:color w:val="000000"/>
                <w:sz w:val="16"/>
              </w:rPr>
              <w:t>and 81,323,532</w:t>
            </w:r>
            <w:r>
              <w:rPr>
                <w:rFonts w:ascii="Times New Roman" w:hAnsi="Times New Roman"/>
                <w:color w:val="000000"/>
                <w:sz w:val="20"/>
              </w:rPr>
              <w:t> </w:t>
            </w:r>
            <w:r>
              <w:rPr>
                <w:rFonts w:ascii="Times New Roman" w:hAnsi="Times New Roman"/>
                <w:color w:val="000000"/>
                <w:sz w:val="16"/>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2,643,817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(1,065,961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1,579,664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1,645,444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1,742,812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KYMERA THERAPEUTICS, INC</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78"/>
        <w:gridCol w:w="146"/>
        <w:gridCol w:w="211"/>
        <w:gridCol w:w="1036"/>
        <w:gridCol w:w="166"/>
        <w:gridCol w:w="146"/>
        <w:gridCol w:w="211"/>
        <w:gridCol w:w="1036"/>
        <w:gridCol w:w="166"/>
        <w:gridCol w:w="146"/>
        <w:gridCol w:w="211"/>
        <w:gridCol w:w="1036"/>
        <w:gridCol w:w="166"/>
        <w:gridCol w:w="146"/>
        <w:gridCol w:w="211"/>
        <w:gridCol w:w="1036"/>
        <w:gridCol w:w="166"/>
        <w:gridCol w:w="591"/>
      </w:tblGrid>
      <w:tr>
        <w:trPr/>
        <w:tc>
          <w:tcPr>
            <w:tcW w:w="3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140,607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259,128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192,559</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(76,614</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(130,445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stock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98,177,158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80,449,405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97,857,489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80,298,940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KYMERA THERAPEUTICS, INC.</w:t>
      </w:r>
    </w:p>
    <w:p>
      <w:pPr>
        <w:pStyle w:val="TextBody"/>
        <w:bidi w:val="0"/>
        <w:jc w:val="center"/>
        <w:rPr>
          <w:rFonts w:ascii="Times New Roman" w:hAnsi="Times New Roman"/>
          <w:sz w:val="20"/>
        </w:rPr>
      </w:pPr>
      <w:bookmarkStart w:id="6" w:name="condensed_consolidated_statements_conver"/>
      <w:bookmarkEnd w:id="6"/>
      <w:r>
        <w:rPr>
          <w:rFonts w:ascii="Times New Roman" w:hAnsi="Times New Roman"/>
          <w:b/>
          <w:color w:val="000000"/>
          <w:sz w:val="20"/>
        </w:rPr>
        <w:t>CONDENSED CONSOLIDATED STATEMENTS OF</w:t>
      </w:r>
      <w:bookmarkStart w:id="7" w:name="condensed_equity"/>
      <w:bookmarkEnd w:id="7"/>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June 30, 2026 and 2025</w:t>
      </w:r>
    </w:p>
    <w:p>
      <w:pPr>
        <w:pStyle w:val="TextBody"/>
        <w:bidi w:val="0"/>
        <w:jc w:val="center"/>
        <w:rPr>
          <w:rFonts w:ascii="Times New Roman" w:hAnsi="Times New Roman"/>
          <w:sz w:val="20"/>
        </w:rPr>
      </w:pPr>
      <w:r>
        <w:rPr>
          <w:rFonts w:ascii="Times New Roman" w:hAnsi="Times New Roman"/>
          <w:b/>
          <w:color w:val="000000"/>
          <w:sz w:val="20"/>
        </w:rPr>
        <w:t>(In thousands, except for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24"/>
        <w:gridCol w:w="146"/>
        <w:gridCol w:w="916"/>
        <w:gridCol w:w="146"/>
        <w:gridCol w:w="146"/>
        <w:gridCol w:w="196"/>
        <w:gridCol w:w="346"/>
        <w:gridCol w:w="146"/>
        <w:gridCol w:w="146"/>
        <w:gridCol w:w="196"/>
        <w:gridCol w:w="826"/>
        <w:gridCol w:w="146"/>
        <w:gridCol w:w="146"/>
        <w:gridCol w:w="196"/>
        <w:gridCol w:w="886"/>
        <w:gridCol w:w="166"/>
        <w:gridCol w:w="146"/>
        <w:gridCol w:w="310"/>
        <w:gridCol w:w="906"/>
        <w:gridCol w:w="166"/>
        <w:gridCol w:w="146"/>
        <w:gridCol w:w="199"/>
        <w:gridCol w:w="845"/>
        <w:gridCol w:w="213"/>
      </w:tblGrid>
      <w:tr>
        <w:trPr/>
        <w:tc>
          <w:tcPr>
            <w:tcW w:w="2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65,112,714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1,606,475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786,233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common stock and accompanying pre-funded warrants from June 2025 public offering, net of issuance costs of $13.5</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(76,614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70,557,442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971,480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82,182,101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2,679,018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1,539,637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(61,211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82,788,253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(1,196,406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1,509,256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KYMERA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sz w:val="20"/>
        </w:rPr>
      </w:pPr>
      <w:r>
        <w:rPr>
          <w:rFonts w:ascii="Times New Roman" w:hAnsi="Times New Roman"/>
          <w:b/>
          <w:color w:val="000000"/>
          <w:sz w:val="20"/>
        </w:rPr>
        <w:t>(In thousands, except for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72"/>
        <w:gridCol w:w="146"/>
        <w:gridCol w:w="916"/>
        <w:gridCol w:w="146"/>
        <w:gridCol w:w="196"/>
        <w:gridCol w:w="346"/>
        <w:gridCol w:w="146"/>
        <w:gridCol w:w="146"/>
        <w:gridCol w:w="196"/>
        <w:gridCol w:w="826"/>
        <w:gridCol w:w="146"/>
        <w:gridCol w:w="146"/>
        <w:gridCol w:w="196"/>
        <w:gridCol w:w="886"/>
        <w:gridCol w:w="166"/>
        <w:gridCol w:w="146"/>
        <w:gridCol w:w="310"/>
        <w:gridCol w:w="906"/>
        <w:gridCol w:w="166"/>
        <w:gridCol w:w="146"/>
        <w:gridCol w:w="199"/>
        <w:gridCol w:w="844"/>
        <w:gridCol w:w="212"/>
      </w:tblGrid>
      <w:tr>
        <w:trPr/>
        <w:tc>
          <w:tcPr>
            <w:tcW w:w="2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64,890,193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1,591,707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835,619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common stock and accompanying pre-funded warrants from June 2025 public offering, net of issuance costs of $13.5</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237,294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(142,195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70,557,442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971,480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81,323,532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1,579,664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32,577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34,945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(130,445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82,788,253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(1,196,406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1,509,256</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KYMERA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densed_consolidated_statements_cash_f"/>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242"/>
        <w:gridCol w:w="146"/>
        <w:gridCol w:w="196"/>
        <w:gridCol w:w="751"/>
        <w:gridCol w:w="166"/>
        <w:gridCol w:w="146"/>
        <w:gridCol w:w="196"/>
        <w:gridCol w:w="751"/>
        <w:gridCol w:w="611"/>
      </w:tblGrid>
      <w:tr>
        <w:trPr/>
        <w:tc>
          <w:tcPr>
            <w:tcW w:w="7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(142,195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Premiums and discounts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Contract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long 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(141,907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251,705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Issuance of common stock and accompanying pre-funded warrants from June 2025 public offering, net of issuance costs of $13.5</w:t>
            </w:r>
            <w:r>
              <w:rPr>
                <w:rFonts w:ascii="Times New Roman" w:hAnsi="Times New Roman"/>
                <w:color w:val="000000"/>
                <w:sz w:val="20"/>
              </w:rPr>
              <w:t> </w:t>
            </w:r>
            <w:r>
              <w:rPr>
                <w:rFonts w:ascii="Times New Roman" w:hAnsi="Times New Roman"/>
                <w:color w:val="000000"/>
                <w:sz w:val="18"/>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237,294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245,984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215,586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341,636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purchases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and equipment through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Offering costs included in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provides a reconciliation of the cash, cash equivalents, and restricted cash balances as of each of the periods shown above: </w:t>
      </w:r>
    </w:p>
    <w:p>
      <w:pPr>
        <w:pStyle w:val="TextBody"/>
        <w:bidi w:val="0"/>
        <w:jc w:val="both"/>
        <w:rPr/>
      </w:pPr>
      <w:r>
        <w:rPr/>
        <w:t> </w:t>
      </w:r>
    </w:p>
    <w:tbl>
      <w:tblPr>
        <w:tblW w:w="5884" w:type="dxa"/>
        <w:jc w:val="left"/>
        <w:tblInd w:w="0" w:type="dxa"/>
        <w:tblLayout w:type="fixed"/>
        <w:tblCellMar>
          <w:top w:w="28" w:type="dxa"/>
          <w:left w:w="28" w:type="dxa"/>
          <w:bottom w:w="28" w:type="dxa"/>
          <w:right w:w="28" w:type="dxa"/>
        </w:tblCellMar>
      </w:tblPr>
      <w:tblGrid>
        <w:gridCol w:w="3481"/>
        <w:gridCol w:w="146"/>
        <w:gridCol w:w="196"/>
        <w:gridCol w:w="691"/>
        <w:gridCol w:w="146"/>
        <w:gridCol w:w="146"/>
        <w:gridCol w:w="196"/>
        <w:gridCol w:w="691"/>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335,816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341,636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KYMERA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9" w:name="notes_to_condensed_consolidated_financia"/>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Nature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historical net losses and anticipates that it will continue to incur losses for the foreseeable future and had an accumulated deficit of $1,196 million as of June 30, 2026. The Company has funded these losses principally through the issuance and sale of its convertible preferred stock to outside investors and collaborators in private equity financings, its initial public offering, or IPO, follow-on offerings, Private Investment in Public Equity, or PIPE offering, and at-the market sales program as well as from cash proceeds received in connection with the Company’s corporate collaboration agreements (see Note 5). The Company expects to continue to incur operating losses and negative operating cash flows until such time as it generates a level of revenue that is sufficient to support its cost structure.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the Company had cash, cash equivalents and marketable securities of $1,505 million. The Company believes these cash, cash equivalents and marketable securities will be sufficient to fund its operations and capital expenditure requirements through at least twelve months from the issuance of these condensed consolidated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2025 Follow-on Public Offerings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On June 30, 2025, the Company issued and sold 5,044,500 shares of common stock at a public offering price of $44.00 per share. Additionally, in lieu of common stock to a certain investor, the Company issued and sold pre-funded warrants to purchase 655,500 shares of common stock at a public offering price of $43.9999 per pre-funded warrant, which represents the public offering price per share of common stock less the $0.0001 per share exercise price of each pre-funded warrant. The aggregate gross proceeds from this initial closing, before deducting underwriting discounts and commissions and other estimated offering expenses payable by the Company, were approximately $250.8 million. In July 2025, the Company completed the follow-on offering through the closing of the underwriters’ full exercise of their option to purchase an additional 855,000 shares of common stock. As a result, the total aggregate gross proceeds from this follow-on offering were approximately $288.4 million, before deducting underwriting discounts and commissions and other estimated offering expenses payable by the Company.</w:t>
      </w:r>
    </w:p>
    <w:p>
      <w:pPr>
        <w:pStyle w:val="TextBody"/>
        <w:bidi w:val="0"/>
        <w:jc w:val="both"/>
        <w:rPr>
          <w:rFonts w:ascii="Times New Roman" w:hAnsi="Times New Roman"/>
          <w:color w:val="000000"/>
          <w:sz w:val="20"/>
        </w:rPr>
      </w:pPr>
      <w:r>
        <w:rPr>
          <w:rFonts w:ascii="Times New Roman" w:hAnsi="Times New Roman"/>
          <w:color w:val="000000"/>
          <w:sz w:val="20"/>
        </w:rPr>
        <w:t>On December 10, 2025, the Company completed a follow-on offering of its common stock. The Company issued and sold 8,050,000 shares of common stock, including full exercise of the underwriters’ option to purchase an additional 1,050,000 shares, at a public offering price of $86.00 per share. The aggregate gross proceeds before deducting underwriting discounts and commissions, and other estimated offering expenses payable by the Company were approximately $692.3 million.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certain offerings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(or, at the election of the holder, 9.99%)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2026, no pre-funded warrants were exercised. As of June 30, 2026, there were 15,815,253 pre-funded warrants outstanding.</w:t>
      </w:r>
    </w:p>
    <w:p>
      <w:pPr>
        <w:pStyle w:val="TextBody"/>
        <w:bidi w:val="0"/>
        <w:spacing w:before="24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condensed consolidated financial statements reflect the application of certain significant accounting policies as described in this note, and elsewhere in the accompanying condensed consolidated financial statements and notes. </w:t>
      </w:r>
    </w:p>
    <w:p>
      <w:pPr>
        <w:pStyle w:val="TextBody"/>
        <w:bidi w:val="0"/>
        <w:spacing w:before="240" w:after="283"/>
        <w:jc w:val="both"/>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include the accounts of the Company and its wholly owned subsidiary Kymera Securities Corporation. All intercompany transactions and balances have been eliminated in consolidation.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condensed consolidated financial statements should be read in conjunction with the Company’s audited consolidated financial statements and the notes thereto for the year ended December 31, 2025 included in the Company’s Annual Report on Form 10-K, filed with the SEC on February 26, 2026.</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have been prepared on the same basis as the audited consolidated financial statements as of and for the year ended December 31, 2025, and, in the opinion of management, reflect all adjustments necessary, all of which were normal and recurring, for the fair statement of the Company’s financial position as of June 30, 2026, the results of operations and equity for the three and six months ended June 30, 2026 and 2025, and cash flows for the six months ended June 30, 2026 and 2025. The results for the three and six months ended June 30, 2026 are not necessarily indicative of the results for the year ended December 31, 2026 or for any future period.</w:t>
      </w:r>
    </w:p>
    <w:p>
      <w:pPr>
        <w:pStyle w:val="TextBody"/>
        <w:bidi w:val="0"/>
        <w:spacing w:before="120" w:after="283"/>
        <w:jc w:val="both"/>
        <w:rPr>
          <w:rFonts w:ascii="Times New Roman" w:hAnsi="Times New Roman"/>
          <w:sz w:val="20"/>
        </w:rPr>
      </w:pPr>
      <w:r>
        <w:rPr>
          <w:rFonts w:ascii="Times New Roman" w:hAnsi="Times New Roman"/>
          <w:b/>
          <w:i/>
          <w:color w:val="000000"/>
          <w:sz w:val="20"/>
        </w:rPr>
        <w:t>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significant accounting policies used in preparation of these condensed consolidated financial statements for the three and six months ended June 30, 2026 are consistent with those discussed in Note 2 to the consolidated financial statements in the 2025 Annual Report on Form 10-K except as discussed below.</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accounts for all stock-based awards granted to employees, directors, and nonemployees based on their fair value on the date of the grant and recognizes compensation expense for those awards over the requisite service period, which is generally the vesting period of the respective award. Stock-based payments include grants of stock options and restricted stock units. The measurement date for stock awards is the date of grant, and stock-based compensation costs are recognized as expense over the requisite service period, which is the vesting period, on a straight-line basis. The Company has issued stock options and restricted stock units with performance-based vesting conditions and records the expense for these awards if the Company concludes that it is probable that the performance condition will be achieved. Stock-based compensation is classified in the accompanying consolidated statements of operations and comprehensive loss based on the function to which the related services are provided. The Company recognizes stock-based compensation expense for the portion of awards that have vested. Forfeitures are accounted for as they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each stock option grant is estimated on the date of grant using the Black-Scholes options-pricing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The fair value of the underlying common shares equals the closing price of the Company’s stock on the date of grant. As the Company’s IPO was in 2020, the Company lacks a sufficient period of company-specific historical and implied volatility information. Therefore, it estimates its expected stock volatility based on the historical volatility of a publicly traded set of guideline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fair value of each restricted stock unit award is estimated on the date of grant based on the fair value of the Company’s common stock on that same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Compensation expense for discounted purchases under the employee stock purchase plan is measured using the Black-Scholes model to compute the fair value of the lookback provision plus the purchase discount and is recognized as compensation expense over the offering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performance conditions included in certain of the Company's restricted stock units awards and stock options that are based upon the achievement of pre-specified clinical development milestones. As the outcome of each event has inherent risk and uncertainties, and a positive outcome may not be known until the event is achieved, the Company begins to recognize the grant-date fair value of the performance-based restricted stock awards when it determines the achievement of each performance condition is deemed probable, a determination which requires significant judgment by management. On the date the performance condition is deemed probable, the Company records a cumulative expense catch-up, with remaining expense amortized over the remaining service period. The Company reassess the probability of achievement at each reporting period and adjusts cumulative expense as necessary.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Beginning in 2026, the structure of the performance award design was revised to include a relative total shareholder return (rTSR) approach such that certain awards are earned for the Company's rTSR performance over a three-year measurement period relative to a peer group of companies. The actual number of performance awards that will vest at the end of the performance period may be anywhere from zero to 200 percent of the target number of shares granted. The fair value of these awards is estimated using a Monte Carlo model. Expense related to these awards is recognized ratably over the measurement period. </w:t>
      </w:r>
    </w:p>
    <w:p>
      <w:pPr>
        <w:pStyle w:val="TextBody"/>
        <w:bidi w:val="0"/>
        <w:spacing w:before="120" w:after="283"/>
        <w:jc w:val="both"/>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which is intended to improve disclosures by requiring additional information about specific expense categories in the notes to the financial statements on an annual and interim basis. The standard will be effective for annual reporting periods beginning after December 15, 2026, and interim reporting periods beginning after December 15, 2027, with early adoption permitted. The standard updates may be applied on either a prospective or retrospective basis. We are currently evaluating the disclosure requirements related to this new standard.</w:t>
      </w:r>
    </w:p>
    <w:p>
      <w:pPr>
        <w:pStyle w:val="TextBody"/>
        <w:bidi w:val="0"/>
        <w:spacing w:before="12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and indicates the level of the fair value hierarchy utilized to determine such fair values as of June 30, 2026 and December 31, 2025 (in thousands):</w:t>
      </w:r>
    </w:p>
    <w:p>
      <w:pPr>
        <w:pStyle w:val="TextBody"/>
        <w:bidi w:val="0"/>
        <w:jc w:val="both"/>
        <w:rPr/>
      </w:pPr>
      <w:r>
        <w:rPr/>
        <w:t> </w:t>
      </w:r>
    </w:p>
    <w:tbl>
      <w:tblPr>
        <w:tblW w:w="8415" w:type="dxa"/>
        <w:jc w:val="left"/>
        <w:tblInd w:w="0" w:type="dxa"/>
        <w:tblLayout w:type="fixed"/>
        <w:tblCellMar>
          <w:top w:w="28" w:type="dxa"/>
          <w:left w:w="28" w:type="dxa"/>
          <w:bottom w:w="28" w:type="dxa"/>
          <w:right w:w="28" w:type="dxa"/>
        </w:tblCellMar>
      </w:tblPr>
      <w:tblGrid>
        <w:gridCol w:w="2896"/>
        <w:gridCol w:w="146"/>
        <w:gridCol w:w="211"/>
        <w:gridCol w:w="781"/>
        <w:gridCol w:w="146"/>
        <w:gridCol w:w="146"/>
        <w:gridCol w:w="211"/>
        <w:gridCol w:w="931"/>
        <w:gridCol w:w="146"/>
        <w:gridCol w:w="146"/>
        <w:gridCol w:w="239"/>
        <w:gridCol w:w="391"/>
        <w:gridCol w:w="146"/>
        <w:gridCol w:w="146"/>
        <w:gridCol w:w="211"/>
        <w:gridCol w:w="931"/>
        <w:gridCol w:w="5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115,958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293,310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396,809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1,505,773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265" w:type="dxa"/>
        <w:jc w:val="left"/>
        <w:tblInd w:w="0" w:type="dxa"/>
        <w:tblLayout w:type="fixed"/>
        <w:tblCellMar>
          <w:top w:w="28" w:type="dxa"/>
          <w:left w:w="28" w:type="dxa"/>
          <w:bottom w:w="28" w:type="dxa"/>
          <w:right w:w="28" w:type="dxa"/>
        </w:tblCellMar>
      </w:tblPr>
      <w:tblGrid>
        <w:gridCol w:w="2896"/>
        <w:gridCol w:w="146"/>
        <w:gridCol w:w="211"/>
        <w:gridCol w:w="781"/>
        <w:gridCol w:w="146"/>
        <w:gridCol w:w="146"/>
        <w:gridCol w:w="211"/>
        <w:gridCol w:w="781"/>
        <w:gridCol w:w="146"/>
        <w:gridCol w:w="146"/>
        <w:gridCol w:w="239"/>
        <w:gridCol w:w="391"/>
        <w:gridCol w:w="146"/>
        <w:gridCol w:w="146"/>
        <w:gridCol w:w="211"/>
        <w:gridCol w:w="931"/>
        <w:gridCol w:w="5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200,750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446,041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1,598,261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and the year ended December 31, 2025, there were no transfers in or out of Level 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4. Marketable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summarize the available-for-sale debt securities held at June 30, 2026 and December 31, 2025 (in thousands):</w:t>
      </w:r>
    </w:p>
    <w:tbl>
      <w:tblPr>
        <w:tblW w:w="8020" w:type="dxa"/>
        <w:jc w:val="left"/>
        <w:tblInd w:w="0" w:type="dxa"/>
        <w:tblLayout w:type="fixed"/>
        <w:tblCellMar>
          <w:top w:w="28" w:type="dxa"/>
          <w:left w:w="28" w:type="dxa"/>
          <w:bottom w:w="28" w:type="dxa"/>
          <w:right w:w="28" w:type="dxa"/>
        </w:tblCellMar>
      </w:tblPr>
      <w:tblGrid>
        <w:gridCol w:w="2331"/>
        <w:gridCol w:w="146"/>
        <w:gridCol w:w="211"/>
        <w:gridCol w:w="931"/>
        <w:gridCol w:w="146"/>
        <w:gridCol w:w="146"/>
        <w:gridCol w:w="335"/>
        <w:gridCol w:w="551"/>
        <w:gridCol w:w="146"/>
        <w:gridCol w:w="146"/>
        <w:gridCol w:w="222"/>
        <w:gridCol w:w="664"/>
        <w:gridCol w:w="166"/>
        <w:gridCol w:w="146"/>
        <w:gridCol w:w="211"/>
        <w:gridCol w:w="931"/>
        <w:gridCol w:w="591"/>
      </w:tblGrid>
      <w:tr>
        <w:trPr/>
        <w:tc>
          <w:tcPr>
            <w:tcW w:w="2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693,481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690,119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1,380,409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020" w:type="dxa"/>
        <w:jc w:val="left"/>
        <w:tblInd w:w="0" w:type="dxa"/>
        <w:tblLayout w:type="fixed"/>
        <w:tblCellMar>
          <w:top w:w="28" w:type="dxa"/>
          <w:left w:w="28" w:type="dxa"/>
          <w:bottom w:w="28" w:type="dxa"/>
          <w:right w:w="28" w:type="dxa"/>
        </w:tblCellMar>
      </w:tblPr>
      <w:tblGrid>
        <w:gridCol w:w="2331"/>
        <w:gridCol w:w="146"/>
        <w:gridCol w:w="211"/>
        <w:gridCol w:w="931"/>
        <w:gridCol w:w="146"/>
        <w:gridCol w:w="146"/>
        <w:gridCol w:w="239"/>
        <w:gridCol w:w="647"/>
        <w:gridCol w:w="146"/>
        <w:gridCol w:w="146"/>
        <w:gridCol w:w="270"/>
        <w:gridCol w:w="616"/>
        <w:gridCol w:w="166"/>
        <w:gridCol w:w="146"/>
        <w:gridCol w:w="211"/>
        <w:gridCol w:w="931"/>
        <w:gridCol w:w="591"/>
      </w:tblGrid>
      <w:tr>
        <w:trPr/>
        <w:tc>
          <w:tcPr>
            <w:tcW w:w="2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1,260,621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1,262,423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the Company held 354 securities that had been in an unrealized loss position for less than 12 months with an aggregate fair value of $1.2 billion. As of December 31, 2025, the Company held 120 securities that had been in an unrealized loss position for less than 12 months with an aggregate fair value of $389.1 million. As of June 30, 2026, the Company held 6 securities that had been in an unrealized loss position for greater than 12 months with an aggregate value of $14.2 million. As of December 31, 2025, the Company held 7 securities that had been in an unrealized loss position for greater than 12 months with an aggregate fair value of $16.3 million. </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June 30, 2026 the Company had 170 securities with a fair value of $566.5 million with a contractual maturity of less than 12 months and 231 securities with a fair value of $813.9 million with a contractual maturity of greater than 12 months. As of December 31, 2025, the Company had 141 securities with a fair value of $491.3 million with a contractual maturity of less than 12 months and 232 securities with a fair value of $771.2 million with a contractual maturity of greater than 12 months.</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Unrealized losses on available-for-sale securities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June 30, 2026 and December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 Collaborations</w:t>
      </w:r>
    </w:p>
    <w:p>
      <w:pPr>
        <w:pStyle w:val="TextBody"/>
        <w:bidi w:val="0"/>
        <w:spacing w:before="120" w:after="283"/>
        <w:jc w:val="both"/>
        <w:rPr>
          <w:rFonts w:ascii="Times New Roman" w:hAnsi="Times New Roman"/>
          <w:sz w:val="20"/>
        </w:rPr>
      </w:pPr>
      <w:r>
        <w:rPr>
          <w:rFonts w:ascii="Times New Roman" w:hAnsi="Times New Roman"/>
          <w:b/>
          <w:i/>
          <w:color w:val="000000"/>
          <w:sz w:val="20"/>
        </w:rPr>
        <w:t>Gilead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Agreement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June 25, 2025, the Company entered into an exclusive option and license agreement (the “Gilead Agreement”) with Gilead Sciences, Inc. (“Gilead”), to collaborate on developing novel molecular glue degraders directed against cyclin-dependent kinase 2 (“CDK2”). Under the Gilead Agreement, the Company granted to Gilead an exclusive option, exercisable during a defined option period, to exercise an exclusive, worldwide license to develop, manufacture, and commercialize certain CDK2 degraders generated under the collaboration.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Gilead Agreement, the Company was responsible for all discovery and preclinical research activities through the delivery of a complete data package as defined in the agreement. After receiving the complete data package, Gilead exercised its option to license the program and now has global rights to develop, manufacture and commercialize all products resulting from the collaboration.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option exercise, the Gilead Agreement will expire on a product-by-product and country-by-country basis upon the expiration of all royalty obligations under the agreement. Gilead may terminate the agreement for convenience upon advance written notice. Each party may also terminate the agreement for material breach, insolvency, and the agreement may be terminated for certain other customary reasons, including Gilead’s right to terminate certain provisions of the agreement following a change of control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consideration for the exclusive option and rights granted under the Gilead Agreement, the Company received a non-refundable upfront payment of $40.0 million. In addition, upon Gilead's exercise of the option in April 2026, the Company received an option exercise payment of $45.0 million and will be eligible to receive up to $665.0 million upon the achievement of certain development, regulatory and commercial milestones. The Company is also eligible to receive tiered royalties on net sales by Gilead ranging from high single-digit to mid-teen percentages, subject to customary reductions in certain circumstances.</w:t>
      </w:r>
    </w:p>
    <w:p>
      <w:pPr>
        <w:pStyle w:val="TextBody"/>
        <w:bidi w:val="0"/>
        <w:spacing w:before="160" w:after="283"/>
        <w:jc w:val="both"/>
        <w:rPr>
          <w:rFonts w:ascii="Times New Roman" w:hAnsi="Times New Roman"/>
          <w:sz w:val="20"/>
        </w:rPr>
      </w:pPr>
      <w:r>
        <w:rPr>
          <w:rFonts w:ascii="Times New Roman" w:hAnsi="Times New Roman"/>
          <w:i/>
          <w:color w:val="000000"/>
          <w:sz w:val="20"/>
        </w:rPr>
        <w:t>Accounting Treatment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evaluated the Gilead Agreement under ASC 606, Revenue from Contracts with Customers, and determined that the arrangement represents a contract with a customer. The Company identified the following material promises under the Gilead Agreement: (1) the discovery and preclinical research activities and (2) an option granting Gilead the right to acquire an exclusive license to the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option to acquire an exclusive license to the program was evaluated as a material right. The Company determined that the option to acquire an exclusive license in the future was not priced at a discount, and that the option exercise fee is at or above the standalone selling price for research at this stage of development; as such, the options and the underlying licenses are excluded from the performance obligation and the option exercise fees were excluded from the initial transaction price until the underlying option was exercised. That is, one performance obligation was identified, the discovery and preclinical research activities. The Company recognized revenue associated with the performance obligation as the discovery and preclinical research activities were provided using an input method, according to costs incurred and the costs expected to be incurred in the future to satisfy that individual performance obligation. The transfer of control occurred over this time period and, in management’s judgment, was the best measure of progress towards satisfying each performance obligation.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determined the total transaction price to be $40.0 million, which represents the upfront payment. The option exercise payment and all future milestone and royalty payments were excluded from the initial transaction price as they were contingent on future events and were deemed constrained due to the uncertainty of achievement and the Company’s limited control over their occurrence.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Gilead's exercise of its exclusive license under the agreement, the performance obligation associated with the agreement has been fully satisfied as of June 30, 2026. Accordingly, all future milestone payments will be recognized as revenue in full when deemed probable and unconstrained.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three months ended June 30, 2026, the Company recognized $45.0 million of revenue under the Gilead Agreement related to the April 2026 option exercise fee, none of which was included in deferred revenue as of December 31, 2025. For the three months ended June 30, 2025, the Company did not recognize any revenue under the Gilead Agreement. For the six months ended June 30, 2026, the Company recognized $79.4 million in revenue under the Gilead Agreement, $34.4 million of which was recorded in deferred revenue as of December 31, 2025. For the six months ended June 30, 2025, the Company did not recognize any revenue under the Gilead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Agreement. The aggregate amount of the transaction price allocated to the Company’s unsatisfied performance obligations and recorded in deferred revenue as of June 30, 2026 and December 31, 2025 was $0 and $34.4 million, respectively. This decrease was the result of revenue recognized in the current fiscal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all remaining milestone payments were constrained as the achievement of such milestones are contingent upon the success of activities and decisions that are generally outside the control of the Company. Any amounts related to the option exercise fee or milestone payments will be included in the transaction price and recognized on a cumulative catch-up basis when the risk of revenue reversal is resolved. Royalties and commercial milestone payments, if any, will be recognized at the later of when the related sales occur or when the associated performance obligation has been satisfied.</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Sanofi Agreement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Agreement Terms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pursuant to the Sanofi Agreement, Sanofi will grant to the Company an exclusive option, or Opt-In Right, exercisable on a collaboration target-by-collaboration target basis that will include the right to (i)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We will further be eligible to receive tiered royalties on net sales ranging from the high single digits to high teens, subject to low-single digits upward adjustments in certain circumstances.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 Further, in July 2024, the Company announced that Sanofi intends to expand the ongoing Phase 2 trials to more rapidly progress towards pivotal studies with the intention of accelerating overall timelines. In the first quarter of 2025, the Company achieved a development milestone related to certain preclinical activities associated with the IRAK4 program. In connection with this milestone the Company unconstrained $20.0 million of consideration in the first quarter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September 2023, the Company and Sanofi mutually agreed to cease activities related to Collaboration Target 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June 2025, Sanofi communicated its decision to exercise its full participation election under the terms of the companies’ collaboration agreement, and to advance KT-485/SAR447971, into clinical testing. As a result, Sanofi stopped development of KT-474. In June 2026, Sanofi informed the Company that the first participant was dosed in the first-in-human Phase 1 clinical trial evaluating KT-485/SAR447971, resulting in the achievement of a $20 million milestone.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IRAK4 program, the Company remains eligible to receive up to an additional $955 million in development and commercial milestones upon the achievement of certain developmental or regulatory events and upon the achievement of certain net sales thresholds.</w:t>
      </w:r>
    </w:p>
    <w:p>
      <w:pPr>
        <w:pStyle w:val="TextBody"/>
        <w:bidi w:val="0"/>
        <w:spacing w:before="160" w:after="283"/>
        <w:jc w:val="both"/>
        <w:rPr>
          <w:rFonts w:ascii="Times New Roman" w:hAnsi="Times New Roman"/>
          <w:sz w:val="20"/>
        </w:rPr>
      </w:pPr>
      <w:r>
        <w:rPr>
          <w:rFonts w:ascii="Times New Roman" w:hAnsi="Times New Roman"/>
          <w:i/>
          <w:color w:val="000000"/>
          <w:sz w:val="20"/>
        </w:rPr>
        <w:t>Accounting Treatment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analyzed the discovery and preclinical research activities as well as the exclusive license grants under the Sanofi Agreement and concluded that the arrangement was indicative of a vendor-customer relationship and would be accounted for under ASC 606.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the total transaction price to be $150.0 million, which consists solely of the upfront payment. All milestone payments and option payments were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allocated the upfront payment to each performance obligation based on the relative standalone selling price, as follows: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Collaboration Target 1: $120.0</w:t>
      </w:r>
      <w:r>
        <w:rPr>
          <w:color w:val="000000"/>
        </w:rPr>
        <w:t xml:space="preserve"> </w:t>
      </w:r>
      <w:r>
        <w:rPr>
          <w:rFonts w:ascii="Times New Roman" w:hAnsi="Times New Roman"/>
          <w:color w:val="000000"/>
          <w:sz w:val="20"/>
        </w:rPr>
        <w:t>million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Collaboration Target 2: $30.0</w:t>
      </w:r>
      <w:r>
        <w:rPr>
          <w:color w:val="000000"/>
        </w:rPr>
        <w:t xml:space="preserve"> </w:t>
      </w:r>
      <w:r>
        <w:rPr>
          <w:rFonts w:ascii="Times New Roman" w:hAnsi="Times New Roman"/>
          <w:color w:val="000000"/>
          <w:sz w:val="20"/>
        </w:rPr>
        <w:t>million</w:t>
      </w:r>
    </w:p>
    <w:p>
      <w:pPr>
        <w:pStyle w:val="TextBody"/>
        <w:bidi w:val="0"/>
        <w:spacing w:before="240" w:after="280"/>
        <w:jc w:val="both"/>
        <w:rPr>
          <w:rFonts w:ascii="Times New Roman" w:hAnsi="Times New Roman"/>
          <w:color w:val="000000"/>
          <w:sz w:val="20"/>
        </w:rPr>
      </w:pPr>
      <w:r>
        <w:rPr>
          <w:rFonts w:ascii="Times New Roman" w:hAnsi="Times New Roman"/>
          <w:color w:val="000000"/>
          <w:sz w:val="20"/>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Prior to the full satisfaction of the Company's performance obligations, milestone and reimbursement consideration added to the transaction price were recognized as revenue with a cumulative catch-up upon becoming unconstrained. Subsequent to the satisfaction of the Company's performance obligations, milestone and reimbursement consideration will be recognized as revenue in full when deemed probable and unconstrained.</w:t>
      </w:r>
    </w:p>
    <w:p>
      <w:pPr>
        <w:pStyle w:val="TextBody"/>
        <w:bidi w:val="0"/>
        <w:spacing w:before="0" w:after="280"/>
        <w:jc w:val="both"/>
        <w:rPr>
          <w:rFonts w:ascii="Times New Roman" w:hAnsi="Times New Roman"/>
          <w:color w:val="000000"/>
          <w:sz w:val="20"/>
        </w:rPr>
      </w:pPr>
      <w:r>
        <w:rPr>
          <w:rFonts w:ascii="Times New Roman" w:hAnsi="Times New Roman"/>
          <w:color w:val="000000"/>
          <w:sz w:val="20"/>
        </w:rPr>
        <w:t xml:space="preserve">With Sanofi's exercise of its full participation election under the agreement for Collaboration Target 1 in June of 2025, the performance obligations associated with Collaboration Target 1 &amp; Collaboration Target 2 have been fully satisfied. </w:t>
      </w:r>
    </w:p>
    <w:p>
      <w:pPr>
        <w:pStyle w:val="TextBody"/>
        <w:bidi w:val="0"/>
        <w:spacing w:before="0" w:after="280"/>
        <w:jc w:val="both"/>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$20.0 million of revenue under the Sanofi Agreement. All of this amount relates to a milestone achieved in the second quarter of 2026, triggered by the first participant dosed in the first-in-human Phase 1 clinical trial evaluating KT-485/SAR447971. In the three and six months ended June 30, 2025, the Company recognized $11.5 million and $33.6 million in revenue under the Sanofi Agreement, respectively, all of which was associated with Collaboration Target 1. The aggregate amount of the transaction price allocated to the Company’s unsatisfied performance obligations and recorded in deferred revenue was $0 at both June 30, 2026 and December 31, 2025. </w:t>
      </w:r>
    </w:p>
    <w:p>
      <w:pPr>
        <w:pStyle w:val="TextBody"/>
        <w:bidi w:val="0"/>
        <w:spacing w:before="0" w:after="280"/>
        <w:jc w:val="both"/>
        <w:rPr>
          <w:rFonts w:ascii="Times New Roman" w:hAnsi="Times New Roman"/>
          <w:color w:val="000000"/>
          <w:sz w:val="20"/>
        </w:rPr>
      </w:pPr>
      <w:r>
        <w:rPr>
          <w:rFonts w:ascii="Times New Roman" w:hAnsi="Times New Roman"/>
          <w:color w:val="000000"/>
          <w:sz w:val="20"/>
        </w:rPr>
        <w:t>In the fourth quarter of 2023, the Company achieved two development milestones relating to the dosing of the first patient in the KT-474 Phase 2 clinical trials for the first and second indications, respectively. In connection with these milestones the Company unconstrained $55.0 million of consideration in the fourth quarter of 2023. In the first quarter of 2025, the Company achieved a development milestone related to certain preclinical activities associated with the IRAK4 program. During the three and six month periods ended June 30, 2025, the Company recognized $3.7 million and $23.6 million of revenue from the unconstrained milestones, respectively. As of June 30, 2025, all of the $75.0 million of consideration had been recorded as revenue.</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changes in accounts receivable, contract assets and contract liabilities for the six months ended June 30, 2026 (in thousands):</w:t>
      </w:r>
    </w:p>
    <w:p>
      <w:pPr>
        <w:pStyle w:val="TextBody"/>
        <w:bidi w:val="0"/>
        <w:jc w:val="both"/>
        <w:rPr/>
      </w:pPr>
      <w:r>
        <w:rPr/>
        <w:t> </w:t>
      </w:r>
    </w:p>
    <w:tbl>
      <w:tblPr>
        <w:tblW w:w="9458" w:type="dxa"/>
        <w:jc w:val="left"/>
        <w:tblInd w:w="0" w:type="dxa"/>
        <w:tblLayout w:type="fixed"/>
        <w:tblCellMar>
          <w:top w:w="28" w:type="dxa"/>
          <w:left w:w="28" w:type="dxa"/>
          <w:bottom w:w="28" w:type="dxa"/>
          <w:right w:w="28" w:type="dxa"/>
        </w:tblCellMar>
      </w:tblPr>
      <w:tblGrid>
        <w:gridCol w:w="3766"/>
        <w:gridCol w:w="146"/>
        <w:gridCol w:w="357"/>
        <w:gridCol w:w="1143"/>
        <w:gridCol w:w="146"/>
        <w:gridCol w:w="146"/>
        <w:gridCol w:w="211"/>
        <w:gridCol w:w="676"/>
        <w:gridCol w:w="146"/>
        <w:gridCol w:w="146"/>
        <w:gridCol w:w="211"/>
        <w:gridCol w:w="736"/>
        <w:gridCol w:w="166"/>
        <w:gridCol w:w="146"/>
        <w:gridCol w:w="267"/>
        <w:gridCol w:w="858"/>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and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Billed receivables – Sanofi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Billed receivables – Gilead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 and 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Gilead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6. Property and Equipment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consisted of the following as of June 30, 2026 and December 31, 2025 (in thousands): </w:t>
      </w:r>
    </w:p>
    <w:p>
      <w:pPr>
        <w:pStyle w:val="TextBody"/>
        <w:bidi w:val="0"/>
        <w:jc w:val="left"/>
        <w:rPr/>
      </w:pPr>
      <w:r>
        <w:rPr/>
        <w:t> </w:t>
      </w:r>
    </w:p>
    <w:tbl>
      <w:tblPr>
        <w:tblW w:w="7497" w:type="dxa"/>
        <w:jc w:val="left"/>
        <w:tblInd w:w="0" w:type="dxa"/>
        <w:tblLayout w:type="fixed"/>
        <w:tblCellMar>
          <w:top w:w="28" w:type="dxa"/>
          <w:left w:w="28" w:type="dxa"/>
          <w:bottom w:w="28" w:type="dxa"/>
          <w:right w:w="28" w:type="dxa"/>
        </w:tblCellMar>
      </w:tblPr>
      <w:tblGrid>
        <w:gridCol w:w="4786"/>
        <w:gridCol w:w="146"/>
        <w:gridCol w:w="211"/>
        <w:gridCol w:w="736"/>
        <w:gridCol w:w="166"/>
        <w:gridCol w:w="146"/>
        <w:gridCol w:w="244"/>
        <w:gridCol w:w="851"/>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and office equipment under finance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&amp;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65,302</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expense for the three months ended June 30, 2026 and 2025 was $1.6 million and $1.7 million, respectively. Depreciation expense for the six months ended June 30, 2026 and 2025 was $3.2 million and $3.3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Included in property and equipment is lab and office equipment right-of-use assets under finance leases with a cost basis of $6.5 million and $6.5 million and accumulated amortization expense of $4.3 million and $3.5 million as of June 30, 2026 and December 31,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Amortization expense related to right-of-use assets during the three months ended June 30, 2026 and 2025 was $0.4 million and $0.4 million, respectively. Amortization expense related to right-of-use assets during the six months ended June 30, 2026 and 2025 was $0.9 million and $0.7 million, respectively.</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7. Leases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2019, the Company entered into a noncancelable facility lease agreement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which is recorded in restricted cash as of June 30, 2026 and December 31, 2025. The letter of credit totaled $1.3 million and $1.3 million as of June 30, 2026 and December 31,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December 2021, the Company entered into a noncancelable lease (the “2021 Lease”) for 100,624 square feet of office and laboratory space in Watertown, Massachusetts, which the Company began occupying in February 2024.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connection with the signing of the 2021 Lease, the Company issued a letter of credit for $4.5 million which is classified as restricted cash as of June 30, 2026 and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concluded the improvements paid for by the landlord in connection with the tenant improvement allowance represent lessee assets and therefore recorded $20.1 million of leasehold improvements in property and equipment. The Company recorded an additional $17.9 million of leasehold improvements in excess of the tenant improvement allowance, all of which were placed in service in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occupancy of the 2021 Lease facility in February of 2024, the Company exited the 2019 Lease facility and began looking to sublease the entire facility for the remaining noncancellable lease term through March 31, 2030. These actions resulted in impairment charges to date of $8.8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impairment charge reduces the carrying value of the associated ROU asset, leasehold improvements and certain furniture and fixture assets that remained in the facility to their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finance lease obligations consist of certain property and equipment financed through finance leases.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components of the lease costs for the three and six months ended June 30, 2026 and 2025, were as follows (in thousands): </w:t>
      </w:r>
    </w:p>
    <w:p>
      <w:pPr>
        <w:pStyle w:val="TextBody"/>
        <w:bidi w:val="0"/>
        <w:jc w:val="left"/>
        <w:rPr/>
      </w:pPr>
      <w:r>
        <w:rPr/>
        <w:t> </w:t>
      </w:r>
    </w:p>
    <w:tbl>
      <w:tblPr>
        <w:tblW w:w="8867" w:type="dxa"/>
        <w:jc w:val="left"/>
        <w:tblInd w:w="0" w:type="dxa"/>
        <w:tblLayout w:type="fixed"/>
        <w:tblCellMar>
          <w:top w:w="28" w:type="dxa"/>
          <w:left w:w="28" w:type="dxa"/>
          <w:bottom w:w="28" w:type="dxa"/>
          <w:right w:w="28" w:type="dxa"/>
        </w:tblCellMar>
      </w:tblPr>
      <w:tblGrid>
        <w:gridCol w:w="4326"/>
        <w:gridCol w:w="146"/>
        <w:gridCol w:w="211"/>
        <w:gridCol w:w="571"/>
        <w:gridCol w:w="146"/>
        <w:gridCol w:w="146"/>
        <w:gridCol w:w="211"/>
        <w:gridCol w:w="571"/>
        <w:gridCol w:w="146"/>
        <w:gridCol w:w="146"/>
        <w:gridCol w:w="211"/>
        <w:gridCol w:w="571"/>
        <w:gridCol w:w="146"/>
        <w:gridCol w:w="146"/>
        <w:gridCol w:w="211"/>
        <w:gridCol w:w="571"/>
        <w:gridCol w:w="391"/>
      </w:tblGrid>
      <w:tr>
        <w:trPr/>
        <w:tc>
          <w:tcPr>
            <w:tcW w:w="4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right-to-use assets,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for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Supplemental cash flow information relating to the Company’s leases for the six months ended June 30, 2026 and 2025, were as follows (in thousands): </w:t>
      </w:r>
    </w:p>
    <w:p>
      <w:pPr>
        <w:pStyle w:val="TextBody"/>
        <w:bidi w:val="0"/>
        <w:jc w:val="left"/>
        <w:rPr/>
      </w:pPr>
      <w:r>
        <w:rPr/>
        <w:t> </w:t>
      </w:r>
    </w:p>
    <w:tbl>
      <w:tblPr>
        <w:tblW w:w="6914" w:type="dxa"/>
        <w:jc w:val="left"/>
        <w:tblInd w:w="0" w:type="dxa"/>
        <w:tblLayout w:type="fixed"/>
        <w:tblCellMar>
          <w:top w:w="28" w:type="dxa"/>
          <w:left w:w="28" w:type="dxa"/>
          <w:bottom w:w="28" w:type="dxa"/>
          <w:right w:w="28" w:type="dxa"/>
        </w:tblCellMar>
      </w:tblPr>
      <w:tblGrid>
        <w:gridCol w:w="4321"/>
        <w:gridCol w:w="346"/>
        <w:gridCol w:w="211"/>
        <w:gridCol w:w="571"/>
        <w:gridCol w:w="146"/>
        <w:gridCol w:w="146"/>
        <w:gridCol w:w="211"/>
        <w:gridCol w:w="571"/>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w:t>
              <w:br/>
              <w:t>   of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used in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used in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used in 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Weighted average remaining lease terms and discount rates as of June 30, 2026 and 2025 were as follows: </w:t>
      </w:r>
    </w:p>
    <w:p>
      <w:pPr>
        <w:pStyle w:val="TextBody"/>
        <w:bidi w:val="0"/>
        <w:jc w:val="left"/>
        <w:rPr/>
      </w:pPr>
      <w:r>
        <w:rPr/>
        <w:t> </w:t>
      </w:r>
    </w:p>
    <w:tbl>
      <w:tblPr>
        <w:tblW w:w="4877" w:type="dxa"/>
        <w:jc w:val="left"/>
        <w:tblInd w:w="0" w:type="dxa"/>
        <w:tblLayout w:type="fixed"/>
        <w:tblCellMar>
          <w:top w:w="28" w:type="dxa"/>
          <w:left w:w="28" w:type="dxa"/>
          <w:bottom w:w="28" w:type="dxa"/>
          <w:right w:w="28" w:type="dxa"/>
        </w:tblCellMar>
      </w:tblPr>
      <w:tblGrid>
        <w:gridCol w:w="1936"/>
        <w:gridCol w:w="146"/>
        <w:gridCol w:w="222"/>
        <w:gridCol w:w="709"/>
        <w:gridCol w:w="271"/>
        <w:gridCol w:w="146"/>
        <w:gridCol w:w="222"/>
        <w:gridCol w:w="709"/>
        <w:gridCol w:w="51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 years</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 years</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undiscounted future lease payments for operating and finance leases as of June 30, 2026, were as follows (in thousands): </w:t>
      </w:r>
    </w:p>
    <w:p>
      <w:pPr>
        <w:pStyle w:val="TextBody"/>
        <w:bidi w:val="0"/>
        <w:jc w:val="left"/>
        <w:rPr/>
      </w:pPr>
      <w:r>
        <w:rPr/>
        <w:t> </w:t>
      </w:r>
    </w:p>
    <w:tbl>
      <w:tblPr>
        <w:tblW w:w="6929" w:type="dxa"/>
        <w:jc w:val="left"/>
        <w:tblInd w:w="0" w:type="dxa"/>
        <w:tblLayout w:type="fixed"/>
        <w:tblCellMar>
          <w:top w:w="28" w:type="dxa"/>
          <w:left w:w="28" w:type="dxa"/>
          <w:bottom w:w="28" w:type="dxa"/>
          <w:right w:w="28" w:type="dxa"/>
        </w:tblCellMar>
      </w:tblPr>
      <w:tblGrid>
        <w:gridCol w:w="4486"/>
        <w:gridCol w:w="146"/>
        <w:gridCol w:w="211"/>
        <w:gridCol w:w="781"/>
        <w:gridCol w:w="166"/>
        <w:gridCol w:w="146"/>
        <w:gridCol w:w="211"/>
        <w:gridCol w:w="57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(excluding the first half)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representing interest or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8. Accrued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Accrued expenses consisted of the following as of June 30, 2026 and December 31, 2025 (in thousands): </w:t>
      </w:r>
    </w:p>
    <w:p>
      <w:pPr>
        <w:pStyle w:val="TextBody"/>
        <w:bidi w:val="0"/>
        <w:jc w:val="both"/>
        <w:rPr/>
      </w:pPr>
      <w:r>
        <w:rPr/>
        <w:t> </w:t>
      </w:r>
    </w:p>
    <w:tbl>
      <w:tblPr>
        <w:tblW w:w="5702" w:type="dxa"/>
        <w:jc w:val="left"/>
        <w:tblInd w:w="0" w:type="dxa"/>
        <w:tblLayout w:type="fixed"/>
        <w:tblCellMar>
          <w:top w:w="28" w:type="dxa"/>
          <w:left w:w="28" w:type="dxa"/>
          <w:bottom w:w="28" w:type="dxa"/>
          <w:right w:w="28" w:type="dxa"/>
        </w:tblCellMar>
      </w:tblPr>
      <w:tblGrid>
        <w:gridCol w:w="3091"/>
        <w:gridCol w:w="146"/>
        <w:gridCol w:w="211"/>
        <w:gridCol w:w="676"/>
        <w:gridCol w:w="146"/>
        <w:gridCol w:w="146"/>
        <w:gridCol w:w="260"/>
        <w:gridCol w:w="835"/>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payroll-related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9. Other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 </w:t>
      </w:r>
    </w:p>
    <w:p>
      <w:pPr>
        <w:pStyle w:val="TextBody"/>
        <w:bidi w:val="0"/>
        <w:spacing w:before="120" w:after="283"/>
        <w:jc w:val="both"/>
        <w:rPr>
          <w:rFonts w:ascii="Times New Roman" w:hAnsi="Times New Roman"/>
          <w:sz w:val="20"/>
        </w:rPr>
      </w:pPr>
      <w:r>
        <w:rPr>
          <w:rFonts w:ascii="Times New Roman" w:hAnsi="Times New Roman"/>
          <w:b/>
          <w:i/>
          <w:color w:val="000000"/>
          <w:sz w:val="20"/>
        </w:rPr>
        <w:t>Indemnification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June 30, 2026 or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10. Equity-Based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2018 Stock Option and Grant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pStyle w:val="TextBody"/>
        <w:bidi w:val="0"/>
        <w:spacing w:before="120" w:after="283"/>
        <w:jc w:val="both"/>
        <w:rPr>
          <w:rFonts w:ascii="Times New Roman" w:hAnsi="Times New Roman"/>
          <w:sz w:val="20"/>
        </w:rPr>
      </w:pPr>
      <w:r>
        <w:rPr>
          <w:rFonts w:ascii="Times New Roman" w:hAnsi="Times New Roman"/>
          <w:b/>
          <w:i/>
          <w:color w:val="000000"/>
          <w:sz w:val="20"/>
        </w:rPr>
        <w:t>2020 Stock Option and Incentive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The 2020 Plan provides that the number of shares reserved and available for issuance will automatically increase on January 1, 2021 and each January 1 thereafter, by 4% of the Company’s outstanding number of shares of common stock on the immediately preceding December 31, or such lesser number of shares as determined by the Company’s compensation committee. These limits are subject to adjustment in the event of a stock split, stock dividend or other change in the Company’s capitalization. In June 2024, in connection with the Company's 2024 annual shareholder meeting, shareholders approved an amendment to the 2020 stock option plan that redefined the definition of common stock outstanding for the purposes of calculating the annual increase to the shares available for issuance. After the amendment, outstanding equity includes all outstanding common shares as well as outstanding pre-funded warrants. As of June 30, 2026, there were an aggregate of 6,464,760 shares remaining available for future grants. </w:t>
      </w:r>
    </w:p>
    <w:p>
      <w:pPr>
        <w:pStyle w:val="TextBody"/>
        <w:bidi w:val="0"/>
        <w:spacing w:before="120" w:after="283"/>
        <w:jc w:val="both"/>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2020 Employee Stock Purchase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2020, the Company and its stockholders approved the 2020 Employee Stock Purchase Plan (the “2020 ESPP”), which became effective August 20, 2020. The 2020 ESPP initially reserved and authorized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lesser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June 30, 2026, there were an aggregate 2,716,358 shares remaining available for future grants.</w:t>
      </w:r>
    </w:p>
    <w:p>
      <w:pPr>
        <w:pStyle w:val="TextBody"/>
        <w:bidi w:val="0"/>
        <w:spacing w:before="360" w:after="283"/>
        <w:jc w:val="both"/>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summary of stock option activity under the 2020 Plan for service and performance based vesting conditions during the six months ended June 30, 2026 is as follows (in thousands except share and per share data): </w:t>
      </w:r>
    </w:p>
    <w:p>
      <w:pPr>
        <w:pStyle w:val="TextBody"/>
        <w:bidi w:val="0"/>
        <w:jc w:val="both"/>
        <w:rPr/>
      </w:pPr>
      <w:r>
        <w:rPr/>
        <w:t> </w:t>
      </w:r>
    </w:p>
    <w:tbl>
      <w:tblPr>
        <w:tblW w:w="8290" w:type="dxa"/>
        <w:jc w:val="left"/>
        <w:tblInd w:w="0" w:type="dxa"/>
        <w:tblLayout w:type="fixed"/>
        <w:tblCellMar>
          <w:top w:w="28" w:type="dxa"/>
          <w:left w:w="28" w:type="dxa"/>
          <w:bottom w:w="28" w:type="dxa"/>
          <w:right w:w="28" w:type="dxa"/>
        </w:tblCellMar>
      </w:tblPr>
      <w:tblGrid>
        <w:gridCol w:w="2941"/>
        <w:gridCol w:w="146"/>
        <w:gridCol w:w="146"/>
        <w:gridCol w:w="991"/>
        <w:gridCol w:w="166"/>
        <w:gridCol w:w="146"/>
        <w:gridCol w:w="214"/>
        <w:gridCol w:w="582"/>
        <w:gridCol w:w="146"/>
        <w:gridCol w:w="146"/>
        <w:gridCol w:w="236"/>
        <w:gridCol w:w="755"/>
        <w:gridCol w:w="146"/>
        <w:gridCol w:w="146"/>
        <w:gridCol w:w="211"/>
        <w:gridCol w:w="78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Strike</w:t>
              <w:br/>
              <w:t>Price per</w:t>
              <w:br/>
              <w:t>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9,003,748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intrinsic value of stock options exercised during the three months ended June 30, 2026 and 2025 was $37.2 million and $5.3 million, respectively. The intrinsic value of stock options exercised during the six months ended June 30, 2026 and 2025 was $70.5 million and $7.4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fair value of options granted during the three months ended June 30, 2026 and 2025 was $59.06 and $25.46 respectively. The weighted-average fair value of options granted during the six months ended June 30, 2026 and 2025 was $62.36 and $21.80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total unrecognized stock-based compensation expense for unvested stock options was $110.3 million, with a weighted average recognition period of 3.2 years.</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Performance Stock Options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2025 Performance 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first quarter of 2025, the Company began granting performance stock options, or PSOs, under the Company’s 2020 Stock Option and Incentive Plan to certain key employees of the Company, including the Company’s executive officers and management team. The total number of PSOs that may vest will range from 0 to a maximum of 100% of the target number of options granted. The PSOs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the third clinical milestones will result in the vesting of 20% of the target amount. None of the PSOs with respect to the clinical milestone objective may vest prior to the first anniversary of the grant date. During the three and six months ended June 30, 2026, the Company did not grant any PSOs in relation to the 2025 PSO Grant. During the three and six months ended June 30, 2025 the Company granted 0 and 88,000 PSOs in relation to the 2025 PSO Grant, respectively, with a weighted average strike price of $30.17. As of June 30, 2026 there are 88,000 PSOs outstanding with a weighted average strike price of $30.17. As of June 30, 2026 the Company has concluded that it is not deemed probable that the clinical milestone based performance conditions will be achieved, and as such, no equity-based compensation has been recorded for PSOs.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2026 Performance 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the Company granted 0 and 95,000 PSOs in relation to the 2026 PSO Grant, respectively. During the three and six months ended June 30, 2025 the Company granted 0 PSOs in relation to the 2026 PSO Grant. The total number of PSOs that may vest will range from 0 to a maximum of 100% of the target number of options granted. The PSOs will vest in three separate installments subject to the achievement of two clinical milestones, and a third condition around relative Total Shareholder Return (“TSR”) of the Company’s Common Stock. Specifically, the achievement of the first clinical milestone will result in the vesting of 60% of the target amount, and the achievement of the second clinical milestone will result in the vesting of 15% of the target amount. None of the PSOs with respect to the clinical milestone objective may vest prior to the first anniversary of the grant date. As of June 30, 2026, the Company has concluded that it is not deemed probable that the clinical milestone based performance conditions for the 2026 PSOs will be achieved, and as such, no equity-based compensation has been recorded for clinical milestone portion of the 2026 PSOs.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25% of target PSOs earned will be based on the relative TSR of the Company’s common stock as compared to the TSR of the members of the S&amp;P Biotechnology Select Industry Index ("XBI") over a three-year performance period from January 1, 2026 to December 31, 2028. Depending on the results relative to the TSR market condition, the holders may earn from 0% to 200% of the target amount of shares which will vest at the end of the performance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PSOs will be forfeited if the performance conditions are not achieved at the end of the relative performance periods as described above. The vesting of the PSOs can also be triggered upon certain change in control events. The weighted-average grant date fair values of the PSOs relating to the TSR component were $97.53 per share. Stock-based compensation expense recognized for the PSOs relating to the TSR components were approximately $0.2 million and $0 for the three months ended June 30, 2026 and 2025, respectively. Stock-based compensation expense recognized for the PSOs relating to the TSR components were approximately $0.3 million and $0 for the six months ended June 30, 2026 and 2025, respectively. The measurement period for the TSR portion of the 2026 PSOs have not been met, and as such no shares have become exercisable. The Company estimated the fair values of shares granted under the market-based TSR PSOs using a Monte Carlo simulation model with the following assumptions:</w:t>
      </w:r>
    </w:p>
    <w:p>
      <w:pPr>
        <w:pStyle w:val="TextBody"/>
        <w:bidi w:val="0"/>
        <w:spacing w:before="240" w:after="283"/>
        <w:jc w:val="both"/>
        <w:rPr/>
      </w:pPr>
      <w:r>
        <w:rPr/>
        <w:t> </w:t>
      </w:r>
    </w:p>
    <w:tbl>
      <w:tblPr>
        <w:tblW w:w="2774" w:type="dxa"/>
        <w:jc w:val="left"/>
        <w:tblInd w:w="0" w:type="dxa"/>
        <w:tblLayout w:type="fixed"/>
        <w:tblCellMar>
          <w:top w:w="28" w:type="dxa"/>
          <w:left w:w="28" w:type="dxa"/>
          <w:bottom w:w="28" w:type="dxa"/>
          <w:right w:w="28" w:type="dxa"/>
        </w:tblCellMar>
      </w:tblPr>
      <w:tblGrid>
        <w:gridCol w:w="1846"/>
        <w:gridCol w:w="146"/>
        <w:gridCol w:w="46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outlines our equity-based compensation expense for stock options for the three and six months ended June 30, 2026 and 2025:</w:t>
      </w:r>
    </w:p>
    <w:p>
      <w:pPr>
        <w:pStyle w:val="TextBody"/>
        <w:bidi w:val="0"/>
        <w:jc w:val="both"/>
        <w:rPr/>
      </w:pPr>
      <w:r>
        <w:rPr/>
        <w:t> </w:t>
      </w:r>
    </w:p>
    <w:tbl>
      <w:tblPr>
        <w:tblW w:w="7597" w:type="dxa"/>
        <w:jc w:val="left"/>
        <w:tblInd w:w="0" w:type="dxa"/>
        <w:tblLayout w:type="fixed"/>
        <w:tblCellMar>
          <w:top w:w="28" w:type="dxa"/>
          <w:left w:w="28" w:type="dxa"/>
          <w:bottom w:w="28" w:type="dxa"/>
          <w:right w:w="28" w:type="dxa"/>
        </w:tblCellMar>
      </w:tblPr>
      <w:tblGrid>
        <w:gridCol w:w="2836"/>
        <w:gridCol w:w="146"/>
        <w:gridCol w:w="211"/>
        <w:gridCol w:w="676"/>
        <w:gridCol w:w="146"/>
        <w:gridCol w:w="146"/>
        <w:gridCol w:w="211"/>
        <w:gridCol w:w="676"/>
        <w:gridCol w:w="146"/>
        <w:gridCol w:w="146"/>
        <w:gridCol w:w="211"/>
        <w:gridCol w:w="676"/>
        <w:gridCol w:w="146"/>
        <w:gridCol w:w="146"/>
        <w:gridCol w:w="211"/>
        <w:gridCol w:w="67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weighted-average assumptions that the Company used in the Black-Scholes option pricing model to determine the grant date fair value of stock options granted to employees and non-employees for the three and six months ended June 30, 2026 and 2025 were as follows: </w:t>
      </w:r>
    </w:p>
    <w:p>
      <w:pPr>
        <w:pStyle w:val="TextBody"/>
        <w:bidi w:val="0"/>
        <w:jc w:val="center"/>
        <w:rPr/>
      </w:pPr>
      <w:r>
        <w:rPr/>
        <w:t> </w:t>
      </w:r>
    </w:p>
    <w:tbl>
      <w:tblPr>
        <w:tblW w:w="6247" w:type="dxa"/>
        <w:jc w:val="left"/>
        <w:tblInd w:w="0" w:type="dxa"/>
        <w:tblLayout w:type="fixed"/>
        <w:tblCellMar>
          <w:top w:w="28" w:type="dxa"/>
          <w:left w:w="28" w:type="dxa"/>
          <w:bottom w:w="28" w:type="dxa"/>
          <w:right w:w="28" w:type="dxa"/>
        </w:tblCellMar>
      </w:tblPr>
      <w:tblGrid>
        <w:gridCol w:w="2086"/>
        <w:gridCol w:w="146"/>
        <w:gridCol w:w="146"/>
        <w:gridCol w:w="466"/>
        <w:gridCol w:w="271"/>
        <w:gridCol w:w="146"/>
        <w:gridCol w:w="146"/>
        <w:gridCol w:w="466"/>
        <w:gridCol w:w="271"/>
        <w:gridCol w:w="146"/>
        <w:gridCol w:w="146"/>
        <w:gridCol w:w="466"/>
        <w:gridCol w:w="271"/>
        <w:gridCol w:w="146"/>
        <w:gridCol w:w="146"/>
        <w:gridCol w:w="466"/>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granted shares of restricted stock units with service-based and performance-based vesting conditions. A summary of restricted stock activity during the six months ended June 30, 2026 is as follows: </w:t>
      </w:r>
    </w:p>
    <w:p>
      <w:pPr>
        <w:pStyle w:val="TextBody"/>
        <w:bidi w:val="0"/>
        <w:jc w:val="left"/>
        <w:rPr/>
      </w:pPr>
      <w:r>
        <w:rPr/>
        <w:t> </w:t>
      </w:r>
    </w:p>
    <w:tbl>
      <w:tblPr>
        <w:tblW w:w="5572" w:type="dxa"/>
        <w:jc w:val="left"/>
        <w:tblInd w:w="0" w:type="dxa"/>
        <w:tblLayout w:type="fixed"/>
        <w:tblCellMar>
          <w:top w:w="28" w:type="dxa"/>
          <w:left w:w="28" w:type="dxa"/>
          <w:bottom w:w="28" w:type="dxa"/>
          <w:right w:w="28" w:type="dxa"/>
        </w:tblCellMar>
      </w:tblPr>
      <w:tblGrid>
        <w:gridCol w:w="2701"/>
        <w:gridCol w:w="146"/>
        <w:gridCol w:w="146"/>
        <w:gridCol w:w="931"/>
        <w:gridCol w:w="166"/>
        <w:gridCol w:w="146"/>
        <w:gridCol w:w="255"/>
        <w:gridCol w:w="690"/>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Units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br/>
              <w:t>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2025 Performance Stock Units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first quarter of 2025, the Company began granting restricted stocks units with performance-based vesting conditions, or performance stock units ("PSUs") under the Company’s 2020 Stock Option and Incentive Plan to certain key employees of the Company, including the Company’s named executive officers and management team. Specifically, in the three and six months ended June 30, 2025, the Company granted 0 and 285,723 PSUs, respectively. The total number of PSUs that may vest will range from 0 to a maximum of 100% of the target number of units granted. The 2025 PSUs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third clinical milestones will result in the vesting of 20% of the Target Amount. None of the PSUs with respect to the clinical milestone objective may vest prior to the first anniversary of the grant date. As of June 30, 2026 the Company has concluded that it is not deemed probable that the clinical milestone based performance conditions for the 2025 PSUs will be achieved, and as such, no equity-based compensation has been recorded for the 2025 PSUs.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2026 Performance Stock Units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first quarter of 2026, the Company granted PSUs to certain key employees. The total number of PSUs that may vest will range from 0 to a maximum of 100% of the target number of units granted. The PSUs will vest in three separate installments subject to the achievement of two clinical milestones, and a third condition around relative TSR of the Company’s Common Stock. Specifically, the achievement of the first clinical milestone will result in the vesting of 60% of the target amount, and the achievement of the second clinical milestone will result in the vesting of 15% of the target amount. None of the PSUs with respect to the clinical milestone objective may vest prior to the first anniversary of the grant date. Specifically, in the three and six months ended June 30, 2026, the Company granted 0 and 73,672 PSUs, respectively. As of June 30, 2026, the Company has concluded that it is not deemed probable that the clinical milestone based performance conditions for the 2026 PSUs will be achieved, and as such, no equity-based compensation has been recorded for clinical milestone portion of the 2026 PSUs.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25% of target PSUs earned will be based on the relative TSR of the Company’s common stock as compared to the TSR of the members of the XBI over a three-year performance period from January 1, 2026 to December 31, 2028. Depending on the results relative to the TSR market condition, the holders may earn from 0% to 200% of the target amount of shares which will vest at the end of the performance period. The PSUs will be forfeited if the performance conditions are not achieved at the end of the relative performance periods as described above. The vesting of the PSUs can also be triggered upon certain change in control events. The weighted-average grant date fair values of the PSUs relating to the TSR component was $126.09 per share. Stock-based compensation expense recognized for the PSUs relating to the TSR component was approximately $0.2 million and $0.3 million, respectively for the three and six months ended June 30, 2026. The measurement period for the TSR portion of the 2026 PSUs has not been met, and as such no shares have become exercisable. The Company estimated the fair values of shares granted under the market-based TSR PSUs using a Monte Carlo simulation model with the following assumptions:</w:t>
      </w:r>
    </w:p>
    <w:p>
      <w:pPr>
        <w:pStyle w:val="TextBody"/>
        <w:bidi w:val="0"/>
        <w:spacing w:before="240" w:after="283"/>
        <w:jc w:val="both"/>
        <w:rPr/>
      </w:pPr>
      <w:r>
        <w:rPr/>
        <w:t> </w:t>
      </w:r>
    </w:p>
    <w:tbl>
      <w:tblPr>
        <w:tblW w:w="2774" w:type="dxa"/>
        <w:jc w:val="left"/>
        <w:tblInd w:w="0" w:type="dxa"/>
        <w:tblLayout w:type="fixed"/>
        <w:tblCellMar>
          <w:top w:w="28" w:type="dxa"/>
          <w:left w:w="28" w:type="dxa"/>
          <w:bottom w:w="28" w:type="dxa"/>
          <w:right w:w="28" w:type="dxa"/>
        </w:tblCellMar>
      </w:tblPr>
      <w:tblGrid>
        <w:gridCol w:w="1846"/>
        <w:gridCol w:w="146"/>
        <w:gridCol w:w="46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June 30, 2026, the Company granted 78,725 and 0 restricted stock units with service and performance based vesting conditions respectively. During the six months ended June 30, 2026, the Company granted 422,967 and 73,672 restricted stock units with service and performance based vesting conditions respectively. During the three months ended June 30, 2025, the Company granted 191,300 and 0 restricted stock units with service and performance based vesting conditions respectively. During the six months ended June 30, 2025, the company granted 519,100 and 285,723 restricted stock units with service and performance based vesting conditions respectively. As of June 30, 2026, the total unrecognized stock-based compensation expense for unvested restricted stock with service based vesting conditions was $56.2 million with a weighted average recognition period of 3.9 years.</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June 30, 2026 the Company recognized approximately $5.2 million of expense for restricted stock of which $3.7 million and $1.5 million was recorded in research and development and general and administrative expense, respectively. During the six months ended June 30, 2026 the Company recognized approximately $9.0 million of expense for restricted stock of which $6.4 million and $2.6 million was recorded in research and development and general and administrative expense, respectively. During the three months ended June 30, 2025 the Company recognized approximately $2.8 million of expense for restricted stock of which $1.9</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million and $0.9 million was recorded in research and development and general and administrative expense, respectively. During the six months ended June 30, 2025 the Company recognized approximately $5.2 million of expense for restricted stock of which $3.5 million and $1.7 million was recorded in research and development and general and administrative expense,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equity-based compensation expense recorded as research and development and general and administrative expenses for employees, directors, and non-employees during the three and six months ended June 30, 2026 and 2025 is as follows (in thousands): </w:t>
      </w:r>
    </w:p>
    <w:p>
      <w:pPr>
        <w:pStyle w:val="TextBody"/>
        <w:bidi w:val="0"/>
        <w:jc w:val="left"/>
        <w:rPr/>
      </w:pPr>
      <w:r>
        <w:rPr/>
        <w:t> </w:t>
      </w:r>
    </w:p>
    <w:tbl>
      <w:tblPr>
        <w:tblW w:w="7597" w:type="dxa"/>
        <w:jc w:val="left"/>
        <w:tblInd w:w="0" w:type="dxa"/>
        <w:tblLayout w:type="fixed"/>
        <w:tblCellMar>
          <w:top w:w="28" w:type="dxa"/>
          <w:left w:w="28" w:type="dxa"/>
          <w:bottom w:w="28" w:type="dxa"/>
          <w:right w:w="28" w:type="dxa"/>
        </w:tblCellMar>
      </w:tblPr>
      <w:tblGrid>
        <w:gridCol w:w="2836"/>
        <w:gridCol w:w="146"/>
        <w:gridCol w:w="211"/>
        <w:gridCol w:w="676"/>
        <w:gridCol w:w="146"/>
        <w:gridCol w:w="146"/>
        <w:gridCol w:w="211"/>
        <w:gridCol w:w="676"/>
        <w:gridCol w:w="146"/>
        <w:gridCol w:w="146"/>
        <w:gridCol w:w="211"/>
        <w:gridCol w:w="676"/>
        <w:gridCol w:w="146"/>
        <w:gridCol w:w="146"/>
        <w:gridCol w:w="211"/>
        <w:gridCol w:w="67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11. Related-Party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John Maraganore is a member of the Company’s Board of Directors, and is affiliated with Jefferies LLC (“Jefferies”). On October 31, 2024, prior to Dr. Maraganore joining Jefferies, the Company entered into an Open Market Sale Agreement</w:t>
      </w:r>
      <w:r>
        <w:rPr>
          <w:rFonts w:ascii="Times New Roman" w:hAnsi="Times New Roman"/>
          <w:color w:val="000000"/>
          <w:sz w:val="13"/>
        </w:rPr>
        <w:t>SM</w:t>
      </w:r>
      <w:r>
        <w:rPr>
          <w:rFonts w:ascii="Times New Roman" w:hAnsi="Times New Roman"/>
          <w:color w:val="000000"/>
          <w:sz w:val="20"/>
        </w:rPr>
        <w:t xml:space="preserve"> (the “Jefferies Sales Agreement”) with Jefferies, pursuant to which the Company may offer and sell shares of its common stock having aggregate gross proceeds of up to $300.0 million from time to time in “at-the-market” offerings through Jefferies, as its sales agent. The Company agreed to pay Jefferies a commission of up to 3.0% of the gross proceeds of any shares sold by Jefferies under the Jefferies Sales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26, 2026, Jefferies acknowledged and accepted our prior written notice to terminate the Jefferies Sales Agreement, which termination was effective on February 26, 2026. As a result of such termination, we will not offer or sell any additional shares of common stock under the Jefferies Sales Agreement and as of its termination, the Company had not sold any shares of its common stock under the Jefferies Sales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than the aforementioned agreement, the Company had no related party transactions for the periods presented in the accompanying consolidated financial statements, which have not otherwise been discussed in these notes to the consolidated financial statements.</w:t>
      </w:r>
    </w:p>
    <w:p>
      <w:pPr>
        <w:pStyle w:val="TextBody"/>
        <w:bidi w:val="0"/>
        <w:spacing w:before="360" w:after="283"/>
        <w:jc w:val="both"/>
        <w:rPr>
          <w:rFonts w:ascii="Times New Roman" w:hAnsi="Times New Roman"/>
          <w:sz w:val="20"/>
        </w:rPr>
      </w:pPr>
      <w:r>
        <w:rPr>
          <w:rFonts w:ascii="Times New Roman" w:hAnsi="Times New Roman"/>
          <w:b/>
          <w:color w:val="000000"/>
          <w:sz w:val="20"/>
        </w:rPr>
        <w:t>12.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taxes for the three and six months ended June 30, 2026 and 2025 have been calculated based on an estimated annual effective tax rate and certain discrete items. The Company recorded immaterial income tax expense related to investment income for the three and six months ended June 30,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never been examined by the Internal Revenue Service or any other jurisdiction for any tax years and, as such, all years within the applicable statutes of limitations are potentially subject to audit.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13.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and diluted loss per share is computed by dividing net loss by the weighted-average common stock outstanding for the period. The Company had 15,815,253 pre-funded warrants outstanding as of June 30, 2026 and 2025. Each pre-funded warrant is exercisable for one share of common stock at an exercise price of $0.0001 per share. Due to the nominal exercise price of the pre-funded warrants, they are considered to be outstanding shares of common stock for purposes of the calculation of earnings per share. (in thousands, except for share and per share data):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82,361,905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65,282,527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82,042,236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65,135,585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pre-funded warrants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15,815,253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15,815,253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15,163,355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weighted average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98,177,158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80,449,405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97,857,489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80,298,940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The Company’s potentially dilutive securities, which include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June 30, 2026 and 2025 because including them would have had an anti-dilutive effect: </w:t>
      </w:r>
    </w:p>
    <w:tbl>
      <w:tblPr>
        <w:tblW w:w="5964" w:type="dxa"/>
        <w:jc w:val="left"/>
        <w:tblInd w:w="0" w:type="dxa"/>
        <w:tblLayout w:type="fixed"/>
        <w:tblCellMar>
          <w:top w:w="28" w:type="dxa"/>
          <w:left w:w="28" w:type="dxa"/>
          <w:bottom w:w="28" w:type="dxa"/>
          <w:right w:w="28" w:type="dxa"/>
        </w:tblCellMar>
      </w:tblPr>
      <w:tblGrid>
        <w:gridCol w:w="2971"/>
        <w:gridCol w:w="146"/>
        <w:gridCol w:w="146"/>
        <w:gridCol w:w="1036"/>
        <w:gridCol w:w="146"/>
        <w:gridCol w:w="146"/>
        <w:gridCol w:w="146"/>
        <w:gridCol w:w="1036"/>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10,954,981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10,514,579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12,229,982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14. 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and manages its business as one reportable segment and one operating segment, which is dedicated to reinventing the treatment of human disease through the development of innovative, highly differentiated medicines that address significant health problems and that meaningfully improve patients’ lives. The Company’s chief operating decision maker, or CODM, is the chief executive officer. The CODM assesses performance for the segment and decides how to allocate resources based on consolidated net loss that is also reported on the consolidated statements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measure of segment assets is reported on the consolidated balance sheets as total consolidated assets. All material long-lived assets are located in the United States. Long-lived assets consist of property and equipment, net, and operating lease right-of-use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chief operating decision maker uses net loss to monitor budget versus actual results and to analyze cash flows in assessing performance of the segment and allocating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of the notes to the consolidated financial statements included in the Company's Annual Report on Form 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reportable segment profit and loss, including significant expense categories, attributable to the Company’s reportable segment for the periods presented:</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5352"/>
        <w:gridCol w:w="211"/>
        <w:gridCol w:w="736"/>
        <w:gridCol w:w="166"/>
        <w:gridCol w:w="211"/>
        <w:gridCol w:w="736"/>
        <w:gridCol w:w="166"/>
        <w:gridCol w:w="146"/>
        <w:gridCol w:w="211"/>
        <w:gridCol w:w="841"/>
        <w:gridCol w:w="166"/>
        <w:gridCol w:w="211"/>
        <w:gridCol w:w="841"/>
        <w:gridCol w:w="211"/>
      </w:tblGrid>
      <w:tr>
        <w:trPr/>
        <w:tc>
          <w:tcPr>
            <w:tcW w:w="5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 expenses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External 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STAT6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2"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Other external research and development expense </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2"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Research and development compensation and related personnel expense </w:t>
            </w:r>
            <w:r>
              <w:rPr>
                <w:rFonts w:ascii="Times New Roman" w:hAnsi="Times New Roman"/>
                <w:color w:val="000000"/>
                <w:sz w:val="13"/>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 overhead and administrative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2"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General &amp; administrative </w:t>
            </w:r>
            <w:r>
              <w:rPr>
                <w:rFonts w:ascii="Times New Roman" w:hAnsi="Times New Roman"/>
                <w:color w:val="000000"/>
                <w:sz w:val="13"/>
              </w:rPr>
              <w:t>(3)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and other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Certain prior period amounts have been recast to conform with current period presentation.</w:t>
      </w:r>
    </w:p>
    <w:p>
      <w:pPr>
        <w:pStyle w:val="TextBody"/>
        <w:bidi w:val="0"/>
        <w:jc w:val="left"/>
        <w:rPr>
          <w:rFonts w:ascii="Times New Roman" w:hAnsi="Times New Roman"/>
          <w:sz w:val="20"/>
        </w:rPr>
      </w:pPr>
      <w:r>
        <w:rPr>
          <w:rFonts w:ascii="Times New Roman" w:hAnsi="Times New Roman"/>
          <w:color w:val="000000"/>
          <w:sz w:val="18"/>
        </w:rPr>
        <w:t>(2) Research and development compensation and related personnel expense for the three months ended June 30, 2026 and 2025 is inclusive of $10.4</w:t>
      </w:r>
      <w:r>
        <w:rPr>
          <w:rFonts w:ascii="Times New Roman" w:hAnsi="Times New Roman"/>
          <w:color w:val="000000"/>
          <w:sz w:val="20"/>
        </w:rPr>
        <w:t xml:space="preserve"> </w:t>
      </w:r>
      <w:r>
        <w:rPr>
          <w:rFonts w:ascii="Times New Roman" w:hAnsi="Times New Roman"/>
          <w:color w:val="000000"/>
          <w:sz w:val="18"/>
        </w:rPr>
        <w:t>and $8.0</w:t>
      </w:r>
      <w:r>
        <w:rPr>
          <w:rFonts w:ascii="Times New Roman" w:hAnsi="Times New Roman"/>
          <w:color w:val="000000"/>
          <w:sz w:val="20"/>
        </w:rPr>
        <w:t xml:space="preserve"> </w:t>
      </w:r>
      <w:r>
        <w:rPr>
          <w:rFonts w:ascii="Times New Roman" w:hAnsi="Times New Roman"/>
          <w:color w:val="000000"/>
          <w:sz w:val="18"/>
        </w:rPr>
        <w:t>million of stock-based compensation expense, respectively. Research and development compensation and related personnel expense for the six months ended June 30, 2026 and 2025 is inclusive of $19.0</w:t>
      </w:r>
      <w:r>
        <w:rPr>
          <w:rFonts w:ascii="Times New Roman" w:hAnsi="Times New Roman"/>
          <w:color w:val="000000"/>
          <w:sz w:val="20"/>
        </w:rPr>
        <w:t xml:space="preserve"> </w:t>
      </w:r>
      <w:r>
        <w:rPr>
          <w:rFonts w:ascii="Times New Roman" w:hAnsi="Times New Roman"/>
          <w:color w:val="000000"/>
          <w:sz w:val="18"/>
        </w:rPr>
        <w:t>and $15.6</w:t>
      </w:r>
      <w:r>
        <w:rPr>
          <w:rFonts w:ascii="Times New Roman" w:hAnsi="Times New Roman"/>
          <w:color w:val="000000"/>
          <w:sz w:val="20"/>
        </w:rPr>
        <w:t xml:space="preserve"> </w:t>
      </w:r>
      <w:r>
        <w:rPr>
          <w:rFonts w:ascii="Times New Roman" w:hAnsi="Times New Roman"/>
          <w:color w:val="000000"/>
          <w:sz w:val="18"/>
        </w:rPr>
        <w:t>million of stock-based compensation expense, respectively.</w:t>
      </w:r>
    </w:p>
    <w:p>
      <w:pPr>
        <w:pStyle w:val="TextBody"/>
        <w:bidi w:val="0"/>
        <w:jc w:val="left"/>
        <w:rPr>
          <w:rFonts w:ascii="Times New Roman" w:hAnsi="Times New Roman"/>
          <w:sz w:val="20"/>
        </w:rPr>
      </w:pPr>
      <w:r>
        <w:rPr>
          <w:rFonts w:ascii="Times New Roman" w:hAnsi="Times New Roman"/>
          <w:color w:val="000000"/>
          <w:sz w:val="18"/>
        </w:rPr>
        <w:t>(3) General and administrative expense for the three months ended June 30, 2026 and 2025 is inclusive of $8.6</w:t>
      </w:r>
      <w:r>
        <w:rPr>
          <w:rFonts w:ascii="Times New Roman" w:hAnsi="Times New Roman"/>
          <w:color w:val="000000"/>
          <w:sz w:val="20"/>
        </w:rPr>
        <w:t xml:space="preserve"> </w:t>
      </w:r>
      <w:r>
        <w:rPr>
          <w:rFonts w:ascii="Times New Roman" w:hAnsi="Times New Roman"/>
          <w:color w:val="000000"/>
          <w:sz w:val="18"/>
        </w:rPr>
        <w:t>million and $7.4</w:t>
      </w:r>
      <w:r>
        <w:rPr>
          <w:rFonts w:ascii="Times New Roman" w:hAnsi="Times New Roman"/>
          <w:color w:val="000000"/>
          <w:sz w:val="20"/>
        </w:rPr>
        <w:t xml:space="preserve"> </w:t>
      </w:r>
      <w:r>
        <w:rPr>
          <w:rFonts w:ascii="Times New Roman" w:hAnsi="Times New Roman"/>
          <w:color w:val="000000"/>
          <w:sz w:val="18"/>
        </w:rPr>
        <w:t>million of stock-based compensation expense, respectively. General and administrative expense for the six months ended June 30, 2026 and 2025 is inclusive of $16.0</w:t>
      </w:r>
      <w:r>
        <w:rPr>
          <w:rFonts w:ascii="Times New Roman" w:hAnsi="Times New Roman"/>
          <w:color w:val="000000"/>
          <w:sz w:val="20"/>
        </w:rPr>
        <w:t xml:space="preserve"> </w:t>
      </w:r>
      <w:r>
        <w:rPr>
          <w:rFonts w:ascii="Times New Roman" w:hAnsi="Times New Roman"/>
          <w:color w:val="000000"/>
          <w:sz w:val="18"/>
        </w:rPr>
        <w:t>million and $14.1</w:t>
      </w:r>
      <w:r>
        <w:rPr>
          <w:rFonts w:ascii="Times New Roman" w:hAnsi="Times New Roman"/>
          <w:color w:val="000000"/>
          <w:sz w:val="20"/>
        </w:rPr>
        <w:t xml:space="preserve"> </w:t>
      </w:r>
      <w:r>
        <w:rPr>
          <w:rFonts w:ascii="Times New Roman" w:hAnsi="Times New Roman"/>
          <w:color w:val="000000"/>
          <w:sz w:val="18"/>
        </w:rPr>
        <w:t>million of stock-based compensation expense,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Depreciation expense for the three months ended June 30, 2026 and 2025 was $1.6 million and $1.7 million, respectively. Depreciation expense for the six months ended June 30, 2026 and 2025 was $3.2 million and $3.3 million, respectively. Amortization expense related to right-of-use assets during the three months ended June 30, 2026 and 2025 was $0.4 million and $0.4 million, respectively. Amortization expense related to right-of-use assets during the six months ended June 30, 2026 and 2025 was $0.9 million and $0.7 million, respectively.</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15. Subsequent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Related Party Sublease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Subsequent to June 30, 2026, the Company entered into a sublease agreement (the "Sublease") with Merida Biosciences, Inc. ("Merida"), pursuant to which the Company subleased the office/laboratory space governed by the 2019 Lease to Merida.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Merida is considered a related party because one of the Company's directors, John Maraganore, also serves as a member of Merida's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of the Sublease were reviewed and approved by the Company's Audit Committee in accordance with the Company's related party transaction policy. Management believes the terms of the Sublease are consistent with those that would have been negotiated with an unrelated third party.</w:t>
      </w:r>
    </w:p>
    <w:p>
      <w:pPr>
        <w:pStyle w:val="TextBody"/>
        <w:bidi w:val="0"/>
        <w:spacing w:before="12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beliefs,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We are a clinical-stage biopharmaceutical company dedicated to reinventing the treatment of human disease through the development of innovative, highly differentiated oral medicines that address significant health problems and meaningfully improve patients’ lives. We are committed to advancing novel technologies to address targets that have known disease-causing biology, but which have not been drugged, or have been inadequately drugged, often based on limitations of existing technologies. Our approach is intended to discover and develop a new generation of medicines in a disease-agnostic manner.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are a leader in targeted protein degradation (TPD), a next-generation small molecule therapeutic modality that engages the body’s natural cellular recycling system to selectively eliminate disease-causing proteins. Our objective is to develop molecules that are both potent and highly selective, creating the unique potential to address diseases that are poorly served by current treatment options. To date, we have progressed multiple programs into clinical development and expect to advance at least one new molecular entity into clinical testing annually. We intend to leverage our drug development expertise to become a fully integrated biopharmaceutical company with an industry-leading pipeline of novel medicines.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current discovery and development efforts are primarily directed at high-value targets in immunology. We believe there are more than 160 million patients in the United States, Europe and Japan that are diagnosed with some of the most prevalent immune-inflammatory diseases that our programs have the potential to address, nearly half of whom remain untreated. Of those treated, most patients are treated with therapies that do not treat the underlying diseases but mostly their symptoms. As a result, only a small percentage of patients, which we believe to be approximately 3% of the diagnosed population with moderate to severe inflammatory diseases, are currently treated with systemic advanced therapies, mostly injectable biologics. While generally efficacious, biologics have drawbacks. Biologics tend to be more expensive to manufacture, and the cost burden ultimately falls on patients and payors. Patient access to therapy can also be a challenge, as biologics can be more complex to prescribe and reimburse than small molecule medicines. Additionally, biologics are administered as injections - which may result in injection site reactions or pain - a less preferred route of administration as compared to oral medications, which offer greater flexibility for patients. We believe we have the potential to deliver a compelling value proposition to a significant underserved patient population: small molecule medicines with biologics-like activity through the convenience of a daily, oral pill.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publicly disclosed oral immunology programs target STAT6, IRF5 and IRAK4, each of which addresses targets within validated pathways, providing the opportunity to treat a broad range of diseases. We are developing KT-621 as part of our STAT6 program, which is currently being evaluated in the BROADEN2 Phase 2b clinical trial in adult and adolescent patients with moderate to severe Atopic Dermatitis (AD) and the BREADTH Phase 2b clinical trial in adult patients with moderate to severe asthma. We are also developing KT-579 as part of our oral IRF5 degrader program, which is being evaluated in a Phase 1 clinical trial in healthy volunteers. We are collaborating with Sanofi S.A. (“Sanofi”) on the development of our IRAK4 degrader, KT-485/SAR447971, which is being evaluated in a Phase 1 clinical trial. We are also collaborating with Gilead Sciences, Inc. (“Gilead”) on the development of our oral CDK2 molecular glue degrader, KT-200, which is currently in IND-enabling studies. Our additional early undisclosed pipeline programs focus on addressing high impact targets that have been elusive to conventional modalities and that drive the pathogenesis of multiple serious diseases with significant unmet medical needs.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to our immunology focus, we also have research initiatives in other therapeutic areas. Additionally, we believe many of our key discovery and development capabilities have broad applicability, creating an opportunity for us to develop impactful therapies leveraging small-molecule modalities in addition to TPD.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our inception in 2015, we have devoted substantially all our efforts to organizing and staffing our company, research and development activities, business planning, raising capital, building our intellectual property portfolio and providing general and administrative support for these operations. Through June 30, 2026, we have received gross proceeds of $2.75 billion from sales of our convertible preferred stock, the sale of common stock including our August 2020 initial public offering, or IPO, and concurrent private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placement, our subsequent follow-on offerings and private placement offering, our prior sales agreement with Cowen and through our corporate collaborations.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$311.4 million and $223.9 million for the years ended December 31, 2025 and 2024, respectively. We reported net losses of $61.2 million and $130.4 million for the three and six months ended June 30, 2026 respectively, and $76.6 million and $142.2 million for the three and six months ended June 30, 2025, respectively. In addition, as of June 30, 2026 and December 31, 2025, we had an accumulated deficit of $1,196 million and $1,066 million, respectively. We expect that our expense and capital requirements will increase substantially in connection with our ongoing activities, particularly if and as we: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and complete preclinical studies and clinical trials for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prepare and submit Investigational New Drug applications, or INDs, with the U.S Food and Drug Administration, or FDA, for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scale up our capabilities to support our ongoing preclinical activities and clinical trials for our product candidates and commercialization of any of our product candidates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secure facilities to support continued growth in our research, development and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research and development related activities to expand our product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and improve the capabilities of our drug discovery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for our product candidates that successfully complete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to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staff, including clinical, scientific and management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costs associated with continuing to operate as a public company.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cash, cash equivalents and marketable securities of $1,505 million. We believe the existing cash, cash equivalents and marketable securities on hand will be sufficient to fund our operations into 2029, beyond multiple clinical inflection points in our pipeline. We have based this estimate on assumptions that may prove to be wrong, and we could exhaust our available capital resources sooner than we expect. See “Liquidity and capital resources”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not generated any revenue from product sales and do not expect to generate any revenue from the sale of products in the foreseeable future. Our only revenues have been derived from research collaboration arrangements with Vertex, Sanofi, and Gilead. We expect that our revenue for the next several years will be derived primarily from our current collaboration agreements and any additional collaborations that we may enter into in the future. To date, we have not received any royalties under any of the collaboration agreements.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Gilead Agreement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 June 25, 2025, we entered into an exclusive option and license agreement (the “Gilead Agreement”) with Gilead Sciences, Inc. (“Gilead”), to collaborate on developing novel molecular glue degraders directed against cyclin-dependent kinase 2 (“CDK2”). Under the Gilead Agreement, the Company granted to Gilead an exclusive option, exercisable during a defined option period, to exercise an exclusive, worldwide license to develop, manufacture, and commercialize certain CDK2 degraders generated under the collaboration.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Pursuant to the Gilead Agreement, the Company was responsible for all discovery and preclinical research activities through the delivery of a complete data package as defined in the agreement. After receiving the complete data package, Gilead exercised its option to license the program and now has global rights to develop, manufacture and commercialize all products resulting from the collaboration.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Following option exercise, the Gilead Agreement will expire on a product-by-product and country-by-country basis upon the expiration of all royalty obligations under the agreement. Gilead may terminate the agreement for convenience upon advance written notice. Each party may also terminate the agreement for material breach, insolvency, and the agreement may be terminated for certain other customary reasons, including Gilead’s right to terminate certain provisions of the agreement following a change of control of our company. </w:t>
      </w:r>
    </w:p>
    <w:p>
      <w:pPr>
        <w:pStyle w:val="TextBody"/>
        <w:bidi w:val="0"/>
        <w:jc w:val="left"/>
        <w:rPr>
          <w:rFonts w:ascii="Times New Roman" w:hAnsi="Times New Roman"/>
          <w:color w:val="000000"/>
          <w:sz w:val="20"/>
        </w:rPr>
      </w:pPr>
      <w:r>
        <w:rPr>
          <w:rFonts w:ascii="Times New Roman" w:hAnsi="Times New Roman"/>
          <w:color w:val="000000"/>
          <w:sz w:val="20"/>
        </w:rPr>
        <w:t>In consideration for the exclusive option and rights granted under the Gilead Agreement, we received a non-refundable upfront payment of $40.0 million. Further in April 2026, Gilead exercised its exclusive option to license KT-200,an oral CDK2 molecular glue degrader as a development candidate. As a result, we earned an option exercise payment of $45.0 million received and recognized as revenue in the second quarter of 2026. We remain eligible to receive up to an additional $665.0 million upon the achievement of certain development, regulatory and commercial milestones. We are also eligible to receive tiered royalties on net sales by Gilead ranging from high single-digit to mid-teen percentages, subject to customary reductions in certain circumstances.</w:t>
      </w:r>
    </w:p>
    <w:p>
      <w:pPr>
        <w:pStyle w:val="TextBody"/>
        <w:bidi w:val="0"/>
        <w:spacing w:before="360" w:after="283"/>
        <w:jc w:val="both"/>
        <w:rPr>
          <w:rFonts w:ascii="Times New Roman" w:hAnsi="Times New Roman"/>
          <w:sz w:val="20"/>
        </w:rPr>
      </w:pPr>
      <w:r>
        <w:rPr>
          <w:rFonts w:ascii="Times New Roman" w:hAnsi="Times New Roman"/>
          <w:b/>
          <w:i/>
          <w:color w:val="000000"/>
          <w:sz w:val="20"/>
        </w:rPr>
        <w:t>Sanofi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an exclusive option, or Opt-In Right, exercisable on a collaboration-target-by-collaboration-target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We will further be eligible to receive tiered royalties on net sales ranging from the high single digits to high teens, subject to low-single digits upward adjustments in certain circumstances. As of June 30, 2026, we have achieved $95.0 million of milestones under the Sanofi Agreement related to certain IRAK4 clinical and preclinical milestones.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with respect to Sanofi, on December 2, 2022, Sanofi provided us with written notice of its intention to advance the collaboration target 1 candidate, KT-474, into Phase 2 clinical trials for which we received milestone payments as further set forth in the Amended Sanofi Agreement. Phase 2 clinical trials of KT-474 are initially investigating its potential in HS and AD with the clinical trial for both indications having been initiated and commenced dosing in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2025, Sanofi communicated its decision to exercise its full participation election under the terms of the companies’ collaboration agreement, and to advance KT-485/SAR447971, into clinical testing. As a result, Sanofi stopped development of KT-474. In June 2026, Sanofi informed us that the first participant was dosed in the first-in-human Phase 1 clinical trial evaluating KT-485/SAR447971, resulting in the achievement of a $20 million milestone.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IRAK4 program, we remain eligible to receive up to an additional $955 million in development and commercial milestones upon the achievement of certain developmental or regulatory events and upon the achievement of certain net sales thresholds.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September 2023, we mutually agreed to cease activities related to the undisclosed second target and we are no longer eligible for the milestone and royalty payments associated with the second target.</w:t>
      </w:r>
    </w:p>
    <w:p>
      <w:pPr>
        <w:pStyle w:val="TextBody"/>
        <w:bidi w:val="0"/>
        <w:spacing w:before="36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operating expenses since inception have consisted primarily of research and development expenses and general and administrative expenses. </w:t>
      </w:r>
    </w:p>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in connection with the discovery and development of targeted protein degradation therapeutics. These research efforts and costs include external research costs, personnel costs, supplies, license fees and facility-related expenses. We expense research and development costs as incurred. These expenses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employee-related expenses, including salaries, related benefits and stock-based compensation expense, for employees engaged in research and development functions;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incurred under agreements with third parties, including contract research organizations, or CROs, and other third parties that conduct clinical trials and preclinical activities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 manufacturing organizations, or CMOs, that are primarily engaged to provide drug substance and product for our preclinical research and development programs, nonclinical studies, clinical trials and other scientific development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acquiring and manufacturing clinical and nonclinical trial materials, including manufacturing registration and validation batches;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facilities, depreciation and other expenses, which include direct and allocated expenses for rent and maintenance of facilities and insurance;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related to compliance with quality and regulatory requirements;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payments made under third-party licensing agreements.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clinical development costs may vary significantly based on factors such as: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 patient trial costs;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patients that participate in the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doses that patients receive;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and timing of manufacturing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phase of development of our product candidates;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efficacy and safety profile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successful development and commercialization of product candidates is highly uncertain. This is due to the numerous risks and uncertainties associated with product development and commercialization,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progress of nonclinical and clinical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and scope of nonclinical and clinical programs we decide to pursue;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to raise necessary additional funds;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progress of the development efforts of parties with whom we may enter into collaboration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our current development programs and to establish new ones;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new licensing or collaboration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successful initiation and completion of clinical trials with safety, tolerability and efficacy profiles that are satisfactory to the FDA or any comparable foreign regulatory authority;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receipt and related terms of regulatory approvals from applicable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drug substance and drug product for use in production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and maintain agreements with third-party manufacturers for clinical supply for our clinical trials and commercial manufacturing, if any of our product candidates are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and maintain patents, trade secret protection and regulatory exclusivity, both in the United States and internationally;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protect our rights in our intellectual property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and maintain third-party insurance coverage and adequate reimbursement;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acceptance of our product candidates, if approved, by patients, the medical community and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impact of competition with other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any business interruptions to our operations, including the timing and enrollment of patients in our planned clinical trials, or to those of our manufacturers, suppliers, or other vendors resulting from a future pandemic or similar public health crisis;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a continued acceptable safety profile for our therapies following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 </w:t>
      </w:r>
    </w:p>
    <w:p>
      <w:pPr>
        <w:pStyle w:val="TextBody"/>
        <w:bidi w:val="0"/>
        <w:spacing w:before="36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 </w:t>
      </w:r>
    </w:p>
    <w:p>
      <w:pPr>
        <w:pStyle w:val="TextBody"/>
        <w:bidi w:val="0"/>
        <w:spacing w:before="360" w:after="283"/>
        <w:jc w:val="both"/>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Interest and other income and expense, net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and other income and expense consists of interest earned on our invested cash balances and interest expense related to our financing leases. </w:t>
      </w:r>
    </w:p>
    <w:p>
      <w:pPr>
        <w:pStyle w:val="TextBody"/>
        <w:bidi w:val="0"/>
        <w:spacing w:before="360" w:after="283"/>
        <w:jc w:val="both"/>
        <w:rPr>
          <w:rFonts w:ascii="Times New Roman" w:hAnsi="Times New Roman"/>
          <w:sz w:val="20"/>
        </w:rPr>
      </w:pPr>
      <w:r>
        <w:rPr>
          <w:rFonts w:ascii="Times New Roman" w:hAnsi="Times New Roman"/>
          <w:b/>
          <w:i/>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Comparison of 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w:t>
      </w:r>
    </w:p>
    <w:p>
      <w:pPr>
        <w:pStyle w:val="TextBody"/>
        <w:bidi w:val="0"/>
        <w:jc w:val="both"/>
        <w:rPr/>
      </w:pPr>
      <w:r>
        <w:rPr/>
        <w:t> </w:t>
      </w:r>
    </w:p>
    <w:tbl>
      <w:tblPr>
        <w:tblW w:w="6348" w:type="dxa"/>
        <w:jc w:val="left"/>
        <w:tblInd w:w="0" w:type="dxa"/>
        <w:tblLayout w:type="fixed"/>
        <w:tblCellMar>
          <w:top w:w="28" w:type="dxa"/>
          <w:left w:w="28" w:type="dxa"/>
          <w:bottom w:w="28" w:type="dxa"/>
          <w:right w:w="28" w:type="dxa"/>
        </w:tblCellMar>
      </w:tblPr>
      <w:tblGrid>
        <w:gridCol w:w="2361"/>
        <w:gridCol w:w="146"/>
        <w:gridCol w:w="211"/>
        <w:gridCol w:w="781"/>
        <w:gridCol w:w="166"/>
        <w:gridCol w:w="146"/>
        <w:gridCol w:w="211"/>
        <w:gridCol w:w="736"/>
        <w:gridCol w:w="166"/>
        <w:gridCol w:w="146"/>
        <w:gridCol w:w="211"/>
        <w:gridCol w:w="676"/>
        <w:gridCol w:w="391"/>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revenues were $65.0 million and $11.5 million for the three months ended June 30, 2026 and 2025, respectively. All of the revenue recognized for the three months ended June 30, 2026 is attributable to payments achieved under our collaboration agreements with Gilead and Sanofi. All of the revenue recognized for the three months ended June 30, 2025 is attributable to our collaboration agreement with Sanofi.</w:t>
      </w:r>
    </w:p>
    <w:p>
      <w:pPr>
        <w:pStyle w:val="TextBody"/>
        <w:bidi w:val="0"/>
        <w:spacing w:before="12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each period presented (program expenses are not disclosed prior to formal development candidate nomination): </w:t>
      </w:r>
    </w:p>
    <w:p>
      <w:pPr>
        <w:pStyle w:val="TextBody"/>
        <w:bidi w:val="0"/>
        <w:jc w:val="both"/>
        <w:rPr/>
      </w:pPr>
      <w:r>
        <w:rPr/>
        <w:t> </w:t>
      </w:r>
    </w:p>
    <w:tbl>
      <w:tblPr>
        <w:tblW w:w="10073" w:type="dxa"/>
        <w:jc w:val="left"/>
        <w:tblInd w:w="0" w:type="dxa"/>
        <w:tblLayout w:type="fixed"/>
        <w:tblCellMar>
          <w:top w:w="28" w:type="dxa"/>
          <w:left w:w="28" w:type="dxa"/>
          <w:bottom w:w="28" w:type="dxa"/>
          <w:right w:w="28" w:type="dxa"/>
        </w:tblCellMar>
      </w:tblPr>
      <w:tblGrid>
        <w:gridCol w:w="6186"/>
        <w:gridCol w:w="146"/>
        <w:gridCol w:w="211"/>
        <w:gridCol w:w="781"/>
        <w:gridCol w:w="146"/>
        <w:gridCol w:w="146"/>
        <w:gridCol w:w="211"/>
        <w:gridCol w:w="676"/>
        <w:gridCol w:w="146"/>
        <w:gridCol w:w="146"/>
        <w:gridCol w:w="211"/>
        <w:gridCol w:w="676"/>
        <w:gridCol w:w="391"/>
      </w:tblGrid>
      <w:tr>
        <w:trPr/>
        <w:tc>
          <w:tcPr>
            <w:tcW w:w="6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compensation and related personnel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overhead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were $119.5 million for the three months ended June 30, 2026, compared to $78.4 million for the three months ended June 30, 2025. The increase of $41.1 million was primarily due to a $23.5 million increase in costs related to our STAT6 program, a $8.9 million increase in personnel, equity-based compensation, occupancy, and other internal costs due to increased investment in employee talent and facilities in the research and development functions, and a $8.7 million increase in activities related to our non-STAT6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were $21.1 million for the three months ended June 30, 2026, compared to $17.6 million for the three months ended June 30, 2025. This increase of $3.5 million was primarily due to an increase in legal and professional service fees, personnel, facility, occupancy, and other expenses to support our growth. Equity-based compensation expenses included in general and administrative expenses were $8.6 million and $7.4 million for the three months ended June 30, 2026 and 2025, respectively. </w:t>
      </w:r>
    </w:p>
    <w:p>
      <w:pPr>
        <w:pStyle w:val="TextBody"/>
        <w:bidi w:val="0"/>
        <w:spacing w:before="12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was $14.4 million for the three months ended June 30, 2026, compared to $7.9 million for the three months ended June 30, 2025. The $6.5 million increase was primarily due to an increase in the cash, cash equivalents, and marketable securities balances resulting in higher interest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Comparison of six months ended June 30, 2026 and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2026 and 2025: </w:t>
      </w:r>
    </w:p>
    <w:p>
      <w:pPr>
        <w:pStyle w:val="TextBody"/>
        <w:bidi w:val="0"/>
        <w:spacing w:before="120" w:after="283"/>
        <w:jc w:val="both"/>
        <w:rPr/>
      </w:pPr>
      <w:r>
        <w:rPr/>
        <w:t> </w:t>
      </w:r>
    </w:p>
    <w:tbl>
      <w:tblPr>
        <w:tblW w:w="6513" w:type="dxa"/>
        <w:jc w:val="left"/>
        <w:tblInd w:w="0" w:type="dxa"/>
        <w:tblLayout w:type="fixed"/>
        <w:tblCellMar>
          <w:top w:w="28" w:type="dxa"/>
          <w:left w:w="28" w:type="dxa"/>
          <w:bottom w:w="28" w:type="dxa"/>
          <w:right w:w="28" w:type="dxa"/>
        </w:tblCellMar>
      </w:tblPr>
      <w:tblGrid>
        <w:gridCol w:w="2361"/>
        <w:gridCol w:w="146"/>
        <w:gridCol w:w="211"/>
        <w:gridCol w:w="841"/>
        <w:gridCol w:w="166"/>
        <w:gridCol w:w="146"/>
        <w:gridCol w:w="211"/>
        <w:gridCol w:w="841"/>
        <w:gridCol w:w="166"/>
        <w:gridCol w:w="146"/>
        <w:gridCol w:w="211"/>
        <w:gridCol w:w="676"/>
        <w:gridCol w:w="391"/>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revenues were $99.4 million and $33.6 million for the six months ended June 30, 2026 and 2025, respectively. The revenue recognized for the six months ended June 30, 2026 is attributable to our collaboration agreements with Gilead and Sanofi. All of the revenue recognized for the six months ended June 30, 2025 is attributable to our collaboration agreement with Sanofi.</w:t>
      </w:r>
    </w:p>
    <w:p>
      <w:pPr>
        <w:pStyle w:val="TextBody"/>
        <w:bidi w:val="0"/>
        <w:spacing w:before="12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each period presented (program expenses are not disclosed prior to formal development candidate nomination): </w:t>
      </w:r>
    </w:p>
    <w:p>
      <w:pPr>
        <w:pStyle w:val="TextBody"/>
        <w:bidi w:val="0"/>
        <w:jc w:val="left"/>
        <w:rPr/>
      </w:pPr>
      <w:r>
        <w:rPr/>
        <w:t> </w:t>
      </w:r>
    </w:p>
    <w:tbl>
      <w:tblPr>
        <w:tblW w:w="10178" w:type="dxa"/>
        <w:jc w:val="left"/>
        <w:tblInd w:w="0" w:type="dxa"/>
        <w:tblLayout w:type="fixed"/>
        <w:tblCellMar>
          <w:top w:w="28" w:type="dxa"/>
          <w:left w:w="28" w:type="dxa"/>
          <w:bottom w:w="28" w:type="dxa"/>
          <w:right w:w="28" w:type="dxa"/>
        </w:tblCellMar>
      </w:tblPr>
      <w:tblGrid>
        <w:gridCol w:w="6186"/>
        <w:gridCol w:w="146"/>
        <w:gridCol w:w="211"/>
        <w:gridCol w:w="781"/>
        <w:gridCol w:w="146"/>
        <w:gridCol w:w="146"/>
        <w:gridCol w:w="211"/>
        <w:gridCol w:w="781"/>
        <w:gridCol w:w="146"/>
        <w:gridCol w:w="146"/>
        <w:gridCol w:w="211"/>
        <w:gridCol w:w="676"/>
        <w:gridCol w:w="391"/>
      </w:tblGrid>
      <w:tr>
        <w:trPr/>
        <w:tc>
          <w:tcPr>
            <w:tcW w:w="6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compensation and related personnel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overhead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were $217.6 million for the six months ended June 30, 2026, compared to $158.6 million for the six months ended June 30, 2025. The increase of $59.0 million was primarily due to a $36.1 million increase in costs related to our STAT6 program, a $15.6 million increase in personnel, equity-based compensation, occupancy, and other internal costs due to increased investment in employee talent and facilities in the research and development functions, and a $7.3 million increase in activities related to our non-STAT6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were $41.5 million for the six months ended June 30, 2026, compared to $33.9 million for the six months ended June 30, 2025. This increase of $7.6 million was primarily due to an increase in legal and professional service fees, personnel, facility, occupancy, and other expenses to support our growth. Equity-based compensation expenses included in general and administrative expenses were $16.0 million and $14.1 million for the six months ended June 30, 2026 and 2025, respectively. </w:t>
      </w:r>
    </w:p>
    <w:p>
      <w:pPr>
        <w:pStyle w:val="TextBody"/>
        <w:bidi w:val="0"/>
        <w:spacing w:before="12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was $29.3 million for the six months ended June 30, 2026, compared to $16.8 million for the six months ended June 30, 2025. The $12.5 million increase was primarily due to an increase in the cash, cash equivalents, and marketable securities balances resulting in higher interest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yet generated any revenue from any product sales, and we have incurred significant operating losses since our inception. We have not yet commercialized any products and we do not expect to generate revenue from sales of products for several years, if at all. Through June 30, 2026, we have received gross proceeds of $2.75 billion from sales of our convertible preferred stock, the sale of common stock including our August 2020 initial public offering, or IPO, and concurrent private placement, our follow-on offerings and private placement offering, our prior sales agreement with TD Securities (USA) LLC, or Cowen, and through our corporate collaborations. As of June 30, 2026, we had cash and cash equivalents and marketable securities of $1,505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2021, we entered into a sales agreement, or Prior Cowen Sales Agreement, with Cowen, pursuant to which we were able to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Prior Cowen Sales Agreement. As of June 30, 2026, we have sold 1,519,453 shares of common stock under the Prior Cowen Sales Agreement resulting in gross proceeds of approximately $50 million. On October 30, 2024, Cowen acknowledged and accepted our prior written notice to terminate the Prior Cowen Sales Agreement, which termination was effective on October 30, 2024. As a result of such termination, we will not offer or sell any additional shares of common stock under the Prior Cowen Sales Agreement.</w:t>
      </w:r>
    </w:p>
    <w:p>
      <w:pPr>
        <w:pStyle w:val="TextBody"/>
        <w:bidi w:val="0"/>
        <w:spacing w:before="120" w:after="283"/>
        <w:jc w:val="both"/>
        <w:rPr>
          <w:rFonts w:ascii="Times New Roman" w:hAnsi="Times New Roman"/>
          <w:sz w:val="20"/>
        </w:rPr>
      </w:pPr>
      <w:r>
        <w:rPr>
          <w:rFonts w:ascii="Times New Roman" w:hAnsi="Times New Roman"/>
          <w:color w:val="000000"/>
          <w:sz w:val="20"/>
        </w:rPr>
        <w:t>On October 31, 2024, we entered into an Open Market Sale Agreement</w:t>
      </w:r>
      <w:r>
        <w:rPr>
          <w:rFonts w:ascii="Times New Roman" w:hAnsi="Times New Roman"/>
          <w:color w:val="000000"/>
          <w:sz w:val="13"/>
        </w:rPr>
        <w:t>SM</w:t>
      </w:r>
      <w:r>
        <w:rPr>
          <w:rFonts w:ascii="Times New Roman" w:hAnsi="Times New Roman"/>
          <w:color w:val="000000"/>
          <w:sz w:val="20"/>
        </w:rPr>
        <w:t>, or Jefferies Sales Agreement, with Jefferies LLC, or Jefferies, pursuant to which we were able to offer and sell shares of our common stock having aggregate gross proceeds of up to $300.0 million from time to time in “at-the-market” offerings through Jefferies, as our sales agent. We agreed to pay Jefferies a commission of up to 3.0% of the gross proceeds of any shares sold by Jefferies under the Sales Agreement. On February 26, 2026, Jefferies acknowledged and accepted our prior written notice to terminate the Jefferies Sales Agreement, which termination was effective on February 26, 2026. As a result of such termination, we will not offer or sell any additional shares of common stock under the Jefferies Sales Agreement and as of its termination, we had not sold any shares of its common stock under the Jefferies Sales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26, 2026, we entered into a sales agreement, or Cowen Sales Agreement, with Cowen, pursuant to which we may offer and sell shares of our common stock having aggregate gross proceeds of up to $500.0 million from time to time in “at-the-market” offerings through Cowen, as our sales agent. We agreed to pay Cowen a commission of up to 3.0% of the gross proceeds of any shares sold by Cowen under the Cowen Sales Agreement. As of June 30, 2026, we have not sold any shares of common stock under the Cowen Sales Agreement.</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presented: </w:t>
      </w:r>
    </w:p>
    <w:p>
      <w:pPr>
        <w:pStyle w:val="TextBody"/>
        <w:bidi w:val="0"/>
        <w:jc w:val="both"/>
        <w:rPr/>
      </w:pPr>
      <w:r>
        <w:rPr/>
        <w:t> </w:t>
      </w:r>
    </w:p>
    <w:tbl>
      <w:tblPr>
        <w:tblW w:w="7514" w:type="dxa"/>
        <w:jc w:val="left"/>
        <w:tblInd w:w="0" w:type="dxa"/>
        <w:tblLayout w:type="fixed"/>
        <w:tblCellMar>
          <w:top w:w="28" w:type="dxa"/>
          <w:left w:w="28" w:type="dxa"/>
          <w:bottom w:w="28" w:type="dxa"/>
          <w:right w:w="28" w:type="dxa"/>
        </w:tblCellMar>
      </w:tblPr>
      <w:tblGrid>
        <w:gridCol w:w="4741"/>
        <w:gridCol w:w="146"/>
        <w:gridCol w:w="211"/>
        <w:gridCol w:w="841"/>
        <w:gridCol w:w="166"/>
        <w:gridCol w:w="146"/>
        <w:gridCol w:w="211"/>
        <w:gridCol w:w="841"/>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Cash Flow used in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cash used in operating activities was $142.9 million, primarily resulting from our net loss of $130.4 million during the period and a $46.4 million net decrease in other operating assets and liabilities primarily driven by changes in contract assets, deferred revenue, accounts payable, accrued expenses and operating lease liabilities. This was partially offset by adjustments for non-cash items of $33.9 million primarily consisting of stock-based compensation, depreciation &amp; amortization and premiums &amp; discounts on available-for sale-securities.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cash used in operating activities was $139.0 million, primarily resulting from our net loss of $142.2 million during the period and a $26.0 million net decrease in other operating assets and liabilities primarily driven by changes in contract assets, deferred revenue, accounts payable, accrued expenses and operating lease liabilities. This was partially offset by adjustments for non-cash items of $29.1 million (primarily consisting of stock-based compensation, depreciation &amp; amortization and premiums &amp; discounts on available-for-sale securities).</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Cash Flow provided by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cash used in investing activities was $122.8 million comprised of purchases of marketable securities of $390.9 million, partially offset by maturities of marketable securities of $269.0 million and purchases of property and equipment of $0.9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cash provided by investing activities was $108.6 million comprised of maturities of marketable securities of $251.7 million, partially offset by purchases of marketable securities of $141.9 million and purchases of property and equipment of $1.2 million.</w:t>
      </w:r>
    </w:p>
    <w:p>
      <w:pPr>
        <w:pStyle w:val="TextBody"/>
        <w:bidi w:val="0"/>
        <w:spacing w:before="120" w:after="283"/>
        <w:jc w:val="both"/>
        <w:rPr>
          <w:rFonts w:ascii="Times New Roman" w:hAnsi="Times New Roman"/>
          <w:sz w:val="20"/>
        </w:rPr>
      </w:pPr>
      <w:r>
        <w:rPr>
          <w:rFonts w:ascii="Times New Roman" w:hAnsi="Times New Roman"/>
          <w:i/>
          <w:color w:val="000000"/>
          <w:sz w:val="20"/>
        </w:rPr>
        <w:t>Cash Flow provided by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provided by financing activities was $33.2 million, consisting of $32.6 million in proceeds from the exercise of employee stock options and $1.5 million from issuance of shares under our employee stock purchase plan, partially offset by finance lease payments of $0.9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net cash provided by financing activities was $246.0 million, consisting of $237.3 million in proceeds from the issuance of common stock and accompanying pre-funded warrants, net of offering costs, $8.2 million in proceeds from the exercise of employee stock options, $1.1 million of proceeds from our employee stock purchase plan, partially offset by finance lease payments of $0.7 million.</w:t>
      </w:r>
    </w:p>
    <w:p>
      <w:pPr>
        <w:pStyle w:val="TextBody"/>
        <w:bidi w:val="0"/>
        <w:spacing w:before="240" w:after="283"/>
        <w:jc w:val="both"/>
        <w:rPr>
          <w:rFonts w:ascii="Times New Roman" w:hAnsi="Times New Roman"/>
          <w:sz w:val="20"/>
        </w:rPr>
      </w:pPr>
      <w:r>
        <w:rPr>
          <w:rFonts w:ascii="Times New Roman" w:hAnsi="Times New Roman"/>
          <w:i/>
          <w:color w:val="000000"/>
          <w:sz w:val="20"/>
        </w:rPr>
        <w:t>Future 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initiation, progress, timing, costs and results of nonclinical studies and clinical trials for our product candidates or any future product candidates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our relationships with key collaborators;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 of competing technological and market developments;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of continuing to grow our business, including hiring key personnel and maintaining or acquiring operating space;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degree of market acceptance of any approved product candidates, including product pricing, as well as product coverage and the adequacy of reimbursement by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acquiring, licensing or investing in additional businesses, products, product candidates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and timing of selecting, auditing and potentially validating a manufacturing site for commercial-scale manufacturing;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establishing sales, marketing and distribution capabilities for any product candidates for which we may receive regulatory approval and that we determine to commercialize;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need to implement additional internal systems and infrastructure, including financial and reporting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 existing cash, cash equivalents and marketable securities of $1,505 million as of June 30, 2026, will enable us to fund our operating expenses and capital expenditure requirements into 2029. We have based this estimate on assumptions that may prove to be wrong, and we could exhaust our available capital resources sooner than we expect. We expect that we will require additional funding to continue the clinical development of our clinical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macroeconomic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As of June 30, 2026, we had outstanding pre-funded warrants to purchase 15,815,253 shares of common stock, each with an exercise price of $0.0001 per share. These warrants can be exercised at any time at the discretion of the holders, subject to certain ownership limitations. While the potential exercise of these pre-funded warrants would result in the issuance of additional shares, thus increasing the total shares outstanding, their nominal exercise price means they are already considered outstanding for purposes of calculating our weighted average common stock outstanding and earnings per share. Due to the minimal exercise price, we do not anticipate significant additional cash proceeds upon exercise and consequently does not expect the exercise of these warrants to materially affect its liquidity, capital resources, or overall financial condition.</w:t>
      </w:r>
    </w:p>
    <w:p>
      <w:pPr>
        <w:pStyle w:val="TextBody"/>
        <w:bidi w:val="0"/>
        <w:jc w:val="both"/>
        <w:rPr>
          <w:rFonts w:ascii="Times New Roman" w:hAnsi="Times New Roman"/>
          <w:sz w:val="20"/>
        </w:rPr>
      </w:pPr>
      <w:r>
        <w:rPr>
          <w:rFonts w:ascii="Times New Roman" w:hAnsi="Times New Roman"/>
          <w:b/>
          <w:i/>
          <w:color w:val="000000"/>
          <w:sz w:val="20"/>
        </w:rPr>
        <w:t>Contractual Obligations and Other Commitments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material changes to our contractual obligations and commitments described under “Management’s Discussion and Analysis of Financial Condition and Results of Operations” in our Annual Report on Form 10-K for the fiscal year ended December 31, 2025.</w:t>
      </w:r>
    </w:p>
    <w:p>
      <w:pPr>
        <w:pStyle w:val="TextBody"/>
        <w:bidi w:val="0"/>
        <w:spacing w:before="120" w:after="283"/>
        <w:jc w:val="both"/>
        <w:rPr>
          <w:rFonts w:ascii="Times New Roman" w:hAnsi="Times New Roman"/>
          <w:sz w:val="20"/>
        </w:rPr>
      </w:pPr>
      <w:r>
        <w:rPr>
          <w:rFonts w:ascii="Times New Roman" w:hAnsi="Times New Roman"/>
          <w:b/>
          <w:i/>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six months ended June 30, 2026, there were no material changes to our critical accounting policies from those described in our Annual Report Form 10-K filed with the SEC on February 26, 2026.</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sz w:val="20"/>
        </w:rPr>
      </w:pPr>
      <w:bookmarkStart w:id="11" w:name="i_item3"/>
      <w:bookmarkEnd w:id="11"/>
      <w:r>
        <w:rPr>
          <w:rFonts w:ascii="Times New Roman" w:hAnsi="Times New Roman"/>
          <w:b/>
          <w:color w:val="000000"/>
          <w:sz w:val="20"/>
        </w:rPr>
        <w:t>Item 3. Quantitative and Qualitati</w:t>
      </w:r>
      <w:bookmarkStart w:id="12" w:name="item_3_quantitative_qualitative_disclosu"/>
      <w:bookmarkEnd w:id="12"/>
      <w:r>
        <w:rPr>
          <w:rFonts w:ascii="Times New Roman" w:hAnsi="Times New Roman"/>
          <w:b/>
          <w:color w:val="000000"/>
          <w:sz w:val="20"/>
        </w:rPr>
        <w:t>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June 30, 2026, we had no significant liabilities denominated in foreign currencies.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Inflation generally affects us by increasing our cost of labor, third party vendors, and clinical trial costs. The global macroeconomic environment has experienced, and continues to experience, extraordinary challenges.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pStyle w:val="TextBody"/>
        <w:bidi w:val="0"/>
        <w:spacing w:before="360" w:after="283"/>
        <w:jc w:val="both"/>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Management’s Evaluation of our Disclosure Controls and Procedures</w:t>
      </w:r>
    </w:p>
    <w:p>
      <w:pPr>
        <w:pStyle w:val="TextBody"/>
        <w:bidi w:val="0"/>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June 30, 2026, the end of the period covered by this Quarterly Report. Based upon such evaluation, our Chief Executive Officer and Chief Financial Officer have concluded that our disclosure controls and procedures were effective at the reasonable assurance level as of such date.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period covered by this Quarterly Report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_other_information"/>
      <w:bookmarkEnd w:id="14"/>
      <w:r>
        <w:rPr>
          <w:rFonts w:ascii="Times New Roman" w:hAnsi="Times New Roman"/>
          <w:b/>
          <w:color w:val="000000"/>
          <w:sz w:val="20"/>
        </w:rPr>
        <w:t>PART II—OTHER INFORMATION</w:t>
      </w:r>
    </w:p>
    <w:p>
      <w:pPr>
        <w:pStyle w:val="TextBody"/>
        <w:bidi w:val="0"/>
        <w:jc w:val="both"/>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pStyle w:val="TextBody"/>
        <w:bidi w:val="0"/>
        <w:spacing w:before="240" w:after="283"/>
        <w:jc w:val="both"/>
        <w:rPr/>
      </w:pPr>
      <w:r>
        <w:rPr/>
        <w:t> </w:t>
      </w:r>
    </w:p>
    <w:p>
      <w:pPr>
        <w:pStyle w:val="TextBody"/>
        <w:bidi w:val="0"/>
        <w:jc w:val="both"/>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Our business involves a high degree of risk. You should carefully consider the material and other risks and uncertainties described and summarized below, as well as the other information in this Quarterly Report on Form 10-Q, including our consolidated financial statements and related notes and the section titled “Management’s Discussion and Analysis of Financial Condition and Results of Operations” and “Special Note Regarding Forward-Looking Statements,” before you make an investment decision. Our actual results could differ materially from those anticipated in the forward-looking statements as a result of factors that are described below and elsewhere in this Quarterly Report on Form 10-Q. The risks described below are not the only risks that we face. The occurrence of any of the events or developments described below could harm our business, financial condition, results of operations and prospects. As a result, the market price of our common stock could decline, and you may lose all or part of your investment in our common stock. New risks can emerge from time to time, and it is not possible to predict the impact that any factor or combination of factors may have on our business, prospects, financial condition and results of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Risks Related to Our Financial Position and Need for Additional Capital</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We are a clinical stage company and that may make it difficult for our stockholders to evaluate the success of our business to date and to assess our future viability.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clinical trials of our product candidates. We have never generated any revenue from drug sales. We have not obtained regulatory approvals for any of our current product candidates.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developments relating to macroeconomic conditions. We will need to transition from a company with a research and development focus to a company capable of supporting late-stage development and commercial activities. We may not be successful in such a transition. </w:t>
      </w:r>
    </w:p>
    <w:p>
      <w:pPr>
        <w:pStyle w:val="TextBody"/>
        <w:bidi w:val="0"/>
        <w:jc w:val="both"/>
        <w:rPr>
          <w:rFonts w:ascii="Times New Roman" w:hAnsi="Times New Roman"/>
          <w:sz w:val="20"/>
        </w:rPr>
      </w:pPr>
      <w:r>
        <w:rPr>
          <w:rFonts w:ascii="Times New Roman" w:hAnsi="Times New Roman"/>
          <w:b/>
          <w:i/>
          <w:color w:val="000000"/>
          <w:sz w:val="20"/>
        </w:rPr>
        <w:t>We have incurred significant operating losses since our inception and anticipate that we will incur continued losses for the foreseeable future.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inception, we have incurred significant operating losses. To date, we have financed our operations primarily through the issuance and sale of our convertible preferred stock to outside investors, collaborators in private equity financings, upfront payments under our collaborations and sales of our common stock in our initial public offering, or IPO, and multiple public and private offerings of common stock and our at-the market sales program. As of June 30, 2026, our cash and cash equivalents and marketable securities were $1,505 million. We have incurred net losses in each year since our inception, and we had an accumulated deficit of $1,196.4 million as of June 30, 2026. For the years ended December 31, 2025, 2024 and 2023, we reported net losses of $311.4 million, $223.9 million and $147.0 million, respectively. We reported net losses of $61.2 million and $130.4 million for the three and six months ended June 30, 2026 respectively, and $76.6 million and $142.2 million for the three and six months ended June 30, 2025,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We expect our expenses to significantly increase in connection with our ongoing activities, as we:</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initiate and complete preclinical studies and clinical trials for current or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prepare and submit Investigational New Drug applications, or INDs, with the FDA, for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 and scale up our capabilities to support our ongoing preclinical activities and clinical trials for our product candidates and commercialization of any of our product candidates for which we may obtain marketing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secure facilities to support continued growth in our research, development and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advance research and development related activities to expand our product pipeline;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expand and improve the capabilities of our drug discovery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seek regulatory approval for our product candidates that successfully complete clinical development;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 to manufacture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hire additional staff, including clinical, scientific and management personnel;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incur additional costs associated with continuing to operate as a public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Risks Related to Future Financial Condition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will need to raise substantial additional funding. If we are unable to raise capital when needed or on attractive terms, we would be forced to delay, scale back or discontinue some of our product candidate development programs or future commercialization efforts.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development of pharmaceutical drugs is capital-intensive.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we exercise our opt-in rights with collaborators or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approximately $1,505 million of cash and cash equivalents and marketable securities, which we expect will be sufficient to fund our operations into 2029. We have based this estimate on assumptions that may prove to be wrong, and we could use our capital resources sooner than we currently expect. This estimate also assumes that we do not obtain any additional funding through collaborations or other strategic alliances. Our future capital requirements will depend on, and could increase significantly as a result of,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progress, results and costs of drug discovery, preclinical development, laboratory testing and clinical trials for our current or future product candidates, including additional expenses attributable to adjusting our development plans (including any supply related matters);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prioritization and number of our research and development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timing and outcome of regulatory review of our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additional collaborations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achievement of milestones or occurrence of other developments that trigger payments under any existing or additional collaboration agreements we obtain;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are obligated to reimburse, or entitled to reimbursement of, clinical trial costs under future collaboration agreements, if 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acquire or in-license other current or future product candidates and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of securing manufacturing arrangements for commercial production;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of establishing or contracting for sales and marketing capabilities if we obtain regulatory clearances to market our current or future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 </w:t>
      </w:r>
    </w:p>
    <w:p>
      <w:pPr>
        <w:pStyle w:val="TextBody"/>
        <w:bidi w:val="0"/>
        <w:jc w:val="both"/>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will continue to incur increased costs as a result of operating as a public company, and our management will be required to devote substantial time to new compliance initiatives.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public company, we will continue to incur significant legal, accounting and other expenses. We are subject to the reporting requirements of the Securities Exchange Act of 1934, as amended, or the Exchange Act, the Sarbanes-Oxley Act of 2002, as amended, or Sarbanes-Oxley Act, and the Dodd-Frank Wall Street Reform and Consumer Protection Act, or the Dodd-Frank Act. For example, the Exchange Act requires, among other things, that we file with the Securities and Exchange Commission, or the SEC, annual, quarterly and current reports with respect to our business and financial condition. These reporting requirements continue to evolve, which has created uncertainty for public companies like us and accommodating these evolving standards may require increased legal and financial compliance costs and make some activities more time-consuming and costly.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these requirements divert the attention of our management and personnel from other business concerns, they could have a material adverse effect on our business, financial condition and results of operations. It may be more difficult and more expensive for us to obtain director and officer liability insurance in the future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then, additional financial institutions have experienced similar failures and have been placed into receivership. If other banks and financial institutions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delayed access to deposits or other financial assets or the uninsured loss of deposits or other financial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delayed or lost access to working capital sources and/or delays, inability or reductions in our ability to enter into new credit facilities or other working capital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or actual breach of contractual obligations that require us to maintain letters of credit or other credit support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or actual breach of financial covenants in any credit agreements or credit arrangements;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or actual cross-defaults in other credit agreements, credit arrangements or operating or financing agreements.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Risks Related to Drug Development and Regulatory Approval</w:t>
      </w:r>
      <w:r>
        <w:rPr>
          <w:rFonts w:ascii="Times New Roman" w:hAnsi="Times New Roman"/>
          <w:color w:val="000000"/>
          <w:sz w:val="20"/>
        </w:rPr>
        <w:t xml:space="preserve">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Risks Related to Preclinical and Clinical Development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are very early in our development efforts and our STAT6 and IRF5 programs are in early clinical development with additional programs in preclinical development or early clinical development. If we or our collaborators are unable to advance our programs into and through the clinic for safety or efficacy reasons or commercialize our product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can advance and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ongoing or planned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preclinical studies and timing of IND clearances of current and future product candidates, and/or clinical trial costs for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successful initiation, enrollment of and completion of clinical trials for current and future product candidates, including our ability to generate positive data from any such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receive regulatory approvals from applicable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initiation and successful completion of all safety studies required to obtain U.S. and foreign marketing approval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associated with the development of any additional development programs we identify in-house or acquire through collaborations or other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and maintain manufacturing capabilities or make arrangements with third-party manufacturers for clinical supply and commercial manufacturing;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and maintaining patent and trade secret protection or regulatory exclusivity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launching commercial sales of our product candidates, if and when approved, whether alone or in collaboration with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and maintaining acceptance of our product candidates, if and when approved, by patients, the medical community and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effectively competing with other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our existing collaborations as well as the terms and timing of any additional collaboration, license or other arrangement, including the terms and timing of any payments thereunder;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enforce and defend intellectual property rights and claims;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a continued acceptable safety profile of our product candidates following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Our approach to the discovery and development of product candidates is novel and unproven, which makes it difficult to predict the time, cost of development and likelihood of successfully developing any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utilize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these factors, it is more difficult for us to predict the time and cost of product candidate development, and we cannot predict whether the application of our expertise in TPD will result in the development and marketing approval of any products. Any development problems we experience in the future related to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 </w:t>
      </w:r>
    </w:p>
    <w:p>
      <w:pPr>
        <w:pStyle w:val="TextBody"/>
        <w:bidi w:val="0"/>
        <w:jc w:val="both"/>
        <w:rPr>
          <w:rFonts w:ascii="Times New Roman" w:hAnsi="Times New Roman"/>
          <w:sz w:val="20"/>
        </w:rPr>
      </w:pPr>
      <w:r>
        <w:rPr>
          <w:rFonts w:ascii="Times New Roman" w:hAnsi="Times New Roman"/>
          <w:b/>
          <w:i/>
          <w:color w:val="000000"/>
          <w:sz w:val="20"/>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key element of our strategy is to apply our expertise in TPD,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focus on a limited number of research programs and product candidates. We are currently focused on our immunology portfolio, consisting of our STAT6, IRF5 and IRAK4 programs, which target key signaling pathways implicated in multiple inflammatory and autoimmune diseases, as well our CDK2 program in oncology. In some instances, we may decide to discontinue our investment in programs. For example, in May 2025 we made the strategic decision to not advance KT-295 (TYK2) into further clinical development. Additionally, in June 2025, we announced our partner Sanofi’s decisions to discontinue the development of KT-474 (IRAK4) in order to prioritize the development of a second generation IRAK4 degrader, KT-485. As a result, we or our collaborators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heavily on the successful development of our lead programs. We cannot be certain that we will be able to obtain regulatory approval for, or successfully commercialize, any of our current or future product candidates.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currently have no product candidates approved for sale and may never be able to develop marketable product candidates. Our business depends heavily on the successful development, regulatory approval and commercialization of our current or future product candidates. The preclinical studies and clinical trials of our current or future product candidates are, and the manufacturing and marketing of our current or future product candidates will be, subject to extensive and rigorous review and regulation by numerous government authorities, including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For example, the preclinical and manufacturing data we submit to obtain authorization to proceed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into human clinical trials may not be accepted initially or at all by a government authority, which could result in a clinical hold on a product candidate. Clinical holds can delay clinical trial initiation and, even if successfully resolved, could occur at any time during clinical development as new data or information emerges. The drug development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w:t>
      </w:r>
    </w:p>
    <w:p>
      <w:pPr>
        <w:pStyle w:val="TextBody"/>
        <w:bidi w:val="0"/>
        <w:jc w:val="both"/>
        <w:rPr>
          <w:rFonts w:ascii="Times New Roman" w:hAnsi="Times New Roman"/>
          <w:color w:val="000000"/>
          <w:sz w:val="20"/>
        </w:rPr>
      </w:pPr>
      <w:r>
        <w:rPr>
          <w:rFonts w:ascii="Times New Roman" w:hAnsi="Times New Roman"/>
          <w:color w:val="000000"/>
          <w:sz w:val="20"/>
        </w:rPr>
        <w:t xml:space="preserve">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demonstrate that our current or future product candidates are safe and effective in treating their target indications to the satisfaction of the FDA or applicable foreign regulatory agency;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our preclinical studies and clinical trials may not meet the level of statistical or clinical significance required by the FDA or applicable foreign regulatory agency for marketing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applicable foreign regulatory agency may disagree with the number, design, size, conduct or implementation of our preclinical studies and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applicable foreign regulatory agency may require that we conduct additional preclinical studies and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applicable foreign regulatory agency may not approve the formulation, labeling or specifications of any of our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contract research organizations, or CROs, that we retain to conduct our preclinical studies and clinical trials may take actions outside of our control that materially adversely impact our preclinical studies and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applicable foreign regulatory agency may find the data from preclinical studies and clinical trials insufficient to demonstrate that our current or future product candidates’ clinical and other benefits outweigh their safety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applicable foreign regulatory agency may disagree with our interpretation of data from our preclinical studies and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applicable foreign regulatory agency may not accept data generated at our preclinical studies and clinical trial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require development of a Risk Evaluation and Mitigation Strategy, or REMS, as a condition of approval or post-approval;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the applicable foreign regulatory agency may determine that the manufacturing processes or facilities of third-party manufacturers with which we contract do not conform to applicable requirements, including current Good Manufacturing Practices, or cGMPs;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applicable foreign regulatory agency may be delayed in its review processes due to staffing or other constraints;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applicable foreign regulatory agency may change its approval policies or adopt new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If we experience delays or difficulties in the initiation or enrollment of patients in clinical trials, our receipt of necessary regulatory approvals could be delayed or prevented.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may be delays in trial initiation, including due to clinical holds or site activation delays,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or those trials conducted by our collaborators, may instead enroll in clinical trials of our competitors’ current or future product candidates.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Patient enrollment may be affected by other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competition with other companies for clinical sites or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participants to enroll in our clinical trials in our countries of interest;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severity of the disease under investigation;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eligibility criteria for the clinical trial in question;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an appropriate screening test for the indications we are pursuing;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perceived risks and benefits of the product candidate under study;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efforts to facilitate timely enrollment in and completion of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patient referral practices of physicians;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to monitor patients adequately during and after treatment;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proximity and availability of clinical trial sites for prospective patients;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factors we may not be able to control, such as potential pandemics that may limit subjects, principal investigators or staff or clinical site availability.</w:t>
      </w:r>
    </w:p>
    <w:p>
      <w:pPr>
        <w:pStyle w:val="TextBody"/>
        <w:bidi w:val="0"/>
        <w:jc w:val="both"/>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There can be no assurance that the final topline data from our trials will be consistent with such results or otherwise viewed as positive.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our clinical trials,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w:t>
      </w:r>
    </w:p>
    <w:p>
      <w:pPr>
        <w:pStyle w:val="TextBody"/>
        <w:bidi w:val="0"/>
        <w:jc w:val="both"/>
        <w:rPr>
          <w:rFonts w:ascii="Times New Roman" w:hAnsi="Times New Roman"/>
          <w:sz w:val="20"/>
        </w:rPr>
      </w:pPr>
      <w:r>
        <w:rPr>
          <w:rFonts w:ascii="Times New Roman" w:hAnsi="Times New Roman"/>
          <w:b/>
          <w:i/>
          <w:color w:val="000000"/>
          <w:sz w:val="20"/>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Positive results from our preclinical studies of our current or future product candidates, and any positive results we may obtain from our early clinical trials of our current or future product candidates, including the preclinical results that supported IND clearance for KT-579, ongoing clinical trials of KT-621, KT-579 and KT-485,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and/or clinical trials of our current or future product candidates, including KT-621 and KT-579, may not be replicated in subsequent preclinical studies or clinical trials. In particular, while we have conducted certain preclinical studies of KT-621 and KT-579, we do not know whether any of these product candidates will perform in our planned clinical trials as it has performed in these prior preclinical studies. For example, in preclinical studies KT-621 demonstrated full inhibition of IL-4/IL-13 pathway in all relevant human cell contexts with picomolar potency that exceeded published data for dupilumab, and equivalent or superior activity to dupilumab. However, there is no guarantee these preclinical results will be replicated in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our planned or future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pStyle w:val="TextBody"/>
        <w:bidi w:val="0"/>
        <w:jc w:val="both"/>
        <w:rPr>
          <w:rFonts w:ascii="Times New Roman" w:hAnsi="Times New Roman"/>
          <w:sz w:val="20"/>
        </w:rPr>
      </w:pPr>
      <w:r>
        <w:rPr>
          <w:rFonts w:ascii="Times New Roman" w:hAnsi="Times New Roman"/>
          <w:b/>
          <w:i/>
          <w:color w:val="000000"/>
          <w:sz w:val="20"/>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KT-621 for a broad set of immunology indications, with potential indications to include AD, asthma, COPD, CRSwNP, EoE, PN and others. We are developing KT-579 for immunology indications, with potential indications to include lupus, Sjögren's, IBD, RA and others.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A pandemic, epidemic, or outbreak of an infectious disease may materially and adversely affect our business and our financial results and could cause a disruption to the development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Public health crises such as pandemics or similar outbreaks could adversely impact our business. Infectious diseases may also affect research activities and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any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negative effect on the operations of our third-party manufacturers and the supply chain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interruptions in global shipping affecting the transport of clinical trial materials, such as patient samples, investigational drug product and conditioning drugs and other supplies used in our current and prospective clinical trials;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presently predict the scope and severity of additional planned and potential shutdowns or disruptions of businesses and government agencies, such as the SEC or FDA.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pStyle w:val="TextBody"/>
        <w:bidi w:val="0"/>
        <w:jc w:val="both"/>
        <w:rPr>
          <w:rFonts w:ascii="Times New Roman" w:hAnsi="Times New Roman"/>
          <w:sz w:val="20"/>
        </w:rPr>
      </w:pPr>
      <w:r>
        <w:rPr>
          <w:rFonts w:ascii="Times New Roman" w:hAnsi="Times New Roman"/>
          <w:b/>
          <w:i/>
          <w:color w:val="000000"/>
          <w:sz w:val="20"/>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withdraw or limit their approval of such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“boxed” warning or a contraindication;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create a medication guide outlining the risks of such side effects for distribution to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change the way such current or future product candidates are distributed or administered, conduct additional clinical trials or change the labeling of the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require a REMS plan to mitigate risks, which could include medication guides, physician communication plans, or elements to assure safe use, such as restricted distribution methods, patient registries and other risk minimization tools;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subject to regulatory investigations and government enforcement actions;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decide to remove such current or future product candidates from the marketplace;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be sued and held liable for injury caused to individuals exposed to or taking our current or future product candidates;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Legislative and regulatory actions have been taken that have the potential to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On December 18, 2025, for example, the National Defense Authorization Act for Fiscal Year 2026 (“NDAA”) was enacted, which includes Section 851, commonly referred to as the “BIOSECURE Act.” The BIOSECURE Act restricts U.S. government agencies from procuring certain biotechnology equipment or services from, or entering into contracts with, entities that use biotechnology equipment or services from designated “biotechnology companies of concern,” and from expending certain federal loan or grant funds for such equipment or services. While the BIOSECURE Act is primarily directed at U.S. government procurement and funding and has not yet been fully implemented through final regulations, there remains a continued policy interest in limiting U.S. companies’ relationships with biotechnology providers with relationships with foreign adversaries. The potential downstream adverse impacts on entities having only commercial relationships with any impacted biotechnology providers is unknown but may include supply chain disruptions or delays. Though we do not currently receive U.S. government funding, we rely on third-party service providers and may have collaborators, investors, customers, or future commercial partners that receive U.S. government funding and could be subject to BIOSECURE-related restrictions. We regularly evaluate steps to mitigate any potential impact of any future expanded or modified legislation or regulatory or administrative actions towards foreign entities providing services to U.S. based companies. Depending on the terms of any final legislation or administrative actions that may be enacted, these steps could result in additional costs and potential delays in development timelines resulting from related transition efforts. </w:t>
      </w:r>
    </w:p>
    <w:p>
      <w:pPr>
        <w:pStyle w:val="TextBody"/>
        <w:bidi w:val="0"/>
        <w:jc w:val="both"/>
        <w:rPr>
          <w:rFonts w:ascii="Times New Roman" w:hAnsi="Times New Roman"/>
          <w:color w:val="000000"/>
          <w:sz w:val="20"/>
        </w:rPr>
      </w:pPr>
      <w:r>
        <w:rPr>
          <w:rFonts w:ascii="Times New Roman" w:hAnsi="Times New Roman"/>
          <w:color w:val="000000"/>
          <w:sz w:val="20"/>
        </w:rPr>
        <w:t>Further, there have been, and may continue to be, significant changes to U.S. trade policies, sanctions, legislation, treaties, and tariffs, including, but not limited to, trade policies and tariffs affecting products from outside of the U.S. The extent and duration of increased tariffs and the resulting impact on general economic conditions and on our business are not known and depend on various factors, such as negotiations between the U.S. and affected countries, their respective responses, potential exemptions or exclusions, and availability and cost of alternative sources of supply. Supply chain disruptions and delays could also negatively impact our cost of materials and production processes. If we are unable to obtain these materials in sufficient quantity and in a timely manner, the development, testing, and our clinical trials and any future product candidates may be delayed or infeasible, and regulatory approval or commercial launch may be delayed or not obtained, which could significantly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 frames under which modified manufacturing processes can be used for any of our current or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Risks Related to Regulatory Approval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current or future product candidates and the activities associated with their development and commercialization, including their design, testing, manufacture, safety, efficacy, record 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changes in leadership,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The U.S. Supreme Court’s decision in July 2024 to overturn established case law giving deference to regulatory agencies’ interpretations of ambiguous statutory language has introduced uncertainty regarding the extent to which FDA’s regulations, policies and decisions may become subject to increasing legal challenges, delays or changes. Our current or future product candidates could be delayed in receiving, or fail to receive, regulatory approval for many reasons,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and effective for its proposed indication;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data collected from clinical trials of our current or future product candidates may not be sufficient to support the submission of an NDA or other submission or to obtain regulatory approval in the U.S. or elsewhere;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is substantial uncertainty as to the extent and manner in which the current administration will seek to modify or revise the requirements and policies of the FDA and other regulatory agencies with jurisdiction over our product candidates. The impending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uncertainty could present new challenges or potential opportunities as we navigate the clinical development and approval process for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 Even if we receive a designation for one or more of our product candidates, we may be unable to maintain the designation if FDA believes the conditions for the designation are no longer supported.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In December 2025 we received Fast Track Designation for KT-621 for atopic dermatitis and in April 2026 we received Fast Track Designation for KT-621 for moderate to severe asthma. We may in the future pursue Fast Track Designation for additional uses or other candidates. Even if we receive Fast Track Designation for certain current or future product candidates, we may not experience a faster development process, review or approval compared to conventional FDA procedures. Additionally,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or our collaborators may seek approval of KT-621, KT-579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or our collaborators may seek accelerated approval of KT-621, KT-579,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must specify the conditions for any post-approval trials by the date of accelerated approval and the agency has flexibility in setting forth such conditions, which may include enrollment targets, clinical trial protocol and milestones – including the target date of trial completion. The FDA is also permitted to require, as appropriate, that such trials be underway prior to approval or within a specific time period after the date of approval for a product granted accelerated approval. Accelerated approval sponsors must submit progress reports every six months on required post-approval trials. FDORA also gives the FDA increased authority to withdraw approval of a drug or biologic granted accelerated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pStyle w:val="TextBody"/>
        <w:bidi w:val="0"/>
        <w:jc w:val="both"/>
        <w:rPr>
          <w:rFonts w:ascii="Times New Roman" w:hAnsi="Times New Roman"/>
          <w:sz w:val="20"/>
        </w:rPr>
      </w:pPr>
      <w:r>
        <w:rPr>
          <w:rFonts w:ascii="Times New Roman" w:hAnsi="Times New Roman"/>
          <w:b/>
          <w:i/>
          <w:color w:val="000000"/>
          <w:sz w:val="20"/>
        </w:rPr>
        <w:t>We may seek Orphan Drug Designation for certain of our current or future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part of our business strategy, we may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criteria for orphan designation in the EU are similar in principle to the U.S. For more information, please see the section of our Annual Report on Form 10-K, filed with the SEC on February 26, 2026, titled “Business - Government Regulation - Government Regulation of Drugs Outside of the United States” In the European Union, orphan designation entitles a party to financial incentives such as reduction of fees or fee waivers.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and approved use or indication for that time period, except in limited circumstances. The applicable period is seven years in the U.S. and ten years in the European Union.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obtain Orphan Drug exclusivity for a product, that exclusivity may not effectively protect the product from competition because competing drugs containing a different active ingredient can be approved for the same approved use or indication. In addition, even after an orphan drug is approved, the FDA can subsequently approve the same drug for the same approved use or indication if the FDA concludes that the later drug is clinically superior in that it is shown to be safer, more effective or makes a major contribution to patient care.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If we or a regulatory agency discover problems with any of our future approved drugs, such as adverse events of unanticipated severity or frequency, or problems with the facility where such drug products are manufactured, a regulatory agency may impose restrictions on such drug products, the manufacturer or us, including requiring withdrawal of the product from the market or suspension of manufacturing. Additionally, under FDORA, sponsors of approved drugs and biologics must provide 6 months’ notice to the FDA of any changes in marketing status, or for discontinuing or interrupting supply of certain drugs, including the withdrawal of a drug, and failure to do so could result in a letter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citing such failure to comply and public posting of such letter and redacted company response which could damage our reputation.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restrictions on the marketing or manufacturing of the drug, withdrawal of the drug from the market, or voluntary drug recalls;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filed by us, or suspension or revocation of drug license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drug seizure or detention, or refusal to permit the import or export of drugs;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w:t>
      </w:r>
    </w:p>
    <w:p>
      <w:pPr>
        <w:pStyle w:val="TextBody"/>
        <w:bidi w:val="0"/>
        <w:jc w:val="both"/>
        <w:rPr>
          <w:rFonts w:ascii="Times New Roman" w:hAnsi="Times New Roman"/>
          <w:b/>
          <w:i/>
          <w:color w:val="000000"/>
          <w:sz w:val="20"/>
        </w:rPr>
      </w:pPr>
      <w:r>
        <w:rPr>
          <w:rFonts w:ascii="Times New Roman" w:hAnsi="Times New Roman"/>
          <w:b/>
          <w:i/>
          <w:color w:val="000000"/>
          <w:sz w:val="20"/>
        </w:rPr>
        <w:t>Inadequate funding for the FDA, the SEC and other government agencies, including from government shutdowns, or other disruptions to these agencies’ staffing and operations, could hinder their ability to hire and retain key leadership and other personnel, delay the review and approval of regulatory submissions, limit the development or implementation of regulatory programs,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the ability to hire and retain key personnel, and the ability to accept the payment of user fees, and statutory, regulatory and policy changes. Average review times at the agency have fluctuated in recent years as a result and may continue to fluctuate as a result of these factors. In addition, government funding of the SEC and other government agencies on which our operations may rely, including those that fund research and development activities, is subject to the political process, which is inherently fluid and unpredictable. For example, the current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at the FDA and other federal agencies, including from federal government shutdowns like the one that occurred in October 2025, and the partial government shutdown that occurred in January and February 2026, substantial leadership departures, personnel cuts, and policy changes, may also slow the time necessary for new drugs to be reviewed and/or approved, which would harm our business. These changes have been reported as resulting in instances of delays in the FDA’s responsiveness or in its ability to review IND submissions or applications, issue regulations or guidance, or implement or enforce regulatory requirements in a timely fashion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prolonged government shut down occurs again or if the FDA, NIH, SEC or the USPTO experiences significant decreases in funding or personnel, it could significantly impact the ability of the FDA to issue licenses needed for the conduct of our clinical trials, the NIH to conduct research or provide grants, and the abilities of the FDA and the USPTO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substantial uncertainty as to the extent and manner in which the current administration will seek to modify or revise the requirements and policies of the FDA and other regulatory agencies with jurisdiction over our product candidates and any products for which we obtain approval. Additionally, the current administration could also issue or promulgate executive orders, regulations, policies or guidance that adversely affect us or create a more challenging or costly environment to pursue the development of new therapeutic candidates or delay the review or effectiveness of required regulatory or securities filings. Also, state governments may seek to address or react to changes at the federal level with changes to their regulatory frameworks in a manner that could impact our operations.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Risks Related to Foreign Regulatory Approval and Foreign Markets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Even if we receive marketing approval for our current or future product candidates in the U.S., we may never receive regulatory approval to market our current or future product candidates outside of the U.S.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future growth may depend, in part, on our ability to penetrate foreign markets, where we would be subject to additional regulatory burdens and other risks and uncertainties that could materially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differing regulatory requirements in foreign countries, such that obtaining regulatory approvals outside of the U.S. may take longer and be more costly than obtaining approval in the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customers’ ability to obtain reimbursement for our current or future product candidates in foreign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burden of complying with complex and changing foreign regulatory, tax, accounting and legal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different medical practices and customs in foreign countries affecting acceptance in the marketplace;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import or export licensing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longer accounts receivable collection times;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longer lead times for shipping;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language barriers for technical training;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reduced protection of intellectual property rights in some foreign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existence of additional potentially relevant third-party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taxes, including withholding of payroll taxes;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difficulties staffing and managing foreign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 liability under the Foreign Corrupt Practices Act of 1977 or comparable foreign regulations;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interpretation of contractual provisions governed by foreign laws in the event of a contract dispute;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sales of our current or future product candidates could also be adversely affected by the imposition of governmental controls, political and economic instability, trade restrictions and changes in tariffs (including tariffs that have been or may in the future be imposed by the United States or other countries). </w:t>
      </w:r>
    </w:p>
    <w:p>
      <w:pPr>
        <w:pStyle w:val="TextBody"/>
        <w:bidi w:val="0"/>
        <w:jc w:val="both"/>
        <w:rPr>
          <w:rFonts w:ascii="Times New Roman" w:hAnsi="Times New Roman"/>
          <w:sz w:val="20"/>
        </w:rPr>
      </w:pPr>
      <w:r>
        <w:rPr>
          <w:rFonts w:ascii="Times New Roman" w:hAnsi="Times New Roman"/>
          <w:b/>
          <w:i/>
          <w:color w:val="000000"/>
          <w:sz w:val="20"/>
        </w:rPr>
        <w:t>We have conducted and may in the future conduct clinical trials for current or future product candidates outside the U.S., and the FDA and comparable foreign regulatory authorities may not accept data from such trials.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conducting and may in the future choose to conduct one or more clinical trials outside the U.S., including in Europe, Asia and other geographies.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and FDA has discussed proposals to increase user fees for marketing applications containing certain foreign clinical data. If the FDA or any comparable foreign regulatory authority does not accept such data, it would result in the need for additional trials, which could be costly and time-consuming, and which may result in the failure to receive approval for commercialization for the current or future product candidates that we may develop in the applicable jurisdiction or in the delay or halt in development of such candidates. </w:t>
      </w:r>
    </w:p>
    <w:p>
      <w:pPr>
        <w:pStyle w:val="TextBody"/>
        <w:bidi w:val="0"/>
        <w:jc w:val="both"/>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Among other matters, U.S. and foreign anti-corruption, including the Foreign Corrupt Practices Act (FCPA),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Anti-corruption and anti-bribery laws have been enforced aggressively in recent years and are interpreted broadly. Violations of Trade Laws can result in substantial criminal fines and civil penalties, imprisonment, the loss of trade privileges, debarment, tax reassessments, breach of contract and fraud litigation, reputational harm, and other consequences. As we increase our activities outside the United States, which may include increased interactions with officials and employees of government agencies or state-owned or -affiliated entities,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 We have direct or indirect interactions with officials and employees of government agencies or government-affiliated hospitals, universities, and other organizations.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Governments outside the United States tend to impose strict price controls, which may adversely affect our revenues, if any.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some countries,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products such as our product candidates, with an emphasis on private payors for access to commercial products. If reimbursement of our product candidates is unavailable or limited in scope or amount, or if pricing is set at unsatisfactory levels, our business could be materially harmed. </w:t>
      </w:r>
    </w:p>
    <w:p>
      <w:pPr>
        <w:pStyle w:val="TextBody"/>
        <w:bidi w:val="0"/>
        <w:jc w:val="both"/>
        <w:rPr>
          <w:rFonts w:ascii="Times New Roman" w:hAnsi="Times New Roman"/>
          <w:sz w:val="20"/>
        </w:rPr>
      </w:pPr>
      <w:r>
        <w:rPr>
          <w:rFonts w:ascii="Times New Roman" w:hAnsi="Times New Roman"/>
          <w:color w:val="000000"/>
          <w:sz w:val="20"/>
          <w:u w:val="single"/>
        </w:rPr>
        <w:t>Risks Related to Compliance with Healthcare and Other Regulations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Even if we are able to commercialize any current or future product candidates, such drugs may become subject to unfavorable pricing regulations or third-party coverage and reimbursement policies, which would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For more information, please see the section of our Annual Report on Form 10-K, filed with the SEC on February 26, 2026, entitled, “Business - Government Regulation - Other Healthcare Laws” and the section of our Annual Report entitled, “Business - Government Regulation - Current and Future Healthcare Reform Legislation”.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w:t>
        <w:br/>
        <w:t>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covered benefit under its health plan;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safe, effective and medically necessary;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appropriate for the specific patient;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cost-effective;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neither experimental nor investigational.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may be significant delays in obtaining coverage and reimbursement for newly approved drugs, and coverage may be more limited than the purposes for which the drug is approved by the FDA or similar regulatory authorities outside of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Current and future 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For more information, please see the section of our Annual Report on Form 10-K, filed with the SEC on February 26, 2026, entitled, “Business - Government Regulation - Current &amp; Future Healthcare Reform Legislation.”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payers of healthcare services to contain or reduce costs of healthcare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demand for any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set a price that we believe is fair for any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revenues and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For more information, please see the section of our Annual Report on Form 10-K, filed with the SEC on February 26, 2026, entitled “Business - Government Regulation - Other Regulatory Matters - Other Healthcare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and the Bribery Act 2010 in the U.K..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employees, principal investigators, CROs and consultants may engage in misconduct or other improper activities, including non-compliance with regulatory standards and requirements and insider trading laws.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 </w:t>
      </w:r>
    </w:p>
    <w:p>
      <w:pPr>
        <w:pStyle w:val="TextBody"/>
        <w:bidi w:val="0"/>
        <w:jc w:val="both"/>
        <w:rPr>
          <w:rFonts w:ascii="Times New Roman" w:hAnsi="Times New Roman"/>
          <w:sz w:val="20"/>
        </w:rPr>
      </w:pPr>
      <w:r>
        <w:rPr>
          <w:rFonts w:ascii="Times New Roman" w:hAnsi="Times New Roman"/>
          <w:b/>
          <w:color w:val="000000"/>
          <w:sz w:val="20"/>
        </w:rPr>
        <w:t>Risks Related to Commercialization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i/>
          <w:color w:val="000000"/>
          <w:sz w:val="20"/>
        </w:rPr>
        <w:t>Even if we receive marketing approval for our current or future product candidates, our current or future product candidates may not achieve broad market acceptance, which would limit the revenue that we generate from their sales.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or warnings contained in the labeling approved for our current or future product candidates by the FDA or other applicable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clinical indications for which our current or future product candidates are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availability of alternative treatments already approved or expected to be commercially launched in the near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and perceived advantages of our current or future product candidates over current treatment options or alternative treatments, including future alternative treatments;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or treatment methods and of physicians to prescribe these therapies or methods;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need to dose such product candidates in combination with other therapeutic agents, and related costs;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strength of marketing and distribution support and timing of market introduction of competitive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publicity concerning our products or competing products and treatments;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pricing and cost effectiveness;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effectiveness of our sales and marketing strategies;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increase awareness of our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sufficient third-party coverage or reimbursement;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patients to pay out-of-pocket in the absence of third-party coverage.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drugs before or more successfully than we do.</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Companies developing small molecule protein degraders therapies for patients, include, but are not limited to, Arvinas, Inc., C4 Therapeutics, Inc., Nurix Therapeutics, Inc., and Foghorn Therapeutics, Inc. Further, several large pharmaceutical companies have disclosed preclinical investments in this field. In particular, several pharmaceutical companies have announced partnerships around programs targeting STAT6, including Sanofi, Johnson &amp; Johnson and Gilead.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STAT6, IRF5, and CDK2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 </w:t>
      </w:r>
    </w:p>
    <w:p>
      <w:pPr>
        <w:pStyle w:val="TextBody"/>
        <w:bidi w:val="0"/>
        <w:jc w:val="both"/>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current or future product candidates that we may develop.</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for any current or future product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significant costs to defend the related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commercialize any current or future product candidates that we may develop.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anticipate that we will need to increase our insurance coverage when we begin later stage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t>
      </w:r>
    </w:p>
    <w:p>
      <w:pPr>
        <w:pStyle w:val="TextBody"/>
        <w:bidi w:val="0"/>
        <w:jc w:val="both"/>
        <w:rPr>
          <w:rFonts w:ascii="Times New Roman" w:hAnsi="Times New Roman"/>
          <w:color w:val="000000"/>
          <w:sz w:val="20"/>
        </w:rPr>
      </w:pPr>
      <w:r>
        <w:rPr>
          <w:rFonts w:ascii="Times New Roman" w:hAnsi="Times New Roman"/>
          <w:color w:val="000000"/>
          <w:sz w:val="20"/>
        </w:rPr>
        <w:t xml:space="preserve">Factors that may inhibit our or our third-party collaborators' efforts to commercialize our current or future product candidates on our own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recruit and retain adequate numbers of effective sales and marketing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sales personnel to obtain access to physicians or persuade adequate numbers of physicians to prescribe any future drugs;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lack of complementary drugs to be offered by sales personnel, which may put us at a competitive disadvantage relative to companies with more extensive product lines;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 </w:t>
      </w:r>
    </w:p>
    <w:p>
      <w:pPr>
        <w:pStyle w:val="TextBody"/>
        <w:bidi w:val="0"/>
        <w:jc w:val="both"/>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utilize and depend upon independent investigators and collaborators, such as medical institutions, CROs, contract laboratories, contract manufacturing organizations and strategic partners to help conduct or otherwise support our preclinical studies and clinical trials for our current product candidates, and we expect to rely on such third parties for our future product candidates. We do not have the ability to independently conduct clinical trials. We rely heavily on external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protected. These regulations are enforced by the FDA, the Competent Authorities of the Member States of the European Economic Area 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public notifications of noncompliance, civil monetary penalties, adverse publicity and can also prevent the non-compliant party from receiving future grant funds from the federal government.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designed the Phase 1 and 2 trials of KT-621 and Phase 1 trial of KT-579,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experience regulatory compliance issues;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fail to comply with regulatory requirements, or if they need to be replaced, any clinical trials such CROs are associated with may be extended, delayed or terminated,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 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 </w:t>
      </w:r>
    </w:p>
    <w:p>
      <w:pPr>
        <w:pStyle w:val="TextBody"/>
        <w:bidi w:val="0"/>
        <w:spacing w:before="240" w:after="283"/>
        <w:jc w:val="both"/>
        <w:rPr>
          <w:rFonts w:ascii="Times New Roman" w:hAnsi="Times New Roman"/>
          <w:sz w:val="20"/>
        </w:rPr>
      </w:pPr>
      <w:r>
        <w:rPr>
          <w:rFonts w:ascii="Times New Roman" w:hAnsi="Times New Roman"/>
          <w:b/>
          <w:i/>
          <w:color w:val="000000"/>
          <w:sz w:val="20"/>
        </w:rPr>
        <w:t>The third parties upon whom we rely for the supply of the API, drug product, and starting materials used in our product candidates are limited in number, and the loss of any of these suppliers could significantly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drug substance and drug product in our product candidates are supplied to us from a small number of suppliers, and in some cases sole source suppliers. We rely on and expect to continue to rely on our suppliers to develop our current or future product candidates, and to ultimately supply our commercial drugs in quantities sufficient to meet the market demand. We do not currently have arrangements in place for a second-source supply of all drug product or drug substance.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Regional or single-source dependencies may in some cases accentuate these risks. For example, the pharmaceutical industry generally and in some instances we or our collaborators or other third parties on which we rely on depend on China-based suppliers or services providers for certain raw materials, products and services and other activities. Our ability or the ability of our collaborators or such other third parties to continue to engage these China-based suppliers or service providers for certain preclinical research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clinical development programs could be restricted due to developments between the United States and China, including as a result of the escalation of tariffs or other trade restrictions.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BIOSECURE-related restrictions, and any future legislative, regulatory, or administrative actions expanding or modifying these restrictions, could negatively impact U.S. companies and institutions that accept U.S. funding for projects that utilize biotechnology equipment or services produced or provided by certain biotechnology providers having relationships with foreign adversaries. The potential downstream adverse impacts on entities having only commercial relationships with any impacted biotechnology providers is unknown but may include supply chain disruptions or delays. Though we do not currently receive U.S. government funding, BIOSECURE-related restrictions could indirectly affect our collaborators, customers, investors, or suppliers that receive U.S. government funding, and we are currently evaluating steps to mitigate any potential impact of any future expanded or modified legislation or regulatory or administrative actions applicable to foreign entities providing services to U.S. based companies. Depending on the terms of the final BIOSECURE Act, its implementing regulations, or any related future actions, these steps could result in additional costs and potential delays in development timelines resulting from related transition efforts. 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It may be difficult for us to assess their ability to timely meet our demand in the future based on past performance. </w:t>
      </w:r>
    </w:p>
    <w:p>
      <w:pPr>
        <w:pStyle w:val="TextBody"/>
        <w:bidi w:val="0"/>
        <w:jc w:val="both"/>
        <w:rPr>
          <w:rFonts w:ascii="Times New Roman" w:hAnsi="Times New Roman"/>
          <w:color w:val="000000"/>
          <w:sz w:val="20"/>
        </w:rPr>
      </w:pPr>
      <w:r>
        <w:rPr>
          <w:rFonts w:ascii="Times New Roman" w:hAnsi="Times New Roman"/>
          <w:color w:val="000000"/>
          <w:sz w:val="20"/>
        </w:rPr>
        <w:t xml:space="preserve">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 </w:t>
      </w:r>
    </w:p>
    <w:p>
      <w:pPr>
        <w:pStyle w:val="TextBody"/>
        <w:bidi w:val="0"/>
        <w:jc w:val="left"/>
        <w:rPr>
          <w:rFonts w:ascii="Times New Roman" w:hAnsi="Times New Roman"/>
          <w:b/>
          <w:i/>
          <w:color w:val="000000"/>
          <w:sz w:val="20"/>
        </w:rPr>
      </w:pPr>
      <w:r>
        <w:rPr>
          <w:rFonts w:ascii="Times New Roman" w:hAnsi="Times New Roman"/>
          <w:b/>
          <w:i/>
          <w:color w:val="000000"/>
          <w:sz w:val="20"/>
        </w:rPr>
        <w:t>We may depend on collaborations with other third parties for the development and commercialization of our product candidates in the future. If our collaborations are not successful, we may not be able to capitalize on the market potential of these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entered into a collaboration and licensing arrangement with Sanofi with respect to our IRAK4 program and Gilead with respect to our CDK2 program and we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collaborations involving our technologies or current or future product candidates are subject to numerous risks, which may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a collaboration;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stop a clinical trial, abandon a product candidate, repeat or conduct new clinical trials or require a new formulation of a product candidate for clinical testing;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collaborator with marketing and distribution rights to one or more products may not commit sufficient resources to their marketing and distribution;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disputes may arise between us and a collaborator that cause the delay or termination of the research, development or commercialization of our current or future product candidates, or that result in costly litigation or arbitration that diverts management attention and resources;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products that results from our collaborating with them, and in such cases, we would not have the exclusive right to commercialize such intellectual property;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not pay milestones and royalties due to the company in a timely manner.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For example, we granted our collaboration partner Gilead an exclusive option for an exclusive license with respect to our CDK2 program and Gilead exercised that option in April 2026. Future payments under our licensing arrangement with Gilead are contingent upon Gilead’s sole execution of the CDK2 program. In addition, Sanofi has significant discretion in determining the efforts and resources that it will apply to advance clinical trials of KT-485. As a result of the factors noted above, we may not be able to realize the benefit of our existing collaboration and licensing arrangements or any future strategic partnerships or acquisitions, collaborations or license arrangements we may enter into, which could delay our timelines or otherwise adversely affect our business.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 </w:t>
      </w:r>
    </w:p>
    <w:p>
      <w:pPr>
        <w:pStyle w:val="TextBody"/>
        <w:bidi w:val="0"/>
        <w:jc w:val="both"/>
        <w:rPr>
          <w:rFonts w:ascii="Times New Roman" w:hAnsi="Times New Roman"/>
          <w:sz w:val="20"/>
        </w:rPr>
      </w:pPr>
      <w:r>
        <w:rPr>
          <w:rFonts w:ascii="Times New Roman" w:hAnsi="Times New Roman"/>
          <w:b/>
          <w:i/>
          <w:color w:val="000000"/>
          <w:sz w:val="20"/>
        </w:rPr>
        <w:t>If our third-party manufacturers use hazardous and biological materials in a manner that causes injury or violates applicable law, we may be liable for damages.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 </w:t>
      </w:r>
    </w:p>
    <w:p>
      <w:pPr>
        <w:pStyle w:val="TextBody"/>
        <w:bidi w:val="0"/>
        <w:jc w:val="both"/>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both"/>
        <w:rPr>
          <w:rFonts w:ascii="Times New Roman" w:hAnsi="Times New Roman"/>
          <w:sz w:val="20"/>
        </w:rPr>
      </w:pPr>
      <w:r>
        <w:rPr>
          <w:rFonts w:ascii="Times New Roman" w:hAnsi="Times New Roman"/>
          <w:b/>
          <w:i/>
          <w:color w:val="000000"/>
          <w:sz w:val="20"/>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commercial success depends in part on our ability to obtain and maintain patent or other intellectual property protection in the U.S. and other countries for our current or future product candidates and our core technologies, including our proprietary TPD expertise, and our STAT6, IRAK4, IRF5, and CDK2 programs, which are 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own patent applications and patents related to our TPD technology and our novel bifunctional degrader compounds, including claims to compositions of matter, pharmaceutical compositions, methods of use, methods of treatment, and other related methods.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TPD expertise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patent term adjustments,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the Unified Patent Court, or UPC, or in other countries or jurisdictions.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not be able to pursue patent coverage of our current or future product candidates, our TPD expertise, or other technologies in all countries. Filing, prosecuting and defending patents on current or future product candidates, our TPD expertise,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not obtain or grant licenses or sublicenses to intellectual property rights in all markets on equally or sufficiently favorable terms with third parties.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our TPD expertise,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Disputes may also arise between us and our current or future licensors regarding intellectual property subject to a license agreement,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misappropriate or otherwise violate intellectual property rights of the licensor that are not subject to the licensing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right to sublicense patent and other rights to third parties under collaborative development relationships;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our current or future product candidates, and what activities satisfy those diligence obligations;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priority of invention of any patented technology;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by our current or future licensors and us and our partners.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 </w:t>
      </w:r>
    </w:p>
    <w:p>
      <w:pPr>
        <w:pStyle w:val="TextBody"/>
        <w:bidi w:val="0"/>
        <w:jc w:val="both"/>
        <w:rPr>
          <w:rFonts w:ascii="Times New Roman" w:hAnsi="Times New Roman"/>
          <w:sz w:val="20"/>
        </w:rPr>
      </w:pPr>
      <w:r>
        <w:rPr>
          <w:rFonts w:ascii="Times New Roman" w:hAnsi="Times New Roman"/>
          <w:b/>
          <w:i/>
          <w:color w:val="000000"/>
          <w:sz w:val="20"/>
        </w:rPr>
        <w:t>Intellectual property rights do not guarantee commercial success of current or future product candidates or other business activities. Numerous factors may limit any potential competitive advantage provided by our intellectual property rights.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 applications that we own or may in-license may not lead to issued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patents, should they issue, that we may own or in-license, may not provide us with any competitive advantages, may be narrowed in scope, or may be challenged and held invalid or unenforceable;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parties may compete with us in jurisdictions where we do not pursue and obtain patent protection;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 our future licensors or collaborators, might not have been the first to make the inventions covered by a patent application that we own or may in-license;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 our future licensors or collaborators, might not have been the first to file patent applications covering a particular invention;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misappropriating or otherwise violating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obtain and/or maintain necessary licenses on reasonable terms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parties may assert an ownership interest in our intellectual property and, if successful, such disputes may preclude us from exercising exclusive rights, or any rights at all, over that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trade secrets or know-how;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maintain the confidentiality of our trade secrets or other proprietary information;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develop or in-license additional proprietary technologies that are patentable;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Should any of these events occur, they could significantly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Risks Related to Patent Protection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i/>
          <w:color w:val="000000"/>
          <w:sz w:val="20"/>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current or future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Our Trademarks, Trade Names and Trade Secrets</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trademarks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or impediments to building our product brand recognition.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during the trademark registration process, we may receive Office Actions from the USPTO or from comparable agencies in foreign jurisdictions refusing registration of our trademarks.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pStyle w:val="TextBody"/>
        <w:bidi w:val="0"/>
        <w:jc w:val="both"/>
        <w:rPr>
          <w:rFonts w:ascii="Times New Roman" w:hAnsi="Times New Roman"/>
          <w:sz w:val="20"/>
        </w:rPr>
      </w:pPr>
      <w:r>
        <w:rPr>
          <w:rFonts w:ascii="Times New Roman" w:hAnsi="Times New Roman"/>
          <w:b/>
          <w:i/>
          <w:color w:val="000000"/>
          <w:sz w:val="20"/>
        </w:rPr>
        <w:t>If we are unable to adequately protect and enforce our trade secrets, our business and competitive position would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Risks Related to Intellectual Property Litigation and Infringement Claims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may initiate, become a defendant in, or otherwise become party to lawsuits to protect or enforce our intellectual property rights, which could be expensive, time-consuming and unsuccessful.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 </w:t>
      </w:r>
    </w:p>
    <w:p>
      <w:pPr>
        <w:pStyle w:val="TextBody"/>
        <w:bidi w:val="0"/>
        <w:jc w:val="both"/>
        <w:rPr>
          <w:rFonts w:ascii="Times New Roman" w:hAnsi="Times New Roman"/>
          <w:sz w:val="20"/>
        </w:rPr>
      </w:pPr>
      <w:r>
        <w:rPr>
          <w:rFonts w:ascii="Times New Roman" w:hAnsi="Times New Roman"/>
          <w:b/>
          <w:i/>
          <w:color w:val="000000"/>
          <w:sz w:val="20"/>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our TPD expertise,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our TPD expertise, or other technologies, are rightfully owned by their former or concurrent employer. Litigation may be necessary to defend against these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third party claims that we infringe, misappropriate or otherwise violate its intellectual property rights, we may face a number of issues,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infringement, misappropriation and other intellectual property claims which, regardless of merit, may be expensive and time-consuming to litigate and may divert our management’s attention from our core business and may impact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court prohibiting us from developing, manufacturing, marketing or selling our current or future product candidates, or from using our proprietary technologies, including our TPD expertise, unless the third-party licenses its product rights to us, which it is not required to do on commercially reasonable terms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redesigning our current or future product candidates or processes so they do not infringe, misappropriate or violate third-party intellectual property rights, which may not be possible or may require substantial monetary expenditures and time;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could be public announcements of the results of hearings, motions or other interim proceedings or developments, and, if securities analysts or investors perceive these results to be negative, it could have a substantial adverse effect on the price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TPD expertise may be impaired or delayed, which could in turn significantly harm our business. Even if we obtain a license, it may be nonexclusive, thereby giving our competitors access to the same technologies licensed to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reasonable terms, if at all. In that event, we would be unable to further develop and commercialize our current or future product candidates or technologies, which could harm our business significantly. </w:t>
      </w:r>
    </w:p>
    <w:p>
      <w:pPr>
        <w:pStyle w:val="TextBody"/>
        <w:bidi w:val="0"/>
        <w:jc w:val="both"/>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 </w:t>
      </w:r>
    </w:p>
    <w:p>
      <w:pPr>
        <w:pStyle w:val="TextBody"/>
        <w:bidi w:val="0"/>
        <w:jc w:val="both"/>
        <w:rPr>
          <w:rFonts w:ascii="Times New Roman" w:hAnsi="Times New Roman"/>
          <w:sz w:val="20"/>
        </w:rPr>
      </w:pPr>
      <w:r>
        <w:rPr>
          <w:rFonts w:ascii="Times New Roman" w:hAnsi="Times New Roman"/>
          <w:b/>
          <w:color w:val="000000"/>
          <w:sz w:val="20"/>
        </w:rPr>
        <w:t>Risks Related to Employee Matters, Managing Growth and Other Risks Related to Our Business</w:t>
      </w:r>
      <w:r>
        <w:rPr>
          <w:rFonts w:ascii="Times New Roman" w:hAnsi="Times New Roman"/>
          <w:color w:val="000000"/>
          <w:sz w:val="20"/>
        </w:rPr>
        <w:t xml:space="preserve">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Risks Related to Employee Matters and Managing Growth</w:t>
      </w:r>
    </w:p>
    <w:p>
      <w:pPr>
        <w:pStyle w:val="TextBody"/>
        <w:bidi w:val="0"/>
        <w:jc w:val="both"/>
        <w:rPr>
          <w:rFonts w:ascii="Times New Roman" w:hAnsi="Times New Roman"/>
          <w:sz w:val="20"/>
        </w:rPr>
      </w:pPr>
      <w:r>
        <w:rPr>
          <w:rFonts w:ascii="Times New Roman" w:hAnsi="Times New Roman"/>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highly dependent on the research and development, clinical and business development expertise of Nello Mainolfi, Ph.D., our President and Chief Executive Officer, Jared Gollob, M.D., our Chief Medical Officer, Bruce Jacobs, our Chief Financial Officer, Brian Adams, our Chief Legal Officer, Jeremy Chadwick, our Chief Operating Officer and Noah Goodman, our Chief Business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ability to attract new personnel may be impacted by restrictions on travel, changes to immigration policy or the availability of work visas under the current administration. If we are unable to continue to attract and retain high quality personnel, our ability to pursue our growth strategy will be limited.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will need to continue to develop and expand our company, and we may encounter difficulties in managing this development and expansion, which could disrupt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we had 273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management’s time and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 </w:t>
      </w:r>
    </w:p>
    <w:p>
      <w:pPr>
        <w:pStyle w:val="TextBody"/>
        <w:bidi w:val="0"/>
        <w:jc w:val="both"/>
        <w:rPr>
          <w:rFonts w:ascii="Times New Roman" w:hAnsi="Times New Roman"/>
          <w:b/>
          <w:i/>
          <w:color w:val="000000"/>
          <w:sz w:val="20"/>
        </w:rPr>
      </w:pPr>
      <w:r>
        <w:rPr>
          <w:rFonts w:ascii="Times New Roman" w:hAnsi="Times New Roman"/>
          <w:b/>
          <w:i/>
          <w:color w:val="000000"/>
          <w:sz w:val="20"/>
        </w:rPr>
        <w:t>We or the third parties upon whom we depend may be adversely affected by unforeseen global events, natural disasters, and our business continuity and disaster recovery plans may not adequately protect us from a serious disaster.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Unforeseen global events, such as macroeconomic conditions, outbreaks of violence, or geopolitical instability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Data and Privacy</w:t>
      </w:r>
    </w:p>
    <w:p>
      <w:pPr>
        <w:pStyle w:val="TextBody"/>
        <w:bidi w:val="0"/>
        <w:jc w:val="both"/>
        <w:rPr>
          <w:rFonts w:ascii="Times New Roman" w:hAnsi="Times New Roman"/>
          <w:sz w:val="20"/>
        </w:rPr>
      </w:pPr>
      <w:r>
        <w:rPr>
          <w:rFonts w:ascii="Times New Roman" w:hAnsi="Times New Roman"/>
          <w:b/>
          <w:i/>
          <w:color w:val="000000"/>
          <w:sz w:val="20"/>
        </w:rPr>
        <w:t>Our internal computer systems, or those of our third-party CROs or other contractors or consultants, may fail or suffer security breaches, which could result in a material disruption of our current or future product candidates’ development programs.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 </w:t>
      </w:r>
    </w:p>
    <w:p>
      <w:pPr>
        <w:pStyle w:val="TextBody"/>
        <w:bidi w:val="0"/>
        <w:jc w:val="both"/>
        <w:rPr>
          <w:rFonts w:ascii="Times New Roman" w:hAnsi="Times New Roman"/>
          <w:sz w:val="20"/>
        </w:rPr>
      </w:pPr>
      <w:r>
        <w:rPr>
          <w:rFonts w:ascii="Times New Roman" w:hAnsi="Times New Roman"/>
          <w:b/>
          <w:i/>
          <w:color w:val="000000"/>
          <w:sz w:val="20"/>
        </w:rPr>
        <w:t>We may be unable to adequately protect our information systems from cyberattacks, security incidents, or compromises, which could result in the disclosure of confidential or proprietary information, including personal data, damage our reputation, and subject us to significant financial and legal exposure.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security incident, or compromise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employee error or malfeasance, industrial espionage, wire fraud and other forms of cyber fraud, the deployment of harmful malware, denial-of-service, social engineering (including successful phishing attacks) or other means to threaten data security, confidentiality, integrity and availability. These attacks and activity are also being facilitated or enhanced by evolving technologies, including artificial intelligence.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incidents or breaches that would result in business, legal, financial or reputational harm to us, or would have a material adverse effect on our results of operations and financial condition. Attempts to disrupt or gain unauthorized access to our and our third-party vendors’ information systems from malicious third parties or insider threats may incorporate widely varying and frequently changing tactics, which may be enhanced or facilitated by artificial intelligence.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EU General Data Protection Regulation, or GDPR) and may cause a material adverse impact to our reputation, affect our ability to use collected data, conduct new studies and potentially disrupt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Like other companies in our industry, we and our service providers have experienced and may in the future experience cyberattacks and other attempts to disrupt or gain unauthorized access to our and our third-party vendors’ information systems. 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incidents, data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security incident or data breach.</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our collaborators and our service providers may be subject to a variety of privacy and data protection laws, regulations and contractual obligations, which may require us to incur substantial compliance costs, and any failure or perceived failure by us to comply with them could expose us to fines or other penalties and otherwise harm our business and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subject to data privacy and protection laws and regulations that apply to the collection, transmission, storage and use of sensitive information and personally-identifying information, which among other things, imposes certain requirements relating to the privacy, security and transmission of certain individually identifiable information. In addition, numerous other federal and state laws, including state security breach notification laws, state health information privacy laws and federal and state consumer protection laws, govern the collection, use, disclosure and security of personal information. These laws continue to change and evolve and are increasing in breadth and impact.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with respect to the collection and processing of personal data relating to the EU, European Economic Area (“EEA”) and United Kingdom (“UK”), we are subject to the EU General Data Protection Regulation (EU GDPR), the UK General Data Protection Regulation (UK GDPR), as well as applicable data protection laws in effect in the Member States of the EEA and in the UK (including the UK Data Protection Act 2018) which govern the processing of personal data in connection with (a) the offering of goods or services to/the monitoring of the behavior of individuals in the UK and EEA; or (b) the activities of our establishments in the UK and any EEA Member State. The UK’s data protection regime is independent from but aligned to the EU’s data protection regime. In this Form 10-Q, “GDPR” refers to both the EU GDPR and the UK GDPR, unless specified otherwise. The GDPR is wide-ranging in scope and imposes numerous requirements on companies that process personal data,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limiting retention periods for personal data, creating mandatory data breach notification requirements in certain circumstances, and requiring that certain measures (including contractual requirements) are put in place when engaging third-party service providers.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GDPR also imposes strict rules on the transfer of personal data to countries outside of the UK and EEA that do not ensure an adequate level of protection, including the United States in certain circumstances, unless derogation exists or a valid GDPR transfer mechanism (for example, the European Commission approved Standard Contractual Clauses (SCCs) and the UK International Data Transfer Agreement or Addendum (UK IDTA)) have been put in place, and transfer impact assessments conducted. The EU and U.S. have adopted its adequacy decision for the EU-U.S. Data Privacy Framework, or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Any inability to transfer personal data from the UK or EEA to the United States in compliance with data protection laws may impede our operations and may adversely affect our business and financial position.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UK’s data protection regime is independent from but aligned to the EU’s data protection regime. Although the UK is regarded as a third country under the EU’s GDPR, the European Commission has now issued an adequacy decision recognizing the UK as providing adequate protection under the EU GDPR and, therefore, transfers of personal data originating in the EEA to the UK remain unrestricted. In December 2025, the European Commission adopted a decision to extend the validity of the UK adequacy decision for six years until December 2031, determining that the UK continues to offer a level of data protection that is “essentially equivalent” to the EU standards. This follows the UK’s adoption of the Data (Use and Access) Act 2025 (the “DUAA”) on 19 June 2025. Like the EU GDPR, the UK GDPR restricts personal data transfers outside the UK to countries not regarded by the UK as providing adequate protection. The UK Government has confirmed that personal data transfers from the UK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comply with the requirements of the GDPR and the related national data protection laws of the EEA Member States and the UK may result in fines up to €20 million (17.5 million for the UK GDPR) or 4% of a company’s global annual revenues for the preceding financial year, whichever is higher. The GDPR also confers a private right of action on data subjects and consumer associations to lodge complaints with supervisory authorities, seek judicial remedies, and obtain compensation for damages resulting from violations of the GDPR. Complying with these European data protection laws may impose significant costs or otherwise require us to divert resources or implement changes to our business processes, and any actual or perceived non-compliance could result in significant penalties, claims and reputational damage.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several layers of federal and state data protection laws and regulations may apply to our business, including HIPAA, the Federal Trade Commission (FTC) Act and state consumer privacy and health data privacy laws. For example, the California Consumer Privacy Act (CCPA) is a comprehensive privacy law that creates individual privacy rights and increased privacy and security obligations on businesses handling the personal data of California residents. The CCPA requires covered businesses to provide certain disclosures to consumers about data collection, use and sharing practices, to allow California residents to opt out of certain sales and disclosures of personal information, and to opt out of certain uses of sensitive personal information, including health information. The law also created a regulatory agency in California, and that agency’s finalized and proposed regulations are continuing to change the standard of privacy protection we may be required to meet. Numerous other states have passed similar consumer privacy laws that are or will be implemented and enforced by various state regulators. Like the CCPA, these laws grant consumers rights in relation to their personal information and impose new obligations on regulated businesses, including, in some instances, broader data security requirements. These laws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more than a dozen states will make our compliance obligations more complex and costly and may increase the likelihood that we may be subject to enforcement actions or otherwise incur liability for noncompliance.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States are also putting in place laws that apply additional protections specifically to health information. For example, Washington’s My Health My Data Act, which went into effect in March 2024, requires regulated entities to obtain consent to collect health information, grants consumers certain rights, including to request deletion, and provides for robust enforcement mechanisms, including enforcement by the state attorney-general and by litigants through a private right of action for consumer claims. Connecticut and Nevada have also passed similar laws regulating consumer health data. In addition, other states have proposed or passed legislation that regulates the privacy and security of certain specific types of information. For example, a small number of states have passed laws that regulate biometric data specifically.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federal regulators are imposing new and heightened protections for health and other sensitive information that could impact our business. For example, the FTC has imposed stringent requirements on the collection and disclosure of sensitive categories of personal information, including health information, and has expanded the application of its Health Breach Notification Rule. Further, through executive and legislative action, the federal government restricts data transactions involving certain sensitive data categories – including health data, genetic data, and biospecimens – with persons affiliated with China, Russia, and other countries of concern, including through the Department of Justice’s January 8, 2025, rule on “Preventing Access to U.S. Sensitive Personal Data and Government-Related Data by Countries of Concern or Covered Persons”. The rule also prohibits covered businesses from engaging in certain investment agreements, employment agreements or vendor agreements involving such data and countries of concern, absent specified cybersecurity controls. Actual or alleged violations of these laws and regulations may be punishable by criminal and/or civil sanctions, result in exclusion from participation in federal and state programs or restrict our ability to use certain vendors, sites, investigators, or service providers in global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current and future data privacy laws and regulations may require us to modify our data collection or processing practices and policies, incur substantial costs and expenses in an effort to comply and increase our potential exposure to regulatory enforcement, reputational damage, and/or litigation.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Issues relating to the use of artificial intelligence and machine learning could adversely affect our business and operating results.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our ongoing efforts to innovate and develop product candidates, we have integrated artificial intelligence (AI) and machine learning into virtual screening, hit validation and optimization technologies. While AI and machine learning present opportunities for enhanced productivity and innovation, they also introduce cybersecurity, data privacy, IT, intellectual property, regulatory, legal, operational, competitive, reputational and other risks that could adversely impact our business and reputation. Specifically, risks related to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rapid evolution of AI will require the application of significant resources to design, develop, test and maintain our products and services to help ensure that AI is implemented in accordance with applicable laws and regulations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The use of certain AI technology can give rise to intellectual property risks, including compromises to proprietary intellectual property and intellectual property infringement.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evolving regulatory landscape surrounding AI also poses a risk, as new laws and regulations could impose additional compliance burdens, resulting in increased operational costs to comply with U.S. and non-U.S. laws concerning the use of AI. We expect to see increasing regulation related to AI use and ethics, which may also significantly increase the burden and cost of research, development and compliance in this area. For example, the EU’s Artificial Intelligence Act (“AI Act”) entered into force on August 1, 2024, and, with some exceptions, will become fully effective in August 2026. As enacted, the AI Act imposes significant obligations on providers and deployers of high-risk AI systems and general purpose AI models and encourages providers and deployers to account for EU ethical principles when developing and using AI technology.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Likewise, in the United States, the regulatory environment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Various federal and state regulators have also issued guidance and focused enforcement efforts on the use of AI in regulated sectors, such as healthcare. The U.S. Food and Drug Administration, for example, issued guidance on the use of AI in regulatory decision-making for drug and biological products that centers on the context of use while establishing a credibility assessment framework for establishing and evaluating AI model outputs intended to support regulatory decision-making. If we develop or use AI systems that are governed by these laws or regulations, including as informed by regulatory guidance, we will need to meet higher standards of data quality, transparency, and human oversight, as well as adhering to specific and potentially burdensome and costly ethical, accountability, and administrative requirements. We may also be subject to significant enforcement or litigation in the event of any perceived non-compliance.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committed to implementing governance and control mechanisms to mitigate these risks, but there can be no assurance that such measures will adequately prevent or mitigate the adverse effects that the integration and use of AI may have on our business, financial condition, and results of operations. 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The price of our common stock has been and may continue to be volatile and fluctuate substantially, and investors may lose all or part of their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conflicts in various regions of the world, increasing inflation rates, and interest rate changes, which have resulted in decreased stock prices for many companies notwithstanding the lack of a fundamental change in their underlying business models or prospects. As a result of this volatility, you may lose all or part of your investment. The market price for our common stock may be influenced by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competitive drugs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results of preclinical studies and clinical trials of our current or future product candidates or those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or legal developments in the U.S.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expenses related to any of our current or future product candidates or clinical development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our efforts to discover, develop, acquire or in-license additional current or future product candidates or drugs;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regarding our collaboration agreements, including announcements regarding our collaboration agreements with Sanofi and Gilead;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economic, industry and market conditions;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Unstable global economic and geopolitical conditions may have serious adverse consequences on our business, financial condition, stock price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potential for significant changes in U.S. policies or regulatory environment given the current administration, military conflict, including the ongoing conflicts between the U.S. and the Middle East, Russia and Ukraine, and in the Middle East, terrorism, or other geopolitical events. Sanctions imposed by the United States and other countries in response to such conflicts, including in the Middle East and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of the stock market and the general economic downturn. 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U.S. federal policy that affect the geopolitical landscape could give rise to circumstances outside our control that could have negative impacts on our business operations. For example, in 2025, the U.S. imposed substantial tariffs on imports from its trading partners, including, without limitation, Canada, Mexico, the EU and China. In response to tariffs, other countries have implemented retaliatory tariffs on U.S. goods. While certain tariffs were subsequently suspended, modified, or temporarily reduced, we cannot predict the results of the U.S. government's trade negotiations or the outcome of ongoing legal challenges to specific tariff policies. The impact of tariffs has already been seen, and we expect will continue to be seen, in global markets. In addition, the current U.S. administration has expressed an intent to impose tariffs on pharmaceutical imports, with the stated policy objective of reshoring pharmaceutical manufacturing to the United States. Among other means, such tariffs may be imposed by the United States under Section 232 of the Trade Expansion Act of 1962, as amended, pursuant to which the U.S. Department of Commerce recently initiated an investigation to determine the effects of importing pharmaceuticals and pharmaceutical ingredients on national security. The current U.S. administration has threatened to continue to broadly impose tariffs, which could lead to corresponding punitive actions by the countries with which the U.S. trades.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We are continuing to monitor global capital markets and assessing the potential impact of these factors on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severe or prolonged economic downturn or additional global financial crises could result in a variety of risks to our business, including weakened demand for any product candidates we develop or our ability to raise additional capital when needed on acceptable terms, if at all. For example, on October 1, 2025, the U.S. federal government shutdown through November 12, 2025, suspending services deemed non-essential as a result of the failure by Congress to enact regular appropriations for the 2026 fiscal year. If we experience another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 </w:t>
      </w:r>
    </w:p>
    <w:p>
      <w:pPr>
        <w:pStyle w:val="TextBody"/>
        <w:bidi w:val="0"/>
        <w:jc w:val="both"/>
        <w:rPr>
          <w:rFonts w:ascii="Times New Roman" w:hAnsi="Times New Roman"/>
          <w:sz w:val="20"/>
        </w:rPr>
      </w:pPr>
      <w:r>
        <w:rPr>
          <w:rFonts w:ascii="Times New Roman" w:hAnsi="Times New Roman"/>
          <w:b/>
          <w:i/>
          <w:color w:val="000000"/>
          <w:sz w:val="20"/>
        </w:rPr>
        <w:t>Our executive officers, directors, principal stockholders and their affiliates exercise significant influence over our company, which will limit your ability to influence corporate matters and could delay or prevent a change in corporate control.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the existing holdings of our executive officers, directors, principal stockholders and their affiliates represent beneficial ownership, in the aggregate, of approximately 20%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 The concentration of voting power among these stockholders may also have an adverse effect on the price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issued a substantial number of warrants and equity awards from our equity plans which are exercisable into shares of our common stock which could result in substantial dilution to the ownership interests of our existing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approximately 15,815,253 shares of our common stock were reserved for issuance upon exercise of pre-funded warrants. Additionally, 10,514,579 shares of our common stock were reserved for issuance upon exercise of outstanding stock options and vested restricted stock units. The exercise or conversion of these securities will result in a significant increase in the 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initial public offering continue to hold a substantial number of shares of our common stock that many of them are now able to sell in the public market. Significant portions of these shares are held by a relatively small number of stockholders, none of whom have entered into agreements restricting their ability to sell their shares. Sales by our stockholders of a substantial number of shares or distributions of their holdings to their respective limited partners and other equity holders, or the expectation that such sales or distributions, or the expectation that such sales may occur, could significantly reduce the market price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Shares issued upon the exercise of stock options outstanding or settlement of restricted stock units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holders of our common stock have rights, subject to conditions, to require us to file registration statements covering their shares or to include their shares in registration statements that we may file for ourselves or other stockholders. We are obligated to register, and have filed a resale registration statement to register, approximately 31.39 million shares of our common stock pursuant to certain resale registration rights granted to entities affiliated with members of our board of directors. 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We have also filed 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our prior sales agreement, or the Jefferies Sales Agreement, with Jefferies LLC, or Jefferies, we had the ability to offer and sell up to an aggregate amount of $300.0 million of our common stock from time to time in “at-the-market” offerings, subject to the limitations thereof. From October 31, 2024 through the date of its termination in February 2026, we did not make any sales pursuant to the Jefferies Sales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26, 2026, we entered into a Sales Agreement, or the Cowen Sales Agreement, with TD Securities (USA) LLC, or Cowen, pursuant to which we may offer and sell our common stock, subject to certain limitations in the sales agreement and compliance with applicable law, at any time throughout the term of the Cowen Sales Agreement. The number of shares that are sold by Cowen after delivering a placement notice will fluctuate based on the market price of the common stock during the sales period and limits we set with Cowen. Because the price per share of each share sold will fluctuate based on the market price of our common stock during the sales period, it is not possible at this stage to predict the number of shares that will be ultimately issued. Sales to, or through, Cowen by us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 As of June 30, 2026, there have not yet been any sales made pursuant to the Cowen Sales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Because we do not anticipate paying any cash dividends on our capital stock in the foreseeable future, capital appreciation, if any, will be investors’ sole source of gain.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at an increased risk of securities class action litigation.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Tax</w:t>
      </w:r>
    </w:p>
    <w:p>
      <w:pPr>
        <w:pStyle w:val="TextBody"/>
        <w:bidi w:val="0"/>
        <w:jc w:val="both"/>
        <w:rPr>
          <w:rFonts w:ascii="Times New Roman" w:hAnsi="Times New Roman"/>
          <w:b/>
          <w:i/>
          <w:color w:val="000000"/>
          <w:sz w:val="20"/>
        </w:rPr>
      </w:pPr>
      <w:r>
        <w:rPr>
          <w:rFonts w:ascii="Times New Roman" w:hAnsi="Times New Roman"/>
          <w:b/>
          <w:i/>
          <w:color w:val="000000"/>
          <w:sz w:val="20"/>
        </w:rPr>
        <w:t>Changes in tax law may adversely affect us or our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rules dealing with U.S. federal, state and local and non-U.S. taxation are constantly under review by persons involved in the legislative process and by the Internal Revenue Service, or IRS, the U.S. Treasury Department and other taxing authorities. For example, the One Big Beautiful Bill Act, or the OBBBA, was signed into law on July 4, 2025 and made significant changes to the U.S. federal tax law. Changes to tax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For example, under Section 174 of the Internal Revenue Code of 1986, as amended, or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 It cannot be predicted whether, when, in what form, or with what effective dates, new tax laws may be enacted, or regulations and rulings may be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we expand the scale of our business activities, any changes in the U.S. and non-U.S. taxation of such activities may increase our effective tax rate and harm our business, financial condition and results of operations. You are urged to consult your tax advisor regarding the implications of potential changes in tax laws on an investment in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utilize our net operating loss carryforwards and certain other tax attributes to offset future taxable income may be subject to certain limitations, and, as a result, unavailable to reduce our future tax liability.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we had federal and state net operating loss carryforwards of $571.6 million and $607.5 million, respectively, which begin to expire in various amounts in 2037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2025, we also had federal and state research and development tax credit carryforwards of $40.0 million and $18.6 million, respectively, which begin to expire in 2032. These net operating loss and tax credit carryforwards could expire unused and be unavailable to offset future income tax liabilities. In addition, in general, under Sections 382 and 383 of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Factors-Risks Related to our Financial Position and Need for Additional Capital,” we have incurred significant net losses since our inception and 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Risks Related to Our Controls and Reporting Requirements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i/>
          <w:color w:val="000000"/>
          <w:sz w:val="20"/>
        </w:rPr>
        <w:t>If we fail to maintain proper and effective internal control over financial reporting, our operating results and our ability to operate our business could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 </w:t>
      </w:r>
    </w:p>
    <w:p>
      <w:pPr>
        <w:pStyle w:val="TextBody"/>
        <w:bidi w:val="0"/>
        <w:jc w:val="both"/>
        <w:rPr>
          <w:rFonts w:ascii="Times New Roman" w:hAnsi="Times New Roman"/>
          <w:sz w:val="20"/>
        </w:rPr>
      </w:pPr>
      <w:r>
        <w:rPr>
          <w:rFonts w:ascii="Times New Roman" w:hAnsi="Times New Roman"/>
          <w:b/>
          <w:color w:val="000000"/>
          <w:sz w:val="20"/>
        </w:rPr>
        <w:t>Risks Related to Our Charter and Bylaws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board of directors divided into three classes serving staggered three-year terms, such that not all members of the board will be elected at one time;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prohibition on stockholder action through written consent, which requires that all stockholder actions be taken at a meeting of our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requirement that special meetings of stockholders be called only by the board of directors acting pursuant to a resolution approved by the affirmative vote of a majority of the directors then in office;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advance notice requirements for stockholder proposals and nominations for election to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requirement of approval of not less than two-thirds of all outstanding shares of our voting stock to amend any bylaws by stockholder action or to amend specific provisions of our certificate of incorporation;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authority of the board of directors to issue preferred stock on terms determined by the board of directors without stockholder approval and which preferred stock may include rights superior to the rights of the holders of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Our amended and restated bylaws designate specific courts as the exclusive forum for certain litigation that may be initiated by our stockholders,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federal district courts of the United States of America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of America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240" w:after="283"/>
        <w:jc w:val="both"/>
        <w:rPr>
          <w:rFonts w:ascii="Times New Roman" w:hAnsi="Times New Roman"/>
          <w:sz w:val="20"/>
        </w:rPr>
      </w:pPr>
      <w:r>
        <w:rPr>
          <w:rFonts w:ascii="Times New Roman" w:hAnsi="Times New Roman"/>
          <w:b/>
          <w:i/>
          <w:color w:val="000000"/>
          <w:sz w:val="20"/>
        </w:rPr>
        <w:t>The U.S. Congress or the current administration may make substantial changes to fiscal, tax, and other federal policies that may adversely affect our business.</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Since the start of the current administration in 2025, there have been significant changes to U.S. trade, healthcare, immigration and government regulatory policy and additional changes are likely. For example, the U.S. government has imposed substantial tariffs on most countries throughout the world and has further threatened to continue to broadly impose tariffs, which could lead to corresponding punitive actions by the countries with which the U.S. trades. Changes to U.S. policy implemented by the U.S. Congress, the current administration or any new future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7" w:name="item_2_unregistered_sales_of_equity"/>
      <w:bookmarkEnd w:id="17"/>
      <w:r>
        <w:rPr>
          <w:rFonts w:ascii="Times New Roman" w:hAnsi="Times New Roman"/>
          <w:b/>
          <w:color w:val="000000"/>
          <w:sz w:val="20"/>
        </w:rPr>
        <w:t>Item 2. Unregistered Sales of Equity Securities and Use of Proceeds.</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During the quarter ended June 30, 2026, we did not have any sales of unregistered securities.</w:t>
      </w:r>
    </w:p>
    <w:p>
      <w:pPr>
        <w:pStyle w:val="TextBody"/>
        <w:bidi w:val="0"/>
        <w:jc w:val="both"/>
        <w:rPr/>
      </w:pPr>
      <w:r>
        <w:rPr/>
        <w:t> </w:t>
      </w:r>
    </w:p>
    <w:p>
      <w:pPr>
        <w:pStyle w:val="TextBody"/>
        <w:bidi w:val="0"/>
        <w:jc w:val="both"/>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b/>
          <w:color w:val="000000"/>
          <w:sz w:val="20"/>
        </w:rPr>
      </w:pPr>
      <w:bookmarkStart w:id="20" w:name="item_5_other_information"/>
      <w:bookmarkEnd w:id="20"/>
      <w:r>
        <w:rPr>
          <w:rFonts w:ascii="Times New Roman" w:hAnsi="Times New Roman"/>
          <w:b/>
          <w:color w:val="000000"/>
          <w:sz w:val="20"/>
        </w:rPr>
        <w:t>Item 5. Other Information.</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trading arrangements for the purchase or sale of our securities entered into, modified or terminated by our Directors or Officers during the second quarter of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21" w:name="ii_item6"/>
      <w:bookmarkEnd w:id="21"/>
      <w:r>
        <w:rPr>
          <w:rFonts w:ascii="Times New Roman" w:hAnsi="Times New Roman"/>
          <w:b/>
          <w:color w:val="000000"/>
          <w:sz w:val="20"/>
        </w:rPr>
        <w:t>Item 6. E</w:t>
      </w:r>
      <w:bookmarkStart w:id="22" w:name="item_6_exhibits"/>
      <w:bookmarkEnd w:id="22"/>
      <w:r>
        <w:rPr>
          <w:rFonts w:ascii="Times New Roman" w:hAnsi="Times New Roman"/>
          <w:b/>
          <w:color w:val="000000"/>
          <w:sz w:val="20"/>
        </w:rPr>
        <w:t>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9275"/>
      </w:tblGrid>
      <w:tr>
        <w:trPr/>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5" w:type="dxa"/>
            <w:tcBorders/>
            <w:vAlign w:val="center"/>
          </w:tcPr>
          <w:p>
            <w:pPr>
              <w:pStyle w:val="TableContents"/>
              <w:bidi w:val="0"/>
              <w:spacing w:before="0" w:after="283"/>
              <w:jc w:val="left"/>
              <w:rPr>
                <w:sz w:val="4"/>
                <w:szCs w:val="4"/>
              </w:rPr>
            </w:pPr>
            <w:r>
              <w:rPr>
                <w:sz w:val="4"/>
                <w:szCs w:val="4"/>
              </w:rPr>
            </w:r>
          </w:p>
        </w:tc>
      </w:tr>
      <w:tr>
        <w:trPr/>
        <w:tc>
          <w:tcPr>
            <w:tcW w:w="784"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mr-ex10_1.htm">
              <w:r>
                <w:rPr>
                  <w:rStyle w:val="InternetLink"/>
                  <w:rFonts w:ascii="Times New Roman" w:hAnsi="Times New Roman"/>
                  <w:color w:val="0000FF"/>
                  <w:sz w:val="20"/>
                  <w:u w:val="single"/>
                </w:rPr>
                <w:t>Amended and Restated Non-Employee Director Compensation Policy dated June 24, 2026</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mr-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mr-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mr-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mr-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(formatted as Inline XBRL and contained in Exhibit 101)</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Kymera Therapeutics,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Nello Mainolfi,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Nello Mainolfi, Ph.D</w:t>
            </w: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Jacobs, CFA,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Jacobs, CFA,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kymr-ex10_1.htm"/>
      <w:bookmarkStart w:id="25" w:name="kskymrex10_1"/>
      <w:bookmarkEnd w:id="24"/>
      <w:bookmarkEnd w:id="25"/>
      <w:r>
        <w:rPr>
          <w:rFonts w:ascii="Times New Roman" w:hAnsi="Times New Roman"/>
          <w:b/>
          <w:color w:val="000000"/>
          <w:sz w:val="20"/>
        </w:rPr>
        <w:t>Exhibit 10.1</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KYMERA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AMENDED AND RESTATED</w:t>
      </w:r>
    </w:p>
    <w:p>
      <w:pPr>
        <w:pStyle w:val="TextBody"/>
        <w:bidi w:val="0"/>
        <w:spacing w:before="240" w:after="283"/>
        <w:jc w:val="center"/>
        <w:rPr>
          <w:rFonts w:ascii="Times New Roman" w:hAnsi="Times New Roman"/>
          <w:sz w:val="20"/>
        </w:rPr>
      </w:pPr>
      <w:r>
        <w:rPr>
          <w:rFonts w:ascii="Times New Roman" w:hAnsi="Times New Roman"/>
          <w:b/>
          <w:color w:val="000000"/>
          <w:sz w:val="20"/>
        </w:rPr>
        <w:t>NON-EMPLOYEE DIRECTOR COMPENSATION POLICY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purpose of this Non-Employee Director Compensation Policy (the “Policy”) of Kymera Therapeutics, Inc. (the “Company”) is to provide a total compensation package that enables the Company to attract and retain, on a long-term basis, high-caliber directors who are not employees or officers of the Company or its subsidiary (“Outside Directors”). In furtherance of the purpose stated above, all Outside Directors shall be paid compensation for services provided to the Company as set forth below: </w:t>
      </w:r>
    </w:p>
    <w:p>
      <w:pPr>
        <w:pStyle w:val="TextBody"/>
        <w:bidi w:val="0"/>
        <w:spacing w:before="360" w:after="283"/>
        <w:jc w:val="left"/>
        <w:rPr>
          <w:rFonts w:ascii="Times New Roman" w:hAnsi="Times New Roman"/>
          <w:sz w:val="20"/>
        </w:rPr>
      </w:pPr>
      <w:r>
        <w:rPr>
          <w:rFonts w:ascii="Times New Roman" w:hAnsi="Times New Roman"/>
          <w:b/>
          <w:color w:val="000000"/>
          <w:sz w:val="20"/>
        </w:rPr>
        <w:t>Cash Retainers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Annual Retainer for Board Membership: $50,000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 </w:t>
      </w:r>
    </w:p>
    <w:tbl>
      <w:tblPr>
        <w:tblW w:w="6695" w:type="dxa"/>
        <w:jc w:val="left"/>
        <w:tblInd w:w="0" w:type="dxa"/>
        <w:tblLayout w:type="fixed"/>
        <w:tblCellMar>
          <w:top w:w="28" w:type="dxa"/>
          <w:left w:w="28" w:type="dxa"/>
          <w:bottom w:w="28" w:type="dxa"/>
          <w:right w:w="28" w:type="dxa"/>
        </w:tblCellMar>
      </w:tblPr>
      <w:tblGrid>
        <w:gridCol w:w="5542"/>
        <w:gridCol w:w="109"/>
        <w:gridCol w:w="109"/>
        <w:gridCol w:w="781"/>
        <w:gridCol w:w="154"/>
      </w:tblGrid>
      <w:tr>
        <w:trPr/>
        <w:tc>
          <w:tcPr>
            <w:tcW w:w="5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Additional Annual Retainer for Chairperson of the Board: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$35,000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4"/>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ind w:left="0" w:right="0" w:firstLine="231"/>
              <w:jc w:val="left"/>
              <w:rPr>
                <w:color w:val="000000"/>
              </w:rPr>
            </w:pPr>
            <w:r>
              <w:rPr>
                <w:color w:val="000000"/>
              </w:rPr>
              <w:t>     </w:t>
            </w:r>
            <w:r>
              <w:rPr>
                <w:rFonts w:ascii="Times New Roman" w:hAnsi="Times New Roman"/>
                <w:color w:val="000000"/>
                <w:sz w:val="20"/>
              </w:rPr>
              <w:t>Additional Annual Retainers for Committee Membership:</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4"/>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ind w:left="0" w:right="0" w:firstLine="231"/>
              <w:jc w:val="left"/>
              <w:rPr>
                <w:color w:val="000000"/>
              </w:rPr>
            </w:pPr>
            <w:r>
              <w:rPr>
                <w:color w:val="000000"/>
              </w:rPr>
              <w:t>     </w:t>
            </w:r>
            <w:r>
              <w:rPr>
                <w:rFonts w:ascii="Times New Roman" w:hAnsi="Times New Roman"/>
                <w:color w:val="000000"/>
                <w:sz w:val="20"/>
              </w:rPr>
              <w:t>Audit Committee Chair: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4"/>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ind w:left="0" w:right="0" w:firstLine="231"/>
              <w:jc w:val="left"/>
              <w:rPr>
                <w:color w:val="000000"/>
              </w:rPr>
            </w:pPr>
            <w:r>
              <w:rPr>
                <w:color w:val="000000"/>
              </w:rPr>
              <w:t>     </w:t>
            </w:r>
            <w:r>
              <w:rPr>
                <w:rFonts w:ascii="Times New Roman" w:hAnsi="Times New Roman"/>
                <w:color w:val="000000"/>
                <w:sz w:val="20"/>
              </w:rPr>
              <w:t>Audit Committee member: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4"/>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ind w:left="0" w:right="0" w:firstLine="231"/>
              <w:jc w:val="left"/>
              <w:rPr>
                <w:color w:val="000000"/>
              </w:rPr>
            </w:pPr>
            <w:r>
              <w:rPr>
                <w:color w:val="000000"/>
              </w:rPr>
              <w:t>     </w:t>
            </w:r>
            <w:r>
              <w:rPr>
                <w:rFonts w:ascii="Times New Roman" w:hAnsi="Times New Roman"/>
                <w:color w:val="000000"/>
                <w:sz w:val="20"/>
              </w:rPr>
              <w:t>Compensation Committee Chair: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4"/>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ind w:left="0" w:right="0" w:firstLine="231"/>
              <w:jc w:val="left"/>
              <w:rPr>
                <w:color w:val="000000"/>
              </w:rPr>
            </w:pPr>
            <w:r>
              <w:rPr>
                <w:color w:val="000000"/>
              </w:rPr>
              <w:t>     </w:t>
            </w:r>
            <w:r>
              <w:rPr>
                <w:rFonts w:ascii="Times New Roman" w:hAnsi="Times New Roman"/>
                <w:color w:val="000000"/>
                <w:sz w:val="20"/>
              </w:rPr>
              <w:t>Compensation Committee member: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$7,500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4"/>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ind w:left="0" w:right="0" w:firstLine="231"/>
              <w:jc w:val="left"/>
              <w:rPr>
                <w:color w:val="000000"/>
              </w:rPr>
            </w:pPr>
            <w:r>
              <w:rPr>
                <w:color w:val="000000"/>
              </w:rPr>
              <w:t>     </w:t>
            </w:r>
            <w:r>
              <w:rPr>
                <w:rFonts w:ascii="Times New Roman" w:hAnsi="Times New Roman"/>
                <w:color w:val="000000"/>
                <w:sz w:val="20"/>
              </w:rPr>
              <w:t>Nominating and Corporate Governance Committee Chair: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4"/>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r>
      <w:tr>
        <w:trPr/>
        <w:tc>
          <w:tcPr>
            <w:tcW w:w="5542" w:type="dxa"/>
            <w:tcBorders/>
            <w:tcMar>
              <w:top w:w="0" w:type="dxa"/>
              <w:left w:w="0" w:type="dxa"/>
              <w:bottom w:w="0" w:type="dxa"/>
              <w:right w:w="0" w:type="dxa"/>
            </w:tcMar>
            <w:vAlign w:val="center"/>
          </w:tcPr>
          <w:p>
            <w:pPr>
              <w:pStyle w:val="TableContents"/>
              <w:bidi w:val="0"/>
              <w:spacing w:before="0" w:after="283"/>
              <w:ind w:left="0" w:right="0" w:firstLine="231"/>
              <w:jc w:val="left"/>
              <w:rPr>
                <w:color w:val="000000"/>
              </w:rPr>
            </w:pPr>
            <w:r>
              <w:rPr>
                <w:color w:val="000000"/>
              </w:rPr>
              <w:t>     </w:t>
            </w:r>
            <w:r>
              <w:rPr>
                <w:rFonts w:ascii="Times New Roman" w:hAnsi="Times New Roman"/>
                <w:color w:val="000000"/>
                <w:sz w:val="20"/>
              </w:rPr>
              <w:t>Nominating and Corporate Governance Committee member: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Chair and committee member retainers are in addition to retainers for members of the Board of Directors. No additional compensation will be paid for attending individual committee meetings of the Board of Directors. </w:t>
      </w:r>
    </w:p>
    <w:p>
      <w:pPr>
        <w:pStyle w:val="TextBody"/>
        <w:bidi w:val="0"/>
        <w:spacing w:before="360" w:after="283"/>
        <w:jc w:val="left"/>
        <w:rPr>
          <w:rFonts w:ascii="Times New Roman" w:hAnsi="Times New Roman"/>
          <w:sz w:val="20"/>
        </w:rPr>
      </w:pPr>
      <w:r>
        <w:rPr>
          <w:rFonts w:ascii="Times New Roman" w:hAnsi="Times New Roman"/>
          <w:b/>
          <w:color w:val="000000"/>
          <w:sz w:val="20"/>
        </w:rPr>
        <w:t>Equity Retainers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Initial Award: An initial, one-time stock option award (the “Initial Award”) to purchase the number of shares of the Company’s Common Stock having a Value (as defined below) equal to $800,000 will be granted to each new Outside Director upon his or her election to the Board of Directors, which shall vest in 48 equal monthly installments over four years from the date of grant, provided, however, that all vesting shall cease if the director resigns from the Board of Directors or otherwise ceases to serve as a director of the Company. The Initial Award shall expire ten years from the date of grant, and shall have a per share exercise price equal to the Fair Market Value (as defined in the Company’s 2020 Stock Option and Incentive Plan) of the Company’s common stock on the date of grant.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Annual Award: On each date of each Annual Meeting of Stockholders of the Company (the “Annual Meeting”), each continuing Outside Director, other than a director who has received an Initial Award in the same calendar year of the Annual Meeting for a particular year, will receive an annual stock option award (the “Annual Award”) to purchase the number of shares of the Company’s Common Stock having a Value equal to $400,000, which shall vest in full upon the earlier of (i) the first anniversary of the date of grant or (ii) the date of the next Annual Meeting; provided, however, that all vesting shall cease if the director resigns from the Board of Directors or otherwise ceases to serve as a director, unless the Board of Directors determines that the circumstances warrant continuation of vesting. Such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Annual Award shall expire ten years from the date of grant, and shall have a per share exercise price equal to the Fair Market Value (as defined in the Company’s 2020 Stock Option and Incentive Plan) of the Company’s common stock on the date of grant.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Value: For purposes of this Policy, “Value” means with respect to (i) any stock option award, the grant date fair value of the option (i.e., Black-Scholes Value) determined in accordance with the reasonable assumptions and methodologies employed by the Company for calculating the fair value of options under Financial Accounting Standard Board (“FASB”) Accounting Standards Codification (“ASC”) Topic 718; and (ii) any award of restricted stock or restricted stock units the product of (A) the average closing market price on Nasdaq Global Market (or such other market on which the Company’s common stock is then principally listed) of one share of the Company’s common stock over the trailing 30-day period ending on the last day of the month immediately prior to the month of the grant date, and (B) the aggregate number of shares of common stock underlying such award.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 Event Acceleration: All outstanding Initial Awards and Annual Awards held by an Outside Director shall become fully vested and exercisable upon a Sale Event (as defined in the Company’s 2020 Stock Option and Incentive Plan). </w:t>
      </w:r>
    </w:p>
    <w:p>
      <w:pPr>
        <w:pStyle w:val="TextBody"/>
        <w:bidi w:val="0"/>
        <w:spacing w:before="360" w:after="283"/>
        <w:jc w:val="left"/>
        <w:rPr>
          <w:rFonts w:ascii="Times New Roman" w:hAnsi="Times New Roman"/>
          <w:sz w:val="20"/>
        </w:rPr>
      </w:pPr>
      <w:r>
        <w:rPr>
          <w:rFonts w:ascii="Times New Roman" w:hAnsi="Times New Roman"/>
          <w:b/>
          <w:color w:val="000000"/>
          <w:sz w:val="20"/>
        </w:rPr>
        <w:t>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will reimburse all reasonable out-of-pocket expenses incurred by non-employee directors in attending meetings of the Board of Directors or any committee thereof. </w:t>
      </w:r>
    </w:p>
    <w:p>
      <w:pPr>
        <w:pStyle w:val="TextBody"/>
        <w:bidi w:val="0"/>
        <w:spacing w:before="360" w:after="283"/>
        <w:jc w:val="left"/>
        <w:rPr>
          <w:rFonts w:ascii="Times New Roman" w:hAnsi="Times New Roman"/>
          <w:sz w:val="20"/>
        </w:rPr>
      </w:pPr>
      <w:r>
        <w:rPr>
          <w:rFonts w:ascii="Times New Roman" w:hAnsi="Times New Roman"/>
          <w:b/>
          <w:color w:val="000000"/>
          <w:sz w:val="20"/>
        </w:rPr>
        <w:t>Maximum Annual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aggregate amount of compensation, including both equity compensation and cash compensation, paid by the Company to any Outside Director in a calendar year for services as an Outside Director period shall not exceed $750,000; provided, however, that such amount shall be $1,000,000 for the calendar year in which the applicable Outside Director is initially elected or appointed to the Board of Directors; (or such other limits as may be set forth in Section 3(b) of the Company’s 2020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Adopted August 11, 2020, subject to the effectiveness of the Company’s Registration Statement on Form S-1.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Amended and Restated on January 17,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Amended and Restated on March 27,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Amended and Restated on June 25,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Amended and Restated on June 24,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kymr-ex31_1.htm"/>
      <w:bookmarkStart w:id="27" w:name="kskymr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Nello Mainolfi,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Kymera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Nello Mainolfi,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Nello Mainolfi, Ph.D</w:t>
            </w: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kymr-ex31_2.htm"/>
      <w:bookmarkStart w:id="29" w:name="kskymr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Bruce Jacobs, CFA, MBA,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Kymera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1846"/>
        <w:gridCol w:w="109"/>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Jacobs, CFO,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Bruce Jacobs, CFO, MBA</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kymr-ex32_1.htm"/>
      <w:bookmarkStart w:id="31" w:name="kskymr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Kymera Therapeutics,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Nello Mainolfi,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Nello Mainolfi, Ph.D</w:t>
            </w:r>
            <w:r>
              <w:rPr>
                <w:rFonts w:ascii="Times New Roman" w:hAnsi="Times New Roman"/>
                <w:color w:val="000000"/>
                <w:sz w:val="20"/>
              </w:rPr>
              <w: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kymr-ex32_2.htm"/>
      <w:bookmarkStart w:id="33" w:name="kskymrex32_2"/>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Kymera Therapeutics,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1846"/>
        <w:gridCol w:w="109"/>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Jacobs, CFA,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Bruce Jacobs, CFA, MBA</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67662</Words>
  <Characters>376416</Characters>
  <CharactersWithSpaces>444874</CharactersWithSpaces>
  <Paragraphs>6465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